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2"/>
        </w:rPr>
        <w:t>Date of Report (Date of earliest event reported):</w:t>
      </w:r>
      <w:r>
        <w:rPr>
          <w:color w:val="000000"/>
        </w:rPr>
        <w:t xml:space="preserve"> </w:t>
      </w:r>
      <w:r>
        <w:rPr>
          <w:rFonts w:ascii="Times New Roman;serif" w:hAnsi="Times New Roman;serif"/>
          <w:b/>
          <w:color w:val="000000"/>
          <w:sz w:val="22"/>
        </w:rPr>
        <w:t>August 5, 2026</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3"/>
        </w:rPr>
      </w:pPr>
      <w:r>
        <w:rPr>
          <w:rFonts w:ascii="Times New Roman;serif" w:hAnsi="Times New Roman;serif"/>
          <w:b/>
          <w:color w:val="000000"/>
          <w:sz w:val="43"/>
        </w:rPr>
        <w:t>APA CORPORATION</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513" w:type="dxa"/>
        <w:jc w:val="center"/>
        <w:tblInd w:w="0" w:type="dxa"/>
        <w:tblLayout w:type="fixed"/>
        <w:tblCellMar>
          <w:top w:w="28" w:type="dxa"/>
          <w:left w:w="28" w:type="dxa"/>
          <w:bottom w:w="28" w:type="dxa"/>
          <w:right w:w="28" w:type="dxa"/>
        </w:tblCellMar>
      </w:tblPr>
      <w:tblGrid>
        <w:gridCol w:w="1159"/>
        <w:gridCol w:w="1021"/>
        <w:gridCol w:w="1030"/>
        <w:gridCol w:w="109"/>
        <w:gridCol w:w="109"/>
        <w:gridCol w:w="109"/>
        <w:gridCol w:w="687"/>
        <w:gridCol w:w="687"/>
        <w:gridCol w:w="695"/>
        <w:gridCol w:w="109"/>
        <w:gridCol w:w="109"/>
        <w:gridCol w:w="109"/>
        <w:gridCol w:w="752"/>
        <w:gridCol w:w="752"/>
        <w:gridCol w:w="1076"/>
      </w:tblGrid>
      <w:tr>
        <w:trPr/>
        <w:tc>
          <w:tcPr>
            <w:tcW w:w="115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001-40144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86-1430562</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p>
      <w:pPr>
        <w:pStyle w:val="TextBody"/>
        <w:bidi w:val="0"/>
        <w:spacing w:lineRule="auto" w:line="288" w:before="200" w:after="283"/>
        <w:jc w:val="center"/>
        <w:rPr>
          <w:rFonts w:ascii="Times New Roman;serif" w:hAnsi="Times New Roman;serif"/>
          <w:b/>
          <w:color w:val="000000"/>
          <w:sz w:val="16"/>
        </w:rPr>
      </w:pPr>
      <w:r>
        <w:rPr>
          <w:rFonts w:ascii="Times New Roman;serif" w:hAnsi="Times New Roman;serif"/>
          <w:b/>
          <w:color w:val="000000"/>
          <w:sz w:val="16"/>
        </w:rPr>
        <w:t>2000 W Sam Houston Pkwy S, Suite 200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Houston, Texas 77042-3643</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16"/>
        </w:rPr>
        <w:t>Registrant’s telephone number, including area code:</w:t>
      </w:r>
      <w:r>
        <w:rPr>
          <w:color w:val="000000"/>
        </w:rPr>
        <w:t xml:space="preserve"> </w:t>
      </w:r>
      <w:r>
        <w:rPr>
          <w:rFonts w:ascii="Times New Roman;serif" w:hAnsi="Times New Roman;serif"/>
          <w:b/>
          <w:color w:val="000000"/>
          <w:sz w:val="16"/>
        </w:rPr>
        <w:t>(713) 296-6000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ind w:left="0" w:right="0" w:hanging="64"/>
        <w:jc w:val="left"/>
        <w:rPr/>
      </w:pPr>
      <w:r>
        <w:rPr>
          <w:color w:val="000000"/>
        </w:rPr>
        <w:t>☐    </w:t>
      </w:r>
      <w:r>
        <w:rPr>
          <w:rFonts w:ascii="Times New Roman;serif" w:hAnsi="Times New Roman;serif"/>
          <w:b w:val="false"/>
          <w:color w:val="000000"/>
          <w:sz w:val="18"/>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ind w:left="0" w:right="0" w:hanging="64"/>
        <w:jc w:val="left"/>
        <w:rPr/>
      </w:pPr>
      <w:r>
        <w:rPr>
          <w:color w:val="000000"/>
        </w:rPr>
        <w:t>☐    </w:t>
      </w:r>
      <w:r>
        <w:rPr>
          <w:rFonts w:ascii="Times New Roman;serif" w:hAnsi="Times New Roman;serif"/>
          <w:b w:val="false"/>
          <w:color w:val="000000"/>
          <w:sz w:val="18"/>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ind w:left="0" w:right="0" w:hanging="64"/>
        <w:jc w:val="left"/>
        <w:rPr/>
      </w:pPr>
      <w:r>
        <w:rPr>
          <w:color w:val="000000"/>
        </w:rPr>
        <w:t>☐    </w:t>
      </w:r>
      <w:r>
        <w:rPr>
          <w:rFonts w:ascii="Times New Roman;serif" w:hAnsi="Times New Roman;serif"/>
          <w:b w:val="false"/>
          <w:color w:val="000000"/>
          <w:sz w:val="18"/>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ind w:left="0" w:right="0" w:hanging="64"/>
        <w:jc w:val="left"/>
        <w:rPr/>
      </w:pPr>
      <w:r>
        <w:rPr>
          <w:color w:val="000000"/>
        </w:rPr>
        <w:t>☐    </w:t>
      </w:r>
      <w:r>
        <w:rPr>
          <w:rFonts w:ascii="Times New Roman;serif" w:hAnsi="Times New Roman;serif"/>
          <w:b w:val="false"/>
          <w:color w:val="000000"/>
          <w:sz w:val="18"/>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6755" w:type="dxa"/>
        <w:jc w:val="left"/>
        <w:tblInd w:w="0" w:type="dxa"/>
        <w:tblLayout w:type="fixed"/>
        <w:tblCellMar>
          <w:top w:w="28" w:type="dxa"/>
          <w:left w:w="28" w:type="dxa"/>
          <w:bottom w:w="28" w:type="dxa"/>
          <w:right w:w="28" w:type="dxa"/>
        </w:tblCellMar>
      </w:tblPr>
      <w:tblGrid>
        <w:gridCol w:w="967"/>
        <w:gridCol w:w="848"/>
        <w:gridCol w:w="855"/>
        <w:gridCol w:w="109"/>
        <w:gridCol w:w="109"/>
        <w:gridCol w:w="109"/>
        <w:gridCol w:w="233"/>
        <w:gridCol w:w="233"/>
        <w:gridCol w:w="238"/>
        <w:gridCol w:w="109"/>
        <w:gridCol w:w="109"/>
        <w:gridCol w:w="109"/>
        <w:gridCol w:w="784"/>
        <w:gridCol w:w="784"/>
        <w:gridCol w:w="787"/>
        <w:gridCol w:w="109"/>
        <w:gridCol w:w="109"/>
        <w:gridCol w:w="154"/>
      </w:tblGrid>
      <w:tr>
        <w:trPr/>
        <w:tc>
          <w:tcPr>
            <w:tcW w:w="96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Trading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Name of each exchange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on which registered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$0.625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Nasdaq Global Select Market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Nasdaq Texas,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Emerging growth company 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684530"/>
                <wp:effectExtent l="0" t="0" r="0" b="0"/>
                <wp:wrapNone/>
                <wp:docPr id="1" name="Frame1"/>
                <a:graphic xmlns:a="http://schemas.openxmlformats.org/drawingml/2006/main">
                  <a:graphicData uri="http://schemas.microsoft.com/office/word/2010/wordprocessingShape">
                    <wps:wsp>
                      <wps:cNvSpPr txBox="1"/>
                      <wps:spPr>
                        <a:xfrm>
                          <a:off x="0" y="0"/>
                          <a:ext cx="6480175" cy="68453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9" w:before="0" w:after="0"/>
        <w:jc w:val="both"/>
        <w:rPr>
          <w:rFonts w:ascii="Times New Roman;serif" w:hAnsi="Times New Roman;serif"/>
          <w:b w:val="false"/>
          <w:color w:val="000000"/>
          <w:sz w:val="18"/>
        </w:rPr>
      </w:pPr>
      <w:r>
        <w:rPr>
          <w:rFonts w:ascii="Times New Roman;serif" w:hAnsi="Times New Roman;serif"/>
          <w:b w:val="false"/>
          <w:color w:val="000000"/>
          <w:sz w:val="18"/>
        </w:rPr>
        <w:t>The information in this Current Report on Form 8-K, including Exhibit 99.1 furnished herewith, is being furnished and shall not be deemed “filed” for purposes of Section 18 of the Exchange Act or otherwise subject to the liabilities of Section 18, and shall not be incorporated by reference in any filing under the Securities Act or the Exchange Act, except as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18"/>
        </w:rPr>
        <w:t>Item 2.02.</w:t>
      </w:r>
      <w:r>
        <w:rPr>
          <w:color w:val="000000"/>
        </w:rPr>
        <w:t>    </w:t>
      </w:r>
      <w:r>
        <w:rPr>
          <w:rFonts w:ascii="Times New Roman;serif" w:hAnsi="Times New Roman;serif"/>
          <w:b/>
          <w:color w:val="000000"/>
          <w:sz w:val="18"/>
        </w:rPr>
        <w:t>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On August 5, 2026, APA Corporation issued a press release announcing financial and operating results for the fiscal quarter ended June 30, 2026. The full text of the press release is furnished herewith as Exhibit 99.1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18"/>
        </w:rPr>
        <w:t>Item 9.01.</w:t>
      </w:r>
      <w:r>
        <w:rPr>
          <w:color w:val="000000"/>
        </w:rPr>
        <w:t>    </w:t>
      </w:r>
      <w:r>
        <w:rPr>
          <w:rFonts w:ascii="Times New Roman;serif" w:hAnsi="Times New Roman;serif"/>
          <w:b/>
          <w:color w:val="000000"/>
          <w:sz w:val="18"/>
        </w:rPr>
        <w:t>Financial Statements and Exhibits.</w:t>
      </w:r>
    </w:p>
    <w:p>
      <w:pPr>
        <w:pStyle w:val="TextBody"/>
        <w:bidi w:val="0"/>
        <w:spacing w:before="0" w:after="0"/>
        <w:jc w:val="left"/>
        <w:rPr/>
      </w:pPr>
      <w:r>
        <w:rPr/>
      </w:r>
    </w:p>
    <w:p>
      <w:pPr>
        <w:pStyle w:val="TextBody"/>
        <w:bidi w:val="0"/>
        <w:spacing w:lineRule="auto" w:line="288" w:before="0" w:after="0"/>
        <w:ind w:left="0" w:right="0" w:hanging="424"/>
        <w:jc w:val="left"/>
        <w:rPr>
          <w:rFonts w:ascii="Times New Roman;serif" w:hAnsi="Times New Roman;serif"/>
          <w:b/>
          <w:color w:val="000000"/>
          <w:sz w:val="18"/>
        </w:rPr>
      </w:pPr>
      <w:r>
        <w:rPr>
          <w:rFonts w:ascii="Times New Roman;serif" w:hAnsi="Times New Roman;serif"/>
          <w:b/>
          <w:color w:val="000000"/>
          <w:sz w:val="18"/>
        </w:rPr>
        <w:t>(d)Exhibits.</w:t>
      </w:r>
    </w:p>
    <w:p>
      <w:pPr>
        <w:pStyle w:val="TextBody"/>
        <w:bidi w:val="0"/>
        <w:spacing w:before="0" w:after="0"/>
        <w:jc w:val="left"/>
        <w:rPr/>
      </w:pPr>
      <w:r>
        <w:rPr/>
      </w:r>
    </w:p>
    <w:tbl>
      <w:tblPr>
        <w:tblW w:w="6985" w:type="dxa"/>
        <w:jc w:val="left"/>
        <w:tblInd w:w="0" w:type="dxa"/>
        <w:tblLayout w:type="fixed"/>
        <w:tblCellMar>
          <w:top w:w="28" w:type="dxa"/>
          <w:left w:w="28" w:type="dxa"/>
          <w:bottom w:w="28" w:type="dxa"/>
          <w:right w:w="28" w:type="dxa"/>
        </w:tblCellMar>
      </w:tblPr>
      <w:tblGrid>
        <w:gridCol w:w="299"/>
        <w:gridCol w:w="261"/>
        <w:gridCol w:w="264"/>
        <w:gridCol w:w="109"/>
        <w:gridCol w:w="109"/>
        <w:gridCol w:w="109"/>
        <w:gridCol w:w="1324"/>
        <w:gridCol w:w="1324"/>
        <w:gridCol w:w="1329"/>
        <w:gridCol w:w="544"/>
        <w:gridCol w:w="544"/>
        <w:gridCol w:w="769"/>
      </w:tblGrid>
      <w:tr>
        <w:trPr/>
        <w:tc>
          <w:tcPr>
            <w:tcW w:w="29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Exhibit No.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Description</w:t>
            </w:r>
          </w:p>
        </w:tc>
        <w:tc>
          <w:tcPr>
            <w:tcW w:w="1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exhibit9912q26earningsrele.htm">
              <w:r>
                <w:rPr>
                  <w:rStyle w:val="InternetLink"/>
                  <w:rFonts w:ascii="Times New Roman;serif" w:hAnsi="Times New Roman;serif"/>
                  <w:b w:val="false"/>
                  <w:color w:val="0000FF"/>
                  <w:sz w:val="18"/>
                  <w:u w:val="single"/>
                </w:rPr>
                <w:t>Press Release of APA Corporation dated August 5, 2026.</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SIGNATURES</w:t>
      </w:r>
    </w:p>
    <w:p>
      <w:pPr>
        <w:pStyle w:val="TextBody"/>
        <w:bidi w:val="0"/>
        <w:spacing w:before="0" w:after="0"/>
        <w:jc w:val="left"/>
        <w:rPr/>
      </w:pPr>
      <w:r>
        <w:rPr/>
      </w:r>
    </w:p>
    <w:p>
      <w:pPr>
        <w:pStyle w:val="TextBody"/>
        <w:bidi w:val="0"/>
        <w:spacing w:lineRule="auto" w:line="326" w:before="0" w:after="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APA CORPORATION</w:t>
      </w:r>
    </w:p>
    <w:p>
      <w:pPr>
        <w:pStyle w:val="TextBody"/>
        <w:bidi w:val="0"/>
        <w:spacing w:before="0" w:after="0"/>
        <w:jc w:val="left"/>
        <w:rPr/>
      </w:pPr>
      <w:r>
        <w:rPr/>
      </w:r>
    </w:p>
    <w:tbl>
      <w:tblPr>
        <w:tblW w:w="6269" w:type="dxa"/>
        <w:jc w:val="left"/>
        <w:tblInd w:w="0" w:type="dxa"/>
        <w:tblLayout w:type="fixed"/>
        <w:tblCellMar>
          <w:top w:w="28" w:type="dxa"/>
          <w:left w:w="28" w:type="dxa"/>
          <w:bottom w:w="28" w:type="dxa"/>
          <w:right w:w="28" w:type="dxa"/>
        </w:tblCellMar>
      </w:tblPr>
      <w:tblGrid>
        <w:gridCol w:w="179"/>
        <w:gridCol w:w="157"/>
        <w:gridCol w:w="159"/>
        <w:gridCol w:w="404"/>
        <w:gridCol w:w="404"/>
        <w:gridCol w:w="406"/>
        <w:gridCol w:w="120"/>
        <w:gridCol w:w="120"/>
        <w:gridCol w:w="120"/>
        <w:gridCol w:w="1230"/>
        <w:gridCol w:w="1230"/>
        <w:gridCol w:w="1740"/>
      </w:tblGrid>
      <w:tr>
        <w:trPr/>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5, 2026</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By:</w:t>
            </w:r>
          </w:p>
        </w:tc>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Robert P. Rayphole</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Robert P. Rayphole</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Vice President, Chief Accounting Officer, and Controller</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tLeast" w:line="142" w:before="0" w:after="0"/>
        <w:jc w:val="right"/>
        <w:rPr>
          <w:rFonts w:ascii="Times New Roman;serif" w:hAnsi="Times New Roman;serif"/>
          <w:b/>
          <w:color w:val="000000"/>
          <w:sz w:val="18"/>
        </w:rPr>
      </w:pPr>
      <w:r>
        <w:rPr>
          <w:rFonts w:ascii="Times New Roman;serif" w:hAnsi="Times New Roman;serif"/>
          <w:b/>
          <w:color w:val="000000"/>
          <w:sz w:val="18"/>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904875" cy="5619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904875" cy="561975"/>
                    </a:xfrm>
                    <a:prstGeom prst="rect">
                      <a:avLst/>
                    </a:prstGeom>
                  </pic:spPr>
                </pic:pic>
              </a:graphicData>
            </a:graphic>
          </wp:inline>
        </w:drawing>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NEWS RELEASE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APA Corporation announces second-quarter 2026</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financial and operational results</w: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i/>
          <w:color w:val="000000"/>
          <w:sz w:val="18"/>
        </w:rPr>
      </w:pPr>
      <w:r>
        <w:rPr>
          <w:rFonts w:ascii="Times New Roman;serif" w:hAnsi="Times New Roman;serif"/>
          <w:b/>
          <w:i/>
          <w:color w:val="000000"/>
          <w:sz w:val="18"/>
        </w:rPr>
        <w:t>Second-quarter 2026 highlights</w:t>
      </w:r>
    </w:p>
    <w:p>
      <w:pPr>
        <w:pStyle w:val="TextBody"/>
        <w:bidi w:val="0"/>
        <w:spacing w:lineRule="auto" w:line="288" w:before="60" w:after="283"/>
        <w:ind w:left="0" w:right="0" w:hanging="360"/>
        <w:jc w:val="left"/>
        <w:rPr/>
      </w:pPr>
      <w:r>
        <w:rPr>
          <w:color w:val="242424"/>
        </w:rPr>
        <w:t>•</w:t>
      </w:r>
      <w:r>
        <w:rPr>
          <w:rFonts w:ascii="Times New Roman;serif" w:hAnsi="Times New Roman;serif"/>
          <w:b w:val="false"/>
          <w:i/>
          <w:color w:val="000000"/>
          <w:sz w:val="18"/>
        </w:rPr>
        <w:t>Reported production of approximately 410,000 barrels of oil equivalent (BOE) per day; adjusted production, which excludes Egypt noncontrolling interest and tax barrels, was 347,000 BOE per day and exceeded guidance;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18"/>
        </w:rPr>
        <w:t>Delivered U.S. oil production of 123,500 barrels of oil per day, 2,500 barrels of oil per day above guidance;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18"/>
        </w:rPr>
        <w:t>Generated $1.7 billion of net cash provided by operating activities, $738 million of free cash flow, and $1.8 billion of adjusted EBITDAX; returned $189 million to shareholders through dividends and share repurchases;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18"/>
        </w:rPr>
        <w:t>Repaid $752 million of near-term bond debt in the first half of the year; total debt has declined by $2.3 billion since year-end 2024, lowering annualized interest expense by more than $155 million;</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18"/>
        </w:rPr>
        <w:t>Raised full-year U.S. oil production guidance to 123,000 barrels of oil per day while maintaining U.S. capital at $1.3 billion;</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18"/>
        </w:rPr>
        <w:t>Increased expected 2026 exit run-rate cost savings to $500 million, up from the prior $450 million target, reflecting continued momentum; and</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18"/>
        </w:rPr>
        <w:t>Significantly advanced exploration portfolio through the pending Savant acquisition in Alaska and a new strategic partnership with Eni S.p.A in Uruguay.</w:t>
      </w:r>
    </w:p>
    <w:p>
      <w:pPr>
        <w:pStyle w:val="TextBody"/>
        <w:bidi w:val="0"/>
        <w:spacing w:before="0" w:after="0"/>
        <w:jc w:val="both"/>
        <w:rPr/>
      </w:pPr>
      <w:r>
        <w:rPr/>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HOUSTON, Aug. 5, 2026 – APA Corporation (Nasdaq: APA) today announced its financial and operational results for the second quarter of 2026. APA reported net income attributable to common stock of $747 million, or $2.11 per diluted share. When adjusted for certain items that impact the comparability of results, APA’s second-quarter earnings totaled $669 million, or $1.89 per diluted share.</w:t>
      </w:r>
    </w:p>
    <w:p>
      <w:pPr>
        <w:pStyle w:val="TextBody"/>
        <w:bidi w:val="0"/>
        <w:spacing w:before="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APA CORPORATION ANNOUNCES SECOND-QUARTER 2026</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1</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0"/>
        </w:rPr>
        <w:t xml:space="preserve">FINANCIAL AND OPERATIONAL RESULTS </w:t>
      </w:r>
      <w:r>
        <w:rPr>
          <w:color w:val="000000"/>
        </w:rPr>
        <w:t xml:space="preserve">— </w:t>
      </w:r>
      <w:r>
        <w:rPr>
          <w:rFonts w:ascii="Times New Roman;serif" w:hAnsi="Times New Roman;serif"/>
          <w:b w:val="false"/>
          <w:color w:val="000000"/>
          <w:sz w:val="20"/>
        </w:rPr>
        <w:t>PAGE 2 of 6</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Second-quarter summary</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Second-quarter reported production was 410,000 BOE per day, and adjusted production was 347,000 BOE per day, both exceeding guidance. U.S. oil production averaged 123,500 barrels per day, 2,500 barrels per day above guidance, reflecting continued drilling and completion efficiency gains and strong base production performance in the Permian Basin.</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In Egypt, adjusted production averaged 61,000 BOE per day and was in line with guidance. Gross production averaged 207,000 BOE per day. Gross gas production increased to 539 million cubic feet (MMCF) per day, supported by continued execution of the company’s gas-focused development program. Nearly half of Egypt’s gas production is now benefiting from the revised pricing agreement.</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 was $1.7 billion, and adjusted EBITDAX was $1.8 billion. Upstream capital investment was $546 million, and lease operating expense was $353 million, both below guidance. Free cash flow totaled $738 million, bringing total free cash flow generation to $1.2 billion for the first half of the year.</w:t>
      </w:r>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Balance sheet and shareholder returns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APA repaid $752 million of near-term bond debt during the first half of 2026, including $673 million in the second quarter. The company has reduced total debt by $2.3 billion since year-end 2024, lowering annualized interest expense by more than $155 million. Net debt was $3.3 billion at the end of the second quarter.</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APA returned $189 million to shareholders during the second quarter through dividends and share repurchases, including the repurchase of 2.8 million shares at an average price of $35.26 per share; cumulative returns to shareholders during the first half of the year totaled $277 million. Consistent with prior years, the company expects to return at least 60% of free cash flow to shareholders in 2026 while also strengthening the balance sheet.</w:t>
      </w:r>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CEO commentary</w:t>
      </w:r>
    </w:p>
    <w:p>
      <w:pPr>
        <w:pStyle w:val="TextBody"/>
        <w:bidi w:val="0"/>
        <w:spacing w:lineRule="auto" w:line="288" w:before="200" w:after="283"/>
        <w:jc w:val="left"/>
        <w:rPr>
          <w:color w:val="000000"/>
        </w:rPr>
      </w:pPr>
      <w:r>
        <w:rPr>
          <w:color w:val="000000"/>
        </w:rPr>
        <w:t>“</w:t>
      </w:r>
      <w:r>
        <w:rPr>
          <w:rFonts w:ascii="Times New Roman;serif" w:hAnsi="Times New Roman;serif"/>
          <w:b w:val="false"/>
          <w:color w:val="000000"/>
          <w:sz w:val="18"/>
        </w:rPr>
        <w:t>We delivered a very strong second quarter, with excellent operational execution across our core assets,” said John J. Christmann IV, APA’s CEO. “We’re sustaining top-tier operational performance and driving stronger production, lower costs and lower capital intensity. These results reflect the structural improvements we’ve made over the past two years to become a cost leader and drive higher capital efficiency across the Permian and Egypt. APA is in a great position with a strengthening balance sheet, a highly capital-efficient base business, a clear path to organic oil production growth led by GranMorgu and multiple high-quality investment opportunities in exploration.”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APA CORPORATION ANNOUNCES SECOND-QUARTER 2026</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0"/>
        </w:rPr>
        <w:t xml:space="preserve">FINANCIAL AND OPERATIONAL RESULTS </w:t>
      </w:r>
      <w:r>
        <w:rPr>
          <w:color w:val="000000"/>
        </w:rPr>
        <w:t xml:space="preserve">— </w:t>
      </w:r>
      <w:r>
        <w:rPr>
          <w:rFonts w:ascii="Times New Roman;serif" w:hAnsi="Times New Roman;serif"/>
          <w:b w:val="false"/>
          <w:color w:val="000000"/>
          <w:sz w:val="20"/>
        </w:rPr>
        <w:t>PAGE 3 of 6</w:t>
      </w:r>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Exploration portfolio update</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APA previously announced an agreement to acquire Savant Alaska, LLC for $70 million in upfront consideration prior to customary closing adjustments, plus additional contingent payments tied to future development of APA’s eastern North Slope position. The acquisition secures ownership of key midstream, pipeline and field infrastructure adjacent to APA’s existing acreage and is expected to enhance development flexibility, accelerate project timelines, and lower future development costs. It also enhances APA’s ability to appraise and potentially develop discoveries across its broader eastern North Slope position. Closing is expected by year-end 2026, subject to regulatory approval and customary closing conditions.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In Uruguay, APA signed an agreement with Eni S.p.A as a strategic partner in offshore Block 6. APA will retain a 60% working interest, with Eni funding most of the initial exploration well planned for 2027.</w:t>
      </w:r>
    </w:p>
    <w:p>
      <w:pPr>
        <w:pStyle w:val="TextBody"/>
        <w:bidi w:val="0"/>
        <w:spacing w:lineRule="auto" w:line="288" w:before="200" w:after="283"/>
        <w:jc w:val="both"/>
        <w:rPr>
          <w:color w:val="000000"/>
        </w:rPr>
      </w:pPr>
      <w:r>
        <w:rPr>
          <w:color w:val="000000"/>
        </w:rPr>
        <w:t>“</w:t>
      </w:r>
      <w:r>
        <w:rPr>
          <w:rFonts w:ascii="Times New Roman;serif" w:hAnsi="Times New Roman;serif"/>
          <w:b w:val="false"/>
          <w:color w:val="000000"/>
          <w:sz w:val="18"/>
        </w:rPr>
        <w:t>We continued to advance one of the industry's most differentiated exploration portfolios,” said Christmann. “The pending Savant acquisition in Alaska will secure critical infrastructure adjacent to our position and increase flexibility as we evaluate next steps. In Uruguay, we’re pleased to welcome Eni as a strategic partner in OFF-6.”</w:t>
      </w:r>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Cost reduction initiatives update</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Cost reduction initiatives continued to build momentum during the quarter. APA now expects to exit 2026 with approximately $500 million of run-rate savings, an increase from the company's prior $450 million target. This improvement results from continued strong execution across the portfolio, including field-level operating efficiencies, well cost reductions, and ongoing corporate streamlining, all of which are lowering the company's underlying cost structure.</w:t>
      </w:r>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Full-year guidance update</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For full-year 2026, APA is raising its U.S. oil production outlook to 123,000 barrels of oil per day while maintaining U.S. capital at $1.3 billion. Total company upstream capital investment is expected to be $2.07 billion, reflecting slightly lower exploration spend due to a shift in timing of Suriname Block 58 exploration activity. Lease operating expenses guidance has been lowered by $25 million to $1.5 billion, reflecting ongoing cost savings. </w:t>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APA CORPORATION ANNOUNCES SECOND-QUARTER 2026</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0"/>
        </w:rPr>
        <w:t xml:space="preserve">FINANCIAL AND OPERATIONAL RESULTS </w:t>
      </w:r>
      <w:r>
        <w:rPr>
          <w:color w:val="000000"/>
        </w:rPr>
        <w:t xml:space="preserve">— </w:t>
      </w:r>
      <w:r>
        <w:rPr>
          <w:rFonts w:ascii="Times New Roman;serif" w:hAnsi="Times New Roman;serif"/>
          <w:b w:val="false"/>
          <w:color w:val="000000"/>
          <w:sz w:val="20"/>
        </w:rPr>
        <w:t>PAGE 4 of 6</w:t>
      </w:r>
    </w:p>
    <w:p>
      <w:pPr>
        <w:pStyle w:val="TextBody"/>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Conference call</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 xml:space="preserve">APA will host a conference call to discuss its second-quarter 2026 results at 10 a.m. Central time, Thursday, Aug. 6. The conference call will be webcast from APA’s website at </w:t>
      </w:r>
      <w:r>
        <w:rPr>
          <w:rFonts w:ascii="Times New Roman;serif" w:hAnsi="Times New Roman;serif"/>
          <w:b w:val="false"/>
          <w:color w:val="000000"/>
          <w:sz w:val="18"/>
          <w:u w:val="single"/>
        </w:rPr>
        <w:t>www.apacorp.com</w:t>
      </w:r>
      <w:r>
        <w:rPr>
          <w:color w:val="000000"/>
        </w:rPr>
        <w:t xml:space="preserve"> </w:t>
      </w:r>
      <w:r>
        <w:rPr>
          <w:rFonts w:ascii="Times New Roman;serif" w:hAnsi="Times New Roman;serif"/>
          <w:b w:val="false"/>
          <w:color w:val="000000"/>
          <w:sz w:val="18"/>
        </w:rPr>
        <w:t xml:space="preserve">and </w:t>
      </w:r>
      <w:r>
        <w:rPr>
          <w:rFonts w:ascii="Times New Roman;serif" w:hAnsi="Times New Roman;serif"/>
          <w:b w:val="false"/>
          <w:color w:val="000000"/>
          <w:sz w:val="18"/>
          <w:u w:val="single"/>
        </w:rPr>
        <w:t>investor.apacorp.com</w:t>
      </w:r>
      <w:r>
        <w:rPr>
          <w:rFonts w:ascii="Times New Roman;serif" w:hAnsi="Times New Roman;serif"/>
          <w:b w:val="false"/>
          <w:color w:val="000000"/>
          <w:sz w:val="18"/>
        </w:rPr>
        <w:t>. Following the conference call, a replay will be available for one year on the “Investors” page of the company’s website.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About APA</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 xml:space="preserve">APA Corporation owns consolidated subsidiaries that explore for and produce oil and natural gas in the United States, Egypt and the United Kingdom and that explore for oil and natural gas offshore Suriname and elsewhere. APA posts announcements, operational updates, investor information and press releases on its website, </w:t>
      </w:r>
      <w:r>
        <w:rPr>
          <w:rFonts w:ascii="Times New Roman;serif" w:hAnsi="Times New Roman;serif"/>
          <w:b w:val="false"/>
          <w:color w:val="000000"/>
          <w:sz w:val="18"/>
          <w:u w:val="single"/>
        </w:rPr>
        <w:t>www.apacorp.com</w:t>
      </w:r>
      <w:r>
        <w:rPr>
          <w:rFonts w:ascii="Times New Roman;serif" w:hAnsi="Times New Roman;serif"/>
          <w:b w:val="false"/>
          <w:color w:val="000000"/>
          <w:sz w:val="18"/>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Additional information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18"/>
        </w:rPr>
        <w:t xml:space="preserve">Additional information follows, including reconciliations of adjusted earnings, adjusted EBITDAX, upstream capital investment, net debt, cash flows from operations before changes in operating assets and liabilities, and free cash flow (non-GAAP financial measures) to GAAP measures and information regarding adjusted production. APA’s quarterly supplement is available at </w:t>
      </w:r>
      <w:r>
        <w:rPr>
          <w:rFonts w:ascii="Times New Roman;serif" w:hAnsi="Times New Roman;serif"/>
          <w:b w:val="false"/>
          <w:color w:val="000000"/>
          <w:sz w:val="18"/>
          <w:u w:val="single"/>
        </w:rPr>
        <w:t>http://www.apacorp.com/financialdata</w:t>
      </w:r>
      <w:r>
        <w:rPr>
          <w:rFonts w:ascii="Times New Roman;serif" w:hAnsi="Times New Roman;serif"/>
          <w:b w:val="false"/>
          <w:color w:val="000000"/>
          <w:sz w:val="18"/>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Non-GAAP financial measures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18"/>
        </w:rPr>
        <w:t>APA’s financial information includes information prepared in conformity with generally accepted accounting principles (GAAP) as well as non-GAAP financial information. It is management’s intent to provide non-GAAP financial information to enhance understanding of our consolidated financial information as prepared in accordance with GAAP. Adjusted earnings, adjusted EBITDAX, upstream capital investment</w:t>
      </w:r>
      <w:r>
        <w:rPr>
          <w:rFonts w:ascii="Times New Roman;serif" w:hAnsi="Times New Roman;serif"/>
          <w:b w:val="false"/>
          <w:i/>
          <w:color w:val="000000"/>
          <w:sz w:val="18"/>
        </w:rPr>
        <w:t>,</w:t>
      </w:r>
      <w:r>
        <w:rPr>
          <w:color w:val="000000"/>
        </w:rPr>
        <w:t xml:space="preserve"> </w:t>
      </w:r>
      <w:r>
        <w:rPr>
          <w:rFonts w:ascii="Times New Roman;serif" w:hAnsi="Times New Roman;serif"/>
          <w:b w:val="false"/>
          <w:color w:val="000000"/>
          <w:sz w:val="18"/>
        </w:rPr>
        <w:t>net debt, cash flows from operations before changes in operating assets and liabilities and free cash flow are non-GAAP measures. This non-GAAP information should be considered by the reader in addition to, but not instead of, the financial statements prepared in accordance with GAAP. Each non-GAAP financial measure is presented along with the corresponding GAAP measure so as not to imply that more emphasis should be placed on the non-GAAP measure.</w:t>
      </w:r>
    </w:p>
    <w:p>
      <w:pPr>
        <w:pStyle w:val="TextBody"/>
        <w:bidi w:val="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APA CORPORATION ANNOUNCES SECOND-QUARTER 2026</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0"/>
        </w:rPr>
        <w:t xml:space="preserve">FINANCIAL AND OPERATIONAL RESULTS </w:t>
      </w:r>
      <w:r>
        <w:rPr>
          <w:color w:val="000000"/>
        </w:rPr>
        <w:t xml:space="preserve">— </w:t>
      </w:r>
      <w:r>
        <w:rPr>
          <w:rFonts w:ascii="Times New Roman;serif" w:hAnsi="Times New Roman;serif"/>
          <w:b w:val="false"/>
          <w:color w:val="000000"/>
          <w:sz w:val="20"/>
        </w:rPr>
        <w:t>PAGE 5 of 6</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Forward-looking statements</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18"/>
        </w:rPr>
      </w:pPr>
      <w:r>
        <w:rPr>
          <w:rFonts w:ascii="Times New Roman;serif" w:hAnsi="Times New Roman;serif"/>
          <w:b w:val="false"/>
          <w:color w:val="000000"/>
          <w:sz w:val="18"/>
        </w:rPr>
        <w:t>This news release contains forward-looking statements within the meaning of Section 27A of the Securities Act of 1933 and Section 21E of the Securities Exchange Act of 1934. Forward-looking statements can be identified by words such as “anticipates,” “intends,” “plans,” “seeks,” “believes,” “continues,” “could,” “estimates,” “expects,” “goals,” “guidance,” “may,” “might,” “outlook,” “possibly,” “potential,” “projects,” “prospects,” “should,” “upside,” “will,” “would,” and similar references to future periods, but the absence of these words does not mean that a statement is not forward-looking. These statements include, but are not limited to, statements about future plans, expectations, and objectives for operations, including statements about our capital plans, drilling plans, production expectations, asset acquisitions (including the pending Savant acquisition and the expected closing thereof and benefits therefrom), monetizations, debt reductions, capital returns, and interest and other cost savings. While forward-looking statements are based on assumptions and analyses made by us that we believe to be reasonable under the circumstances, whether actual results and developments will meet our expectations and predictions depend on a number of risks and uncertainties which could cause our actual results, performance, and financial condition to differ materially from our expectations. See “Risk Factors” in APA’s Form 10-K for the year ended December 31, 2025, and in our quarterly reports on Form 10-Q for a discussion of risk factors that affect our business. Any forward-looking statement made in this news release speaks only as of the date on which it is made. Factors or events that could cause our actual results to differ may emerge from time to time, and it is not possible for us to predict all of them. APA and its subsidiaries undertake no obligation to publicly update any forward-looking statement, whether as a result of new information, future development or otherwise, except as may be required by law.</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APA CORPORATION ANNOUNCES SECOND-QUARTER 2026</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0"/>
        </w:rPr>
        <w:t xml:space="preserve">FINANCIAL AND OPERATIONAL RESULTS </w:t>
      </w:r>
      <w:r>
        <w:rPr>
          <w:color w:val="000000"/>
        </w:rPr>
        <w:t xml:space="preserve">— </w:t>
      </w:r>
      <w:r>
        <w:rPr>
          <w:rFonts w:ascii="Times New Roman;serif" w:hAnsi="Times New Roman;serif"/>
          <w:b w:val="false"/>
          <w:color w:val="000000"/>
          <w:sz w:val="20"/>
        </w:rPr>
        <w:t>PAGE 6 of 6</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Cautionary note to investors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18"/>
        </w:rPr>
        <w:t xml:space="preserve">The United States Securities and Exchange Commission permits oil and gas companies, in their filings with the SEC, to disclose only proved, probable, and possible reserves that meet the SEC’s definitions for such terms. APA may use certain terms in this news release, such as “resources,” “potential resources,” “resource potential,” “estimated net reserves,” “recoverable reserves,” and other similar terms that the SEC guidelines strictly prohibit APA from including in filings with the SEC. Such terms do not take into account the certainty of resource recovery, which is contingent on exploration success, technical improvements in drilling access, commerciality, and other factors, and are therefore not indicative of expected future resource recovery and should not be relied upon. Investors are urged to consider carefully the disclosure in APA’s Annual Report on Form 10-K for the fiscal year ended Dec. 31, 2025, available from APA at </w:t>
      </w:r>
      <w:r>
        <w:rPr>
          <w:rFonts w:ascii="Times New Roman;serif" w:hAnsi="Times New Roman;serif"/>
          <w:b w:val="false"/>
          <w:color w:val="000000"/>
          <w:sz w:val="18"/>
          <w:u w:val="single"/>
        </w:rPr>
        <w:t>www.apacorp.com</w:t>
      </w:r>
      <w:r>
        <w:rPr>
          <w:color w:val="000000"/>
        </w:rPr>
        <w:t xml:space="preserve"> </w:t>
      </w:r>
      <w:r>
        <w:rPr>
          <w:rFonts w:ascii="Times New Roman;serif" w:hAnsi="Times New Roman;serif"/>
          <w:b w:val="false"/>
          <w:color w:val="000000"/>
          <w:sz w:val="18"/>
        </w:rPr>
        <w:t xml:space="preserve">or by writing APA at: 2000 W. Sam Houston Pkwy. S., Suite 200, Houston, TX 77042 (Attn: Corporate Secretary). You can also obtain this report from the SEC by calling 1-800-SEC-0330 or from the SEC’s website at </w:t>
      </w:r>
      <w:r>
        <w:rPr>
          <w:rFonts w:ascii="Times New Roman;serif" w:hAnsi="Times New Roman;serif"/>
          <w:b w:val="false"/>
          <w:color w:val="000000"/>
          <w:sz w:val="18"/>
          <w:u w:val="single"/>
        </w:rPr>
        <w:t>www.sec.gov</w:t>
      </w:r>
      <w:r>
        <w:rPr>
          <w:rFonts w:ascii="Times New Roman;serif" w:hAnsi="Times New Roman;serif"/>
          <w:b w:val="false"/>
          <w:color w:val="000000"/>
          <w:sz w:val="18"/>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Contacts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Investor: (281) 302-2286 | ir@apachecorp.com</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Media:  (713) 296-7276 | media@apachecorp.com</w:t>
      </w:r>
    </w:p>
    <w:p>
      <w:pPr>
        <w:pStyle w:val="TextBody"/>
        <w:bidi w:val="0"/>
        <w:spacing w:lineRule="auto" w:line="288" w:before="0" w:after="0"/>
        <w:jc w:val="left"/>
        <w:rPr/>
      </w:pPr>
      <w:r>
        <w:rPr>
          <w:rFonts w:ascii="Times New Roman;serif" w:hAnsi="Times New Roman;serif"/>
          <w:b w:val="false"/>
          <w:color w:val="000000"/>
          <w:sz w:val="18"/>
        </w:rPr>
        <w:t>Website: </w:t>
      </w:r>
      <w:r>
        <w:rPr>
          <w:rFonts w:ascii="Times New Roman;serif" w:hAnsi="Times New Roman;serif"/>
          <w:b w:val="false"/>
          <w:color w:val="000000"/>
          <w:sz w:val="18"/>
          <w:u w:val="single"/>
        </w:rPr>
        <w:t>www.apacorp.com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APA-F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APA CORPORATION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STATEMENT OF CONSOLIDATED OPERATIONS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 except per share data)</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60"/>
        <w:gridCol w:w="1743"/>
        <w:gridCol w:w="1752"/>
        <w:gridCol w:w="196"/>
        <w:gridCol w:w="556"/>
        <w:gridCol w:w="109"/>
        <w:gridCol w:w="109"/>
        <w:gridCol w:w="109"/>
        <w:gridCol w:w="109"/>
        <w:gridCol w:w="196"/>
        <w:gridCol w:w="556"/>
        <w:gridCol w:w="109"/>
        <w:gridCol w:w="109"/>
        <w:gridCol w:w="109"/>
        <w:gridCol w:w="109"/>
        <w:gridCol w:w="203"/>
        <w:gridCol w:w="576"/>
        <w:gridCol w:w="113"/>
        <w:gridCol w:w="113"/>
        <w:gridCol w:w="113"/>
        <w:gridCol w:w="113"/>
        <w:gridCol w:w="203"/>
        <w:gridCol w:w="576"/>
        <w:gridCol w:w="164"/>
      </w:tblGrid>
      <w:tr>
        <w:trPr/>
        <w:tc>
          <w:tcPr>
            <w:tcW w:w="2160"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w:t>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655" w:type="dxa"/>
            <w:gridSpan w:val="3"/>
            <w:tcBorders>
              <w:top w:val="single" w:sz="8" w:space="0" w:color="CCEEFF"/>
            </w:tcBorders>
            <w:shd w:fill="CCEEFF" w:val="clear"/>
            <w:tcMar>
              <w:top w:w="30" w:type="dxa"/>
              <w:left w:w="0" w:type="dxa"/>
              <w:bottom w:w="0" w:type="dxa"/>
              <w:right w:w="0" w:type="dxa"/>
            </w:tcMar>
            <w:vAlign w:val="center"/>
          </w:tcPr>
          <w:p>
            <w:pPr>
              <w:pStyle w:val="TableContents"/>
              <w:bidi w:val="0"/>
              <w:spacing w:lineRule="atLeast" w:line="196" w:before="0" w:after="0"/>
              <w:jc w:val="left"/>
              <w:rPr>
                <w:rFonts w:ascii="Times New Roman;serif" w:hAnsi="Times New Roman;serif"/>
                <w:b/>
                <w:color w:val="000000"/>
                <w:sz w:val="18"/>
              </w:rPr>
            </w:pPr>
            <w:r>
              <w:rPr>
                <w:rFonts w:ascii="Times New Roman;serif" w:hAnsi="Times New Roman;serif"/>
                <w:b/>
                <w:color w:val="000000"/>
                <w:sz w:val="18"/>
              </w:rPr>
              <w:t>REVENUES AND OTHER:</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Oil, natural gas, and natural gas liquids production revenues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Oil revenues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Natural gas revenues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Natural gas liquids revenues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3,757 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Purchased oil and gas sales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4,814 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instrument gains (losses),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divestitures,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5,224 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operating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Gathering, processing, and transmission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Purchased oil and gas costs (proceeds)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other than income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Exploration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reorganization, and separation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depletion, and amortization:</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Oil and gas property and equipment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retirement obligation accretion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costs,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3,433 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BEFORE INCOME TAXES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income tax provision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provision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INCLUDING NONCONTROLLING INTERESTS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ATTRIBUTABLE TO COMMON STOCK</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PER COMMON SHARE: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w:t>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w:t>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WEIGHTED-AVERAGE NUMBER OF COMMON SHARES OUTSTANDING:</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w:t>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w:t>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DIVIDENDS DECLARED PER COMMON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Page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Page 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APA CORPORATION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PRODUCTION INFORMATION</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78"/>
        <w:gridCol w:w="668"/>
        <w:gridCol w:w="672"/>
        <w:gridCol w:w="388"/>
        <w:gridCol w:w="348"/>
        <w:gridCol w:w="164"/>
        <w:gridCol w:w="109"/>
        <w:gridCol w:w="109"/>
        <w:gridCol w:w="109"/>
        <w:gridCol w:w="368"/>
        <w:gridCol w:w="368"/>
        <w:gridCol w:w="199"/>
        <w:gridCol w:w="109"/>
        <w:gridCol w:w="109"/>
        <w:gridCol w:w="109"/>
        <w:gridCol w:w="388"/>
        <w:gridCol w:w="348"/>
        <w:gridCol w:w="164"/>
        <w:gridCol w:w="109"/>
        <w:gridCol w:w="109"/>
        <w:gridCol w:w="109"/>
        <w:gridCol w:w="225"/>
        <w:gridCol w:w="225"/>
        <w:gridCol w:w="226"/>
        <w:gridCol w:w="109"/>
        <w:gridCol w:w="109"/>
        <w:gridCol w:w="109"/>
        <w:gridCol w:w="225"/>
        <w:gridCol w:w="225"/>
        <w:gridCol w:w="226"/>
        <w:gridCol w:w="109"/>
        <w:gridCol w:w="109"/>
        <w:gridCol w:w="109"/>
        <w:gridCol w:w="465"/>
        <w:gridCol w:w="271"/>
        <w:gridCol w:w="152"/>
        <w:gridCol w:w="141"/>
        <w:gridCol w:w="141"/>
        <w:gridCol w:w="141"/>
        <w:gridCol w:w="465"/>
        <w:gridCol w:w="271"/>
        <w:gridCol w:w="218"/>
      </w:tblGrid>
      <w:tr>
        <w:trPr/>
        <w:tc>
          <w:tcPr>
            <w:tcW w:w="87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For the Six Months Ended</w:t>
            </w:r>
          </w:p>
        </w:tc>
      </w:tr>
      <w:tr>
        <w:trPr/>
        <w:tc>
          <w:tcPr>
            <w:tcW w:w="2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142" w:before="0" w:after="283"/>
              <w:jc w:val="center"/>
              <w:rPr>
                <w:rFonts w:ascii="Times New Roman;serif" w:hAnsi="Times New Roman;serif"/>
                <w:b/>
                <w:color w:val="000000"/>
                <w:sz w:val="14"/>
              </w:rPr>
            </w:pPr>
            <w:r>
              <w:rPr>
                <w:rFonts w:ascii="Times New Roman;serif" w:hAnsi="Times New Roman;serif"/>
                <w:b/>
                <w:color w:val="000000"/>
                <w:sz w:val="14"/>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142" w:before="0" w:after="283"/>
              <w:jc w:val="center"/>
              <w:rPr>
                <w:rFonts w:ascii="Times New Roman;serif" w:hAnsi="Times New Roman;serif"/>
                <w:b/>
                <w:color w:val="000000"/>
                <w:sz w:val="14"/>
              </w:rPr>
            </w:pPr>
            <w:r>
              <w:rPr>
                <w:rFonts w:ascii="Times New Roman;serif" w:hAnsi="Times New Roman;serif"/>
                <w:b/>
                <w:color w:val="000000"/>
                <w:sz w:val="14"/>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142" w:before="0" w:after="283"/>
              <w:jc w:val="center"/>
              <w:rPr>
                <w:rFonts w:ascii="Times New Roman;serif" w:hAnsi="Times New Roman;serif"/>
                <w:b/>
                <w:color w:val="000000"/>
                <w:sz w:val="14"/>
              </w:rPr>
            </w:pPr>
            <w:r>
              <w:rPr>
                <w:rFonts w:ascii="Times New Roman;serif" w:hAnsi="Times New Roman;serif"/>
                <w:b/>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2Q26 to 1Q26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2Q26 to 2Q25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142" w:before="0" w:after="283"/>
              <w:jc w:val="center"/>
              <w:rPr>
                <w:rFonts w:ascii="Times New Roman;serif" w:hAnsi="Times New Roman;serif"/>
                <w:b/>
                <w:color w:val="000000"/>
                <w:sz w:val="14"/>
              </w:rPr>
            </w:pPr>
            <w:r>
              <w:rPr>
                <w:rFonts w:ascii="Times New Roman;serif" w:hAnsi="Times New Roman;serif"/>
                <w:b/>
                <w:color w:val="000000"/>
                <w:sz w:val="14"/>
              </w:rPr>
              <w:t>June 30,</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142" w:before="0" w:after="283"/>
              <w:jc w:val="center"/>
              <w:rPr>
                <w:rFonts w:ascii="Times New Roman;serif" w:hAnsi="Times New Roman;serif"/>
                <w:b/>
                <w:color w:val="000000"/>
                <w:sz w:val="14"/>
              </w:rPr>
            </w:pPr>
            <w:r>
              <w:rPr>
                <w:rFonts w:ascii="Times New Roman;serif" w:hAnsi="Times New Roman;serif"/>
                <w:b/>
                <w:color w:val="000000"/>
                <w:sz w:val="14"/>
              </w:rPr>
              <w:t>June 30,</w:t>
            </w:r>
          </w:p>
        </w:tc>
      </w:tr>
      <w:tr>
        <w:trPr/>
        <w:tc>
          <w:tcPr>
            <w:tcW w:w="2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2218" w:type="dxa"/>
            <w:gridSpan w:val="3"/>
            <w:tcBorders>
              <w:top w:val="single" w:sz="8" w:space="0" w:color="CCEEFF"/>
            </w:tcBorders>
            <w:shd w:fill="CCEEFF" w:val="clear"/>
            <w:tcMar>
              <w:top w:w="30" w:type="dxa"/>
              <w:left w:w="0" w:type="dxa"/>
              <w:bottom w:w="0" w:type="dxa"/>
              <w:right w:w="0" w:type="dxa"/>
            </w:tcMar>
            <w:vAlign w:val="center"/>
          </w:tcPr>
          <w:p>
            <w:pPr>
              <w:pStyle w:val="TableContents"/>
              <w:bidi w:val="0"/>
              <w:spacing w:lineRule="atLeast" w:line="196" w:before="0" w:after="0"/>
              <w:jc w:val="left"/>
              <w:rPr>
                <w:rFonts w:ascii="Times New Roman;serif" w:hAnsi="Times New Roman;serif"/>
                <w:b/>
                <w:color w:val="000000"/>
                <w:sz w:val="18"/>
              </w:rPr>
            </w:pPr>
            <w:r>
              <w:rPr>
                <w:rFonts w:ascii="Times New Roman;serif" w:hAnsi="Times New Roman;serif"/>
                <w:b/>
                <w:color w:val="000000"/>
                <w:sz w:val="18"/>
              </w:rPr>
              <w:t>OIL VOLUME - Barrels per day</w:t>
            </w:r>
          </w:p>
        </w:tc>
        <w:tc>
          <w:tcPr>
            <w:tcW w:w="9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123,455 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123,898 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123,725 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123,675 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124,420 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CCEEFF" w:val="clear"/>
            <w:tcMar>
              <w:top w:w="0" w:type="dxa"/>
              <w:left w:w="0" w:type="dxa"/>
              <w:bottom w:w="0" w:type="dxa"/>
              <w:right w:w="0" w:type="dxa"/>
            </w:tcMar>
            <w:vAlign w:val="center"/>
          </w:tcPr>
          <w:p>
            <w:pPr>
              <w:pStyle w:val="TableContents"/>
              <w:bidi w:val="0"/>
              <w:spacing w:lineRule="atLeast" w:line="216" w:before="0" w:after="0"/>
              <w:jc w:val="left"/>
              <w:rPr/>
            </w:pPr>
            <w:r>
              <w:rPr>
                <w:rFonts w:ascii="Times New Roman;serif" w:hAnsi="Times New Roman;serif"/>
                <w:b w:val="false"/>
                <w:color w:val="000000"/>
                <w:sz w:val="18"/>
              </w:rPr>
              <w:t xml:space="preserve">Egypt </w:t>
            </w:r>
            <w:r>
              <w:rPr>
                <w:rFonts w:ascii="Times New Roman;serif" w:hAnsi="Times New Roman;serif"/>
                <w:b w:val="false"/>
                <w:color w:val="000000"/>
                <w:sz w:val="12"/>
              </w:rPr>
              <w:t>(1,2)</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70,139 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86,736 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86,210 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78,392 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86,192 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Sea</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17,676 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21,336 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25,309 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19,496 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25,258 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CCEEFF" w:val="clear"/>
            <w:tcMar>
              <w:top w:w="0" w:type="dxa"/>
              <w:left w:w="0" w:type="dxa"/>
              <w:bottom w:w="0" w:type="dxa"/>
              <w:right w:w="0" w:type="dxa"/>
            </w:tcMar>
            <w:vAlign w:val="center"/>
          </w:tcPr>
          <w:p>
            <w:pPr>
              <w:pStyle w:val="TableContents"/>
              <w:bidi w:val="0"/>
              <w:spacing w:lineRule="atLeast" w:line="223" w:before="0" w:after="0"/>
              <w:jc w:val="left"/>
              <w:rPr/>
            </w:pPr>
            <w:r>
              <w:rPr>
                <w:rFonts w:ascii="Times New Roman;serif" w:hAnsi="Times New Roman;serif"/>
                <w:b w:val="false"/>
                <w:color w:val="000000"/>
                <w:sz w:val="18"/>
              </w:rPr>
              <w:t xml:space="preserve">Total </w:t>
            </w:r>
            <w:r>
              <w:rPr>
                <w:rFonts w:ascii="Times New Roman;serif" w:hAnsi="Times New Roman;serif"/>
                <w:b w:val="false"/>
                <w:color w:val="000000"/>
                <w:sz w:val="12"/>
              </w:rPr>
              <w:t>(1)</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211,270 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231,970 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235,244 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221,563 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235,870 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NATURAL GAS VOLUME - Mcf per day</w:t>
            </w:r>
          </w:p>
        </w:tc>
        <w:tc>
          <w:tcPr>
            <w:tcW w:w="9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403,474 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413,975 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519,276 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408,696 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546,853 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FFFFFF" w:val="clear"/>
            <w:tcMar>
              <w:top w:w="0" w:type="dxa"/>
              <w:left w:w="0" w:type="dxa"/>
              <w:bottom w:w="0" w:type="dxa"/>
              <w:right w:w="0" w:type="dxa"/>
            </w:tcMar>
            <w:vAlign w:val="center"/>
          </w:tcPr>
          <w:p>
            <w:pPr>
              <w:pStyle w:val="TableContents"/>
              <w:bidi w:val="0"/>
              <w:spacing w:lineRule="atLeast" w:line="216" w:before="0" w:after="0"/>
              <w:jc w:val="left"/>
              <w:rPr/>
            </w:pPr>
            <w:r>
              <w:rPr>
                <w:rFonts w:ascii="Times New Roman;serif" w:hAnsi="Times New Roman;serif"/>
                <w:b w:val="false"/>
                <w:color w:val="000000"/>
                <w:sz w:val="18"/>
              </w:rPr>
              <w:t xml:space="preserve">Egypt </w:t>
            </w:r>
            <w:r>
              <w:rPr>
                <w:rFonts w:ascii="Times New Roman;serif" w:hAnsi="Times New Roman;serif"/>
                <w:b w:val="false"/>
                <w:color w:val="000000"/>
                <w:sz w:val="12"/>
              </w:rPr>
              <w:t>(1, 2)</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327,286 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381,406 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345,649 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354,196 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331,507 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Sea</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21,365 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29,045 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29,174 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25,184 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30,383 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FFFFFF" w:val="clear"/>
            <w:tcMar>
              <w:top w:w="0" w:type="dxa"/>
              <w:left w:w="0" w:type="dxa"/>
              <w:bottom w:w="0" w:type="dxa"/>
              <w:right w:w="0" w:type="dxa"/>
            </w:tcMar>
            <w:vAlign w:val="center"/>
          </w:tcPr>
          <w:p>
            <w:pPr>
              <w:pStyle w:val="TableContents"/>
              <w:bidi w:val="0"/>
              <w:spacing w:lineRule="atLeast" w:line="223" w:before="0" w:after="0"/>
              <w:jc w:val="left"/>
              <w:rPr/>
            </w:pPr>
            <w:r>
              <w:rPr>
                <w:rFonts w:ascii="Times New Roman;serif" w:hAnsi="Times New Roman;serif"/>
                <w:b w:val="false"/>
                <w:color w:val="000000"/>
                <w:sz w:val="18"/>
              </w:rPr>
              <w:t xml:space="preserve">Total </w:t>
            </w:r>
            <w:r>
              <w:rPr>
                <w:rFonts w:ascii="Times New Roman;serif" w:hAnsi="Times New Roman;serif"/>
                <w:b w:val="false"/>
                <w:color w:val="000000"/>
                <w:sz w:val="12"/>
              </w:rPr>
              <w:t>(1)</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752,125 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824,426 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894,099 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788,076 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908,743 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NGL VOLUME - Barrels per day</w:t>
            </w:r>
          </w:p>
        </w:tc>
        <w:tc>
          <w:tcPr>
            <w:tcW w:w="9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72,487 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71,826 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79,632 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72,158 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78,525 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2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Sea</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FFFFFF" w:val="clear"/>
            <w:tcMar>
              <w:top w:w="0" w:type="dxa"/>
              <w:left w:w="0" w:type="dxa"/>
              <w:bottom w:w="0" w:type="dxa"/>
              <w:right w:w="0" w:type="dxa"/>
            </w:tcMar>
            <w:vAlign w:val="center"/>
          </w:tcPr>
          <w:p>
            <w:pPr>
              <w:pStyle w:val="TableContents"/>
              <w:bidi w:val="0"/>
              <w:spacing w:lineRule="atLeast" w:line="223" w:before="0" w:after="0"/>
              <w:jc w:val="left"/>
              <w:rPr/>
            </w:pPr>
            <w:r>
              <w:rPr>
                <w:rFonts w:ascii="Times New Roman;serif" w:hAnsi="Times New Roman;serif"/>
                <w:b w:val="false"/>
                <w:color w:val="000000"/>
                <w:sz w:val="18"/>
              </w:rPr>
              <w:t xml:space="preserve">Total </w:t>
            </w:r>
            <w:r>
              <w:rPr>
                <w:rFonts w:ascii="Times New Roman;serif" w:hAnsi="Times New Roman;serif"/>
                <w:b w:val="false"/>
                <w:color w:val="000000"/>
                <w:sz w:val="12"/>
              </w:rPr>
              <w:t>(1)</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73,335 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72,977 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80,818 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73,157 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79,690 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BOE per day</w:t>
            </w:r>
          </w:p>
        </w:tc>
        <w:tc>
          <w:tcPr>
            <w:tcW w:w="9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263,187 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264,720 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289,902 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263,949 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294,087 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CCEEFF" w:val="clear"/>
            <w:tcMar>
              <w:top w:w="0" w:type="dxa"/>
              <w:left w:w="0" w:type="dxa"/>
              <w:bottom w:w="0" w:type="dxa"/>
              <w:right w:w="0" w:type="dxa"/>
            </w:tcMar>
            <w:vAlign w:val="center"/>
          </w:tcPr>
          <w:p>
            <w:pPr>
              <w:pStyle w:val="TableContents"/>
              <w:bidi w:val="0"/>
              <w:spacing w:lineRule="atLeast" w:line="216" w:before="0" w:after="0"/>
              <w:jc w:val="left"/>
              <w:rPr/>
            </w:pPr>
            <w:r>
              <w:rPr>
                <w:rFonts w:ascii="Times New Roman;serif" w:hAnsi="Times New Roman;serif"/>
                <w:b w:val="false"/>
                <w:color w:val="000000"/>
                <w:sz w:val="18"/>
              </w:rPr>
              <w:t xml:space="preserve">Egypt </w:t>
            </w:r>
            <w:r>
              <w:rPr>
                <w:rFonts w:ascii="Times New Roman;serif" w:hAnsi="Times New Roman;serif"/>
                <w:b w:val="false"/>
                <w:color w:val="000000"/>
                <w:sz w:val="12"/>
              </w:rPr>
              <w:t>(1, 2)</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124,687 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150,304 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143,818 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137,425 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141,443 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Sea</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22,085 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27,328 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31,358 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24,692 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31,487 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CCEEFF" w:val="clear"/>
            <w:tcMar>
              <w:top w:w="0" w:type="dxa"/>
              <w:left w:w="0" w:type="dxa"/>
              <w:bottom w:w="0" w:type="dxa"/>
              <w:right w:w="0" w:type="dxa"/>
            </w:tcMar>
            <w:vAlign w:val="center"/>
          </w:tcPr>
          <w:p>
            <w:pPr>
              <w:pStyle w:val="TableContents"/>
              <w:bidi w:val="0"/>
              <w:spacing w:lineRule="atLeast" w:line="223" w:before="0" w:after="0"/>
              <w:jc w:val="left"/>
              <w:rPr/>
            </w:pPr>
            <w:r>
              <w:rPr>
                <w:rFonts w:ascii="Times New Roman;serif" w:hAnsi="Times New Roman;serif"/>
                <w:b w:val="false"/>
                <w:color w:val="000000"/>
                <w:sz w:val="18"/>
              </w:rPr>
              <w:t xml:space="preserve">Total </w:t>
            </w:r>
            <w:r>
              <w:rPr>
                <w:rFonts w:ascii="Times New Roman;serif" w:hAnsi="Times New Roman;serif"/>
                <w:b w:val="false"/>
                <w:color w:val="000000"/>
                <w:sz w:val="12"/>
              </w:rPr>
              <w:t>(1)</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409,959 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442,352 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465,078 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426,066 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467,017 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8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r>
      <w:tr>
        <w:trPr/>
        <w:tc>
          <w:tcPr>
            <w:tcW w:w="2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excluding noncontrolling interests</w:t>
            </w:r>
          </w:p>
        </w:tc>
        <w:tc>
          <w:tcPr>
            <w:tcW w:w="73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368,385 </w:t>
            </w:r>
          </w:p>
        </w:tc>
        <w:tc>
          <w:tcPr>
            <w:tcW w:w="16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392,235 </w:t>
            </w:r>
          </w:p>
        </w:tc>
        <w:tc>
          <w:tcPr>
            <w:tcW w:w="19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417,096 </w:t>
            </w:r>
          </w:p>
        </w:tc>
        <w:tc>
          <w:tcPr>
            <w:tcW w:w="16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380,245 </w:t>
            </w:r>
          </w:p>
        </w:tc>
        <w:tc>
          <w:tcPr>
            <w:tcW w:w="15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419,830 </w:t>
            </w:r>
          </w:p>
        </w:tc>
        <w:tc>
          <w:tcPr>
            <w:tcW w:w="21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 Includes net production volumes attributed to our noncontrolling partner in Egypt below:</w:t>
      </w:r>
    </w:p>
    <w:p>
      <w:pPr>
        <w:pStyle w:val="TextBody"/>
        <w:bidi w:val="0"/>
        <w:spacing w:before="0" w:after="0"/>
        <w:jc w:val="left"/>
        <w:rPr/>
      </w:pPr>
      <w:r>
        <w:rPr/>
      </w:r>
    </w:p>
    <w:tbl>
      <w:tblPr>
        <w:tblW w:w="7935" w:type="dxa"/>
        <w:jc w:val="left"/>
        <w:tblInd w:w="0" w:type="dxa"/>
        <w:tblLayout w:type="fixed"/>
        <w:tblCellMar>
          <w:top w:w="28" w:type="dxa"/>
          <w:left w:w="28" w:type="dxa"/>
          <w:bottom w:w="28" w:type="dxa"/>
          <w:right w:w="28" w:type="dxa"/>
        </w:tblCellMar>
      </w:tblPr>
      <w:tblGrid>
        <w:gridCol w:w="379"/>
        <w:gridCol w:w="333"/>
        <w:gridCol w:w="337"/>
        <w:gridCol w:w="368"/>
        <w:gridCol w:w="368"/>
        <w:gridCol w:w="109"/>
        <w:gridCol w:w="109"/>
        <w:gridCol w:w="109"/>
        <w:gridCol w:w="109"/>
        <w:gridCol w:w="368"/>
        <w:gridCol w:w="368"/>
        <w:gridCol w:w="109"/>
        <w:gridCol w:w="109"/>
        <w:gridCol w:w="109"/>
        <w:gridCol w:w="109"/>
        <w:gridCol w:w="368"/>
        <w:gridCol w:w="368"/>
        <w:gridCol w:w="109"/>
        <w:gridCol w:w="109"/>
        <w:gridCol w:w="109"/>
        <w:gridCol w:w="109"/>
        <w:gridCol w:w="109"/>
        <w:gridCol w:w="109"/>
        <w:gridCol w:w="109"/>
        <w:gridCol w:w="109"/>
        <w:gridCol w:w="109"/>
        <w:gridCol w:w="109"/>
        <w:gridCol w:w="109"/>
        <w:gridCol w:w="109"/>
        <w:gridCol w:w="109"/>
        <w:gridCol w:w="109"/>
        <w:gridCol w:w="109"/>
        <w:gridCol w:w="109"/>
        <w:gridCol w:w="368"/>
        <w:gridCol w:w="368"/>
        <w:gridCol w:w="109"/>
        <w:gridCol w:w="109"/>
        <w:gridCol w:w="109"/>
        <w:gridCol w:w="109"/>
        <w:gridCol w:w="368"/>
        <w:gridCol w:w="368"/>
        <w:gridCol w:w="154"/>
      </w:tblGrid>
      <w:tr>
        <w:trPr/>
        <w:tc>
          <w:tcPr>
            <w:tcW w:w="37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Oil (b/d)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Gas (Mcf/d)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110,596 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BOE per day</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 Egypt Gross Production:</w:t>
      </w:r>
    </w:p>
    <w:p>
      <w:pPr>
        <w:pStyle w:val="TextBody"/>
        <w:bidi w:val="0"/>
        <w:spacing w:before="0" w:after="0"/>
        <w:jc w:val="left"/>
        <w:rPr/>
      </w:pPr>
      <w:r>
        <w:rPr/>
      </w:r>
    </w:p>
    <w:tbl>
      <w:tblPr>
        <w:tblW w:w="7935" w:type="dxa"/>
        <w:jc w:val="left"/>
        <w:tblInd w:w="0" w:type="dxa"/>
        <w:tblLayout w:type="fixed"/>
        <w:tblCellMar>
          <w:top w:w="28" w:type="dxa"/>
          <w:left w:w="28" w:type="dxa"/>
          <w:bottom w:w="28" w:type="dxa"/>
          <w:right w:w="28" w:type="dxa"/>
        </w:tblCellMar>
      </w:tblPr>
      <w:tblGrid>
        <w:gridCol w:w="379"/>
        <w:gridCol w:w="333"/>
        <w:gridCol w:w="337"/>
        <w:gridCol w:w="368"/>
        <w:gridCol w:w="368"/>
        <w:gridCol w:w="109"/>
        <w:gridCol w:w="109"/>
        <w:gridCol w:w="109"/>
        <w:gridCol w:w="109"/>
        <w:gridCol w:w="368"/>
        <w:gridCol w:w="368"/>
        <w:gridCol w:w="109"/>
        <w:gridCol w:w="109"/>
        <w:gridCol w:w="109"/>
        <w:gridCol w:w="109"/>
        <w:gridCol w:w="368"/>
        <w:gridCol w:w="368"/>
        <w:gridCol w:w="109"/>
        <w:gridCol w:w="109"/>
        <w:gridCol w:w="109"/>
        <w:gridCol w:w="109"/>
        <w:gridCol w:w="109"/>
        <w:gridCol w:w="109"/>
        <w:gridCol w:w="109"/>
        <w:gridCol w:w="109"/>
        <w:gridCol w:w="109"/>
        <w:gridCol w:w="109"/>
        <w:gridCol w:w="109"/>
        <w:gridCol w:w="109"/>
        <w:gridCol w:w="109"/>
        <w:gridCol w:w="109"/>
        <w:gridCol w:w="109"/>
        <w:gridCol w:w="109"/>
        <w:gridCol w:w="368"/>
        <w:gridCol w:w="368"/>
        <w:gridCol w:w="109"/>
        <w:gridCol w:w="109"/>
        <w:gridCol w:w="109"/>
        <w:gridCol w:w="109"/>
        <w:gridCol w:w="368"/>
        <w:gridCol w:w="368"/>
        <w:gridCol w:w="154"/>
      </w:tblGrid>
      <w:tr>
        <w:trPr/>
        <w:tc>
          <w:tcPr>
            <w:tcW w:w="37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Oil (b/d)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Gas (Mcf/d)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468,157 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BOE per day</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203,953 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Page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Page 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APA CORPORATION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ADJUSTED PRODUCTION INFORMATION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Adjusted production excludes certain items that management believes affect the comparability of operating results for the periods presented. Adjusted production excludes production attributable to 1) noncontrolling interest in Egypt and 2) Egypt tax barrels. Management uses adjusted production to evaluate the company’s operational trends and performance and believes it is useful to investors and other third parties.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28"/>
        <w:gridCol w:w="680"/>
        <w:gridCol w:w="685"/>
        <w:gridCol w:w="388"/>
        <w:gridCol w:w="348"/>
        <w:gridCol w:w="165"/>
        <w:gridCol w:w="109"/>
        <w:gridCol w:w="109"/>
        <w:gridCol w:w="109"/>
        <w:gridCol w:w="368"/>
        <w:gridCol w:w="368"/>
        <w:gridCol w:w="200"/>
        <w:gridCol w:w="109"/>
        <w:gridCol w:w="109"/>
        <w:gridCol w:w="109"/>
        <w:gridCol w:w="388"/>
        <w:gridCol w:w="348"/>
        <w:gridCol w:w="165"/>
        <w:gridCol w:w="109"/>
        <w:gridCol w:w="109"/>
        <w:gridCol w:w="109"/>
        <w:gridCol w:w="228"/>
        <w:gridCol w:w="228"/>
        <w:gridCol w:w="229"/>
        <w:gridCol w:w="109"/>
        <w:gridCol w:w="109"/>
        <w:gridCol w:w="109"/>
        <w:gridCol w:w="228"/>
        <w:gridCol w:w="228"/>
        <w:gridCol w:w="229"/>
        <w:gridCol w:w="109"/>
        <w:gridCol w:w="109"/>
        <w:gridCol w:w="109"/>
        <w:gridCol w:w="465"/>
        <w:gridCol w:w="271"/>
        <w:gridCol w:w="153"/>
        <w:gridCol w:w="142"/>
        <w:gridCol w:w="142"/>
        <w:gridCol w:w="142"/>
        <w:gridCol w:w="465"/>
        <w:gridCol w:w="271"/>
        <w:gridCol w:w="218"/>
      </w:tblGrid>
      <w:tr>
        <w:trPr/>
        <w:tc>
          <w:tcPr>
            <w:tcW w:w="82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For the Six Months Ended</w:t>
            </w:r>
          </w:p>
        </w:tc>
      </w:tr>
      <w:tr>
        <w:trPr/>
        <w:tc>
          <w:tcPr>
            <w:tcW w:w="2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142" w:before="0" w:after="283"/>
              <w:jc w:val="center"/>
              <w:rPr>
                <w:rFonts w:ascii="Times New Roman;serif" w:hAnsi="Times New Roman;serif"/>
                <w:b/>
                <w:color w:val="000000"/>
                <w:sz w:val="14"/>
              </w:rPr>
            </w:pPr>
            <w:r>
              <w:rPr>
                <w:rFonts w:ascii="Times New Roman;serif" w:hAnsi="Times New Roman;serif"/>
                <w:b/>
                <w:color w:val="000000"/>
                <w:sz w:val="14"/>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142" w:before="0" w:after="283"/>
              <w:jc w:val="center"/>
              <w:rPr>
                <w:rFonts w:ascii="Times New Roman;serif" w:hAnsi="Times New Roman;serif"/>
                <w:b/>
                <w:color w:val="000000"/>
                <w:sz w:val="14"/>
              </w:rPr>
            </w:pPr>
            <w:r>
              <w:rPr>
                <w:rFonts w:ascii="Times New Roman;serif" w:hAnsi="Times New Roman;serif"/>
                <w:b/>
                <w:color w:val="000000"/>
                <w:sz w:val="14"/>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142" w:before="0" w:after="283"/>
              <w:jc w:val="center"/>
              <w:rPr>
                <w:rFonts w:ascii="Times New Roman;serif" w:hAnsi="Times New Roman;serif"/>
                <w:b/>
                <w:color w:val="000000"/>
                <w:sz w:val="14"/>
              </w:rPr>
            </w:pPr>
            <w:r>
              <w:rPr>
                <w:rFonts w:ascii="Times New Roman;serif" w:hAnsi="Times New Roman;serif"/>
                <w:b/>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2Q26 to 1Q26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2Q26 to 2Q25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142" w:before="0" w:after="283"/>
              <w:jc w:val="center"/>
              <w:rPr>
                <w:rFonts w:ascii="Times New Roman;serif" w:hAnsi="Times New Roman;serif"/>
                <w:b/>
                <w:color w:val="000000"/>
                <w:sz w:val="14"/>
              </w:rPr>
            </w:pPr>
            <w:r>
              <w:rPr>
                <w:rFonts w:ascii="Times New Roman;serif" w:hAnsi="Times New Roman;serif"/>
                <w:b/>
                <w:color w:val="000000"/>
                <w:sz w:val="14"/>
              </w:rPr>
              <w:t>June 30,</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142" w:before="0" w:after="283"/>
              <w:jc w:val="center"/>
              <w:rPr>
                <w:rFonts w:ascii="Times New Roman;serif" w:hAnsi="Times New Roman;serif"/>
                <w:b/>
                <w:color w:val="000000"/>
                <w:sz w:val="14"/>
              </w:rPr>
            </w:pPr>
            <w:r>
              <w:rPr>
                <w:rFonts w:ascii="Times New Roman;serif" w:hAnsi="Times New Roman;serif"/>
                <w:b/>
                <w:color w:val="000000"/>
                <w:sz w:val="14"/>
              </w:rPr>
              <w:t>June 30,</w:t>
            </w:r>
          </w:p>
        </w:tc>
      </w:tr>
      <w:tr>
        <w:trPr/>
        <w:tc>
          <w:tcPr>
            <w:tcW w:w="2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2193" w:type="dxa"/>
            <w:gridSpan w:val="3"/>
            <w:tcBorders>
              <w:top w:val="single" w:sz="8" w:space="0" w:color="CCEEFF"/>
            </w:tcBorders>
            <w:shd w:fill="CCEEFF" w:val="clear"/>
            <w:tcMar>
              <w:top w:w="30" w:type="dxa"/>
              <w:left w:w="0" w:type="dxa"/>
              <w:bottom w:w="0" w:type="dxa"/>
              <w:right w:w="0" w:type="dxa"/>
            </w:tcMar>
            <w:vAlign w:val="center"/>
          </w:tcPr>
          <w:p>
            <w:pPr>
              <w:pStyle w:val="TableContents"/>
              <w:bidi w:val="0"/>
              <w:spacing w:lineRule="atLeast" w:line="196" w:before="0" w:after="0"/>
              <w:jc w:val="left"/>
              <w:rPr>
                <w:rFonts w:ascii="Times New Roman;serif" w:hAnsi="Times New Roman;serif"/>
                <w:b/>
                <w:color w:val="000000"/>
                <w:sz w:val="18"/>
              </w:rPr>
            </w:pPr>
            <w:r>
              <w:rPr>
                <w:rFonts w:ascii="Times New Roman;serif" w:hAnsi="Times New Roman;serif"/>
                <w:b/>
                <w:color w:val="000000"/>
                <w:sz w:val="18"/>
              </w:rPr>
              <w:t>OIL VOLUME - Barrels per day</w:t>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123,455 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123,898 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123,725 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123,675 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124,420 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Egypt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34,555 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41,253 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43,593 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37,885 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43,060 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Sea</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17,676 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21,336 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25,309 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19,496 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25,258 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175,686 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186,487 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192,627 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181,056 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192,738 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8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8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8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NATURAL GAS VOLUME - Mcf per day</w:t>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403,474 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413,975 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519,276 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408,696 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546,853 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Egypt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161,168 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180,854 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175,126 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170,956 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165,395 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Sea</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21,365 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29,045 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29,174 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25,184 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30,383 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586,007 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623,874 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723,576 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604,836 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742,631 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8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8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8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NGL VOLUME - Barrels per day</w:t>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72,487 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71,826 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79,632 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72,158 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78,525 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Sea</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73,335 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72,977 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80,818 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73,157 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79,690 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8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8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BOE per day</w:t>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263,187 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264,720 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289,902 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263,949 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294,087 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Egypt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61,416 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71,395 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72,781 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66,378 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70,626 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Sea</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22,085 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27,328 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31,358 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24,692 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31,487 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346,688 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363,443 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394,041 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355,019 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396,200 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Page 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Page 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APA CORPORATION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PRICE INFORMATION</w:t>
      </w:r>
    </w:p>
    <w:p>
      <w:pPr>
        <w:pStyle w:val="TextBody"/>
        <w:bidi w:val="0"/>
        <w:spacing w:before="0" w:after="0"/>
        <w:jc w:val="center"/>
        <w:rPr/>
      </w:pPr>
      <w:r>
        <w:rPr/>
      </w:r>
    </w:p>
    <w:tbl>
      <w:tblPr>
        <w:tblW w:w="9796" w:type="dxa"/>
        <w:jc w:val="left"/>
        <w:tblInd w:w="0" w:type="dxa"/>
        <w:tblLayout w:type="fixed"/>
        <w:tblCellMar>
          <w:top w:w="28" w:type="dxa"/>
          <w:left w:w="28" w:type="dxa"/>
          <w:bottom w:w="28" w:type="dxa"/>
          <w:right w:w="28" w:type="dxa"/>
        </w:tblCellMar>
      </w:tblPr>
      <w:tblGrid>
        <w:gridCol w:w="1406"/>
        <w:gridCol w:w="1237"/>
        <w:gridCol w:w="1241"/>
        <w:gridCol w:w="109"/>
        <w:gridCol w:w="109"/>
        <w:gridCol w:w="109"/>
        <w:gridCol w:w="284"/>
        <w:gridCol w:w="269"/>
        <w:gridCol w:w="271"/>
        <w:gridCol w:w="109"/>
        <w:gridCol w:w="109"/>
        <w:gridCol w:w="109"/>
        <w:gridCol w:w="333"/>
        <w:gridCol w:w="267"/>
        <w:gridCol w:w="273"/>
        <w:gridCol w:w="109"/>
        <w:gridCol w:w="109"/>
        <w:gridCol w:w="109"/>
        <w:gridCol w:w="284"/>
        <w:gridCol w:w="255"/>
        <w:gridCol w:w="256"/>
        <w:gridCol w:w="109"/>
        <w:gridCol w:w="109"/>
        <w:gridCol w:w="109"/>
        <w:gridCol w:w="284"/>
        <w:gridCol w:w="269"/>
        <w:gridCol w:w="271"/>
        <w:gridCol w:w="152"/>
        <w:gridCol w:w="152"/>
        <w:gridCol w:w="152"/>
        <w:gridCol w:w="276"/>
        <w:gridCol w:w="230"/>
        <w:gridCol w:w="326"/>
      </w:tblGrid>
      <w:tr>
        <w:trPr/>
        <w:tc>
          <w:tcPr>
            <w:tcW w:w="1406"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For the Six Months Ended</w:t>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142" w:before="0" w:after="283"/>
              <w:jc w:val="center"/>
              <w:rPr>
                <w:rFonts w:ascii="Times New Roman;serif" w:hAnsi="Times New Roman;serif"/>
                <w:b/>
                <w:color w:val="000000"/>
                <w:sz w:val="14"/>
              </w:rPr>
            </w:pPr>
            <w:r>
              <w:rPr>
                <w:rFonts w:ascii="Times New Roman;serif" w:hAnsi="Times New Roman;serif"/>
                <w:b/>
                <w:color w:val="000000"/>
                <w:sz w:val="14"/>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142" w:before="0" w:after="283"/>
              <w:jc w:val="center"/>
              <w:rPr>
                <w:rFonts w:ascii="Times New Roman;serif" w:hAnsi="Times New Roman;serif"/>
                <w:b/>
                <w:color w:val="000000"/>
                <w:sz w:val="14"/>
              </w:rPr>
            </w:pPr>
            <w:r>
              <w:rPr>
                <w:rFonts w:ascii="Times New Roman;serif" w:hAnsi="Times New Roman;serif"/>
                <w:b/>
                <w:color w:val="000000"/>
                <w:sz w:val="14"/>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142" w:before="0" w:after="283"/>
              <w:jc w:val="center"/>
              <w:rPr>
                <w:rFonts w:ascii="Times New Roman;serif" w:hAnsi="Times New Roman;serif"/>
                <w:b/>
                <w:color w:val="000000"/>
                <w:sz w:val="14"/>
              </w:rPr>
            </w:pPr>
            <w:r>
              <w:rPr>
                <w:rFonts w:ascii="Times New Roman;serif" w:hAnsi="Times New Roman;serif"/>
                <w:b/>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142" w:before="0" w:after="283"/>
              <w:jc w:val="center"/>
              <w:rPr>
                <w:rFonts w:ascii="Times New Roman;serif" w:hAnsi="Times New Roman;serif"/>
                <w:b/>
                <w:color w:val="000000"/>
                <w:sz w:val="14"/>
              </w:rPr>
            </w:pPr>
            <w:r>
              <w:rPr>
                <w:rFonts w:ascii="Times New Roman;serif" w:hAnsi="Times New Roman;serif"/>
                <w:b/>
                <w:color w:val="000000"/>
                <w:sz w:val="14"/>
              </w:rPr>
              <w:t>June 30,</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142" w:before="0" w:after="283"/>
              <w:jc w:val="center"/>
              <w:rPr>
                <w:rFonts w:ascii="Times New Roman;serif" w:hAnsi="Times New Roman;serif"/>
                <w:b/>
                <w:color w:val="000000"/>
                <w:sz w:val="14"/>
              </w:rPr>
            </w:pPr>
            <w:r>
              <w:rPr>
                <w:rFonts w:ascii="Times New Roman;serif" w:hAnsi="Times New Roman;serif"/>
                <w:b/>
                <w:color w:val="000000"/>
                <w:sz w:val="14"/>
              </w:rPr>
              <w:t>June 30,</w:t>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3884" w:type="dxa"/>
            <w:gridSpan w:val="3"/>
            <w:tcBorders>
              <w:top w:val="single" w:sz="8" w:space="0" w:color="CCEEFF"/>
            </w:tcBorders>
            <w:shd w:fill="CCEEFF" w:val="clear"/>
            <w:tcMar>
              <w:top w:w="30" w:type="dxa"/>
              <w:left w:w="0" w:type="dxa"/>
              <w:bottom w:w="0" w:type="dxa"/>
              <w:right w:w="0" w:type="dxa"/>
            </w:tcMar>
            <w:vAlign w:val="center"/>
          </w:tcPr>
          <w:p>
            <w:pPr>
              <w:pStyle w:val="TableContents"/>
              <w:bidi w:val="0"/>
              <w:spacing w:lineRule="atLeast" w:line="196" w:before="0" w:after="0"/>
              <w:jc w:val="left"/>
              <w:rPr>
                <w:rFonts w:ascii="Times New Roman;serif" w:hAnsi="Times New Roman;serif"/>
                <w:b/>
                <w:color w:val="000000"/>
                <w:sz w:val="18"/>
              </w:rPr>
            </w:pPr>
            <w:r>
              <w:rPr>
                <w:rFonts w:ascii="Times New Roman;serif" w:hAnsi="Times New Roman;serif"/>
                <w:b/>
                <w:color w:val="000000"/>
                <w:sz w:val="18"/>
              </w:rPr>
              <w:t>AVERAGE OIL PRICE PER BARREL</w:t>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85.54</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68.64</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Egypt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90.48</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70.70</w:t>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Sea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93.36</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71.61</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87.89</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69.72</w:t>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AVERAGE NATURAL GAS PRICE PER MCF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Egypt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w:t>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Sea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14.89</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w:t>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AVERAGE NGL PRICE PER BARREL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22.26</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23.91</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Sea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55.59</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46.28</w:t>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23.19</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Page 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Page 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APA CORPORATION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SUPPLEMENTAL FINANCIAL INFORMATION</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w:t>
      </w:r>
    </w:p>
    <w:p>
      <w:pPr>
        <w:pStyle w:val="TextBody"/>
        <w:bidi w:val="0"/>
        <w:spacing w:before="0" w:after="0"/>
        <w:jc w:val="left"/>
        <w:rPr/>
      </w:pPr>
      <w:r>
        <w:rPr/>
      </w:r>
    </w:p>
    <w:tbl>
      <w:tblPr>
        <w:tblW w:w="7088" w:type="dxa"/>
        <w:jc w:val="center"/>
        <w:tblInd w:w="0" w:type="dxa"/>
        <w:tblLayout w:type="fixed"/>
        <w:tblCellMar>
          <w:top w:w="28" w:type="dxa"/>
          <w:left w:w="28" w:type="dxa"/>
          <w:bottom w:w="28" w:type="dxa"/>
          <w:right w:w="28" w:type="dxa"/>
        </w:tblCellMar>
      </w:tblPr>
      <w:tblGrid>
        <w:gridCol w:w="972"/>
        <w:gridCol w:w="853"/>
        <w:gridCol w:w="859"/>
        <w:gridCol w:w="232"/>
        <w:gridCol w:w="392"/>
        <w:gridCol w:w="129"/>
        <w:gridCol w:w="129"/>
        <w:gridCol w:w="129"/>
        <w:gridCol w:w="129"/>
        <w:gridCol w:w="232"/>
        <w:gridCol w:w="481"/>
        <w:gridCol w:w="129"/>
        <w:gridCol w:w="129"/>
        <w:gridCol w:w="129"/>
        <w:gridCol w:w="129"/>
        <w:gridCol w:w="232"/>
        <w:gridCol w:w="392"/>
        <w:gridCol w:w="129"/>
        <w:gridCol w:w="129"/>
        <w:gridCol w:w="129"/>
        <w:gridCol w:w="129"/>
        <w:gridCol w:w="232"/>
        <w:gridCol w:w="481"/>
        <w:gridCol w:w="182"/>
      </w:tblGrid>
      <w:tr>
        <w:trPr/>
        <w:tc>
          <w:tcPr>
            <w:tcW w:w="97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7088"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SUMMARY EXPLORATION EXPENSE INFORMATION</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Quarter Ended</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Six Months Ended</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2684" w:type="dxa"/>
            <w:gridSpan w:val="3"/>
            <w:tcBorders>
              <w:top w:val="single" w:sz="8" w:space="0" w:color="CCEE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Unproved leasehold impairments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Dry hole expense</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Geological and geophysical expense</w:t>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Exploration overhead and other</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double" w:sz="8" w:space="0" w:color="000000"/>
            </w:tcBorders>
            <w:tcMar>
              <w:left w:w="0" w:type="dxa"/>
              <w:bottom w:w="0" w:type="dxa"/>
              <w:right w:w="0" w:type="dxa"/>
            </w:tcMar>
            <w:vAlign w:val="center"/>
          </w:tcPr>
          <w:p>
            <w:pPr>
              <w:pStyle w:val="TableContents"/>
              <w:bidi w:val="0"/>
              <w:spacing w:before="0" w:after="0"/>
              <w:jc w:val="left"/>
              <w:rPr/>
            </w:pPr>
            <w:r>
              <w:rPr/>
            </w:r>
          </w:p>
        </w:tc>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42" w:type="dxa"/>
            <w:gridSpan w:val="3"/>
            <w:tcBorders>
              <w:top w:val="double" w:sz="8" w:space="0" w:color="000000"/>
            </w:tcBorders>
            <w:tcMar>
              <w:left w:w="0" w:type="dxa"/>
              <w:bottom w:w="0" w:type="dxa"/>
              <w:right w:w="0" w:type="dxa"/>
            </w:tcMar>
            <w:vAlign w:val="center"/>
          </w:tcPr>
          <w:p>
            <w:pPr>
              <w:pStyle w:val="TableContents"/>
              <w:bidi w:val="0"/>
              <w:spacing w:before="0" w:after="0"/>
              <w:jc w:val="left"/>
              <w:rPr/>
            </w:pPr>
            <w:r>
              <w:rPr/>
            </w:r>
          </w:p>
        </w:tc>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3" w:type="dxa"/>
            <w:gridSpan w:val="3"/>
            <w:tcBorders>
              <w:top w:val="double" w:sz="8" w:space="0" w:color="000000"/>
            </w:tcBorders>
            <w:tcMar>
              <w:left w:w="0" w:type="dxa"/>
              <w:bottom w:w="0" w:type="dxa"/>
              <w:right w:w="0" w:type="dxa"/>
            </w:tcMar>
            <w:vAlign w:val="center"/>
          </w:tcPr>
          <w:p>
            <w:pPr>
              <w:pStyle w:val="TableContents"/>
              <w:bidi w:val="0"/>
              <w:spacing w:before="0" w:after="0"/>
              <w:jc w:val="left"/>
              <w:rPr/>
            </w:pPr>
            <w:r>
              <w:rPr/>
            </w:r>
          </w:p>
        </w:tc>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95" w:type="dxa"/>
            <w:gridSpan w:val="3"/>
            <w:tcBorders>
              <w:top w:val="double" w:sz="8" w:space="0" w:color="000000"/>
            </w:tcBorders>
            <w:tcMar>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62"/>
        <w:gridCol w:w="1251"/>
        <w:gridCol w:w="1254"/>
        <w:gridCol w:w="260"/>
        <w:gridCol w:w="439"/>
        <w:gridCol w:w="144"/>
        <w:gridCol w:w="144"/>
        <w:gridCol w:w="144"/>
        <w:gridCol w:w="144"/>
        <w:gridCol w:w="260"/>
        <w:gridCol w:w="439"/>
        <w:gridCol w:w="144"/>
        <w:gridCol w:w="144"/>
        <w:gridCol w:w="144"/>
        <w:gridCol w:w="144"/>
        <w:gridCol w:w="260"/>
        <w:gridCol w:w="439"/>
        <w:gridCol w:w="144"/>
        <w:gridCol w:w="144"/>
        <w:gridCol w:w="144"/>
        <w:gridCol w:w="144"/>
        <w:gridCol w:w="260"/>
        <w:gridCol w:w="559"/>
        <w:gridCol w:w="144"/>
        <w:gridCol w:w="144"/>
        <w:gridCol w:w="144"/>
        <w:gridCol w:w="144"/>
        <w:gridCol w:w="260"/>
        <w:gridCol w:w="439"/>
        <w:gridCol w:w="219"/>
      </w:tblGrid>
      <w:tr>
        <w:trPr/>
        <w:tc>
          <w:tcPr>
            <w:tcW w:w="1562"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SUMMARY STOCK-SETTLED AND CASH-SETTLED EQUITY COMPENSATION INFORMATION</w:t>
            </w:r>
          </w:p>
        </w:tc>
      </w:tr>
      <w:tr>
        <w:trPr/>
        <w:tc>
          <w:tcPr>
            <w:tcW w:w="4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Quarter Ended</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Six Months Ended</w:t>
            </w:r>
          </w:p>
        </w:tc>
      </w:tr>
      <w:tr>
        <w:trPr/>
        <w:tc>
          <w:tcPr>
            <w:tcW w:w="4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March 31,</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w:t>
            </w:r>
          </w:p>
        </w:tc>
      </w:tr>
      <w:tr>
        <w:trPr/>
        <w:tc>
          <w:tcPr>
            <w:tcW w:w="4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4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Stock-settled and cash-settled compensation expensed:</w:t>
            </w:r>
          </w:p>
        </w:tc>
        <w:tc>
          <w:tcPr>
            <w:tcW w:w="8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7" w:type="dxa"/>
            <w:gridSpan w:val="3"/>
            <w:tcBorders>
              <w:top w:val="single" w:sz="8" w:space="0" w:color="CCEE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operating expenses</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Exploration</w:t>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stock-settled and cash-settled compensation expensed</w:t>
            </w:r>
          </w:p>
        </w:tc>
        <w:tc>
          <w:tcPr>
            <w:tcW w:w="6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Stock-settled and cash-settled compensation capitalized</w:t>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Stock-settled and cash-settled compensation associated with abandonment and decommissioning</w:t>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stock-settled and cash-settled compensation costs</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double" w:sz="8" w:space="0" w:color="000000"/>
            </w:tcBorders>
            <w:tcMar>
              <w:left w:w="0" w:type="dxa"/>
              <w:bottom w:w="0" w:type="dxa"/>
              <w:right w:w="0" w:type="dxa"/>
            </w:tcMar>
            <w:vAlign w:val="center"/>
          </w:tcPr>
          <w:p>
            <w:pPr>
              <w:pStyle w:val="TableContents"/>
              <w:bidi w:val="0"/>
              <w:spacing w:before="0" w:after="0"/>
              <w:jc w:val="left"/>
              <w:rPr/>
            </w:pPr>
            <w:r>
              <w:rPr/>
            </w:r>
          </w:p>
        </w:tc>
        <w:tc>
          <w:tcPr>
            <w:tcW w:w="43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43" w:type="dxa"/>
            <w:gridSpan w:val="3"/>
            <w:tcBorders>
              <w:top w:val="double" w:sz="8" w:space="0" w:color="000000"/>
            </w:tcBorders>
            <w:tcMar>
              <w:left w:w="0" w:type="dxa"/>
              <w:bottom w:w="0" w:type="dxa"/>
              <w:right w:w="0" w:type="dxa"/>
            </w:tcMar>
            <w:vAlign w:val="center"/>
          </w:tcPr>
          <w:p>
            <w:pPr>
              <w:pStyle w:val="TableContents"/>
              <w:bidi w:val="0"/>
              <w:spacing w:before="0" w:after="0"/>
              <w:jc w:val="left"/>
              <w:rPr/>
            </w:pPr>
            <w:r>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63" w:type="dxa"/>
            <w:gridSpan w:val="3"/>
            <w:tcBorders>
              <w:top w:val="double" w:sz="8" w:space="0" w:color="000000"/>
            </w:tcBorders>
            <w:tcMar>
              <w:left w:w="0" w:type="dxa"/>
              <w:bottom w:w="0" w:type="dxa"/>
              <w:right w:w="0" w:type="dxa"/>
            </w:tcMar>
            <w:vAlign w:val="center"/>
          </w:tcPr>
          <w:p>
            <w:pPr>
              <w:pStyle w:val="TableContents"/>
              <w:bidi w:val="0"/>
              <w:spacing w:before="0" w:after="0"/>
              <w:jc w:val="left"/>
              <w:rPr/>
            </w:pPr>
            <w:r>
              <w:rPr/>
            </w:r>
          </w:p>
        </w:tc>
        <w:tc>
          <w:tcPr>
            <w:tcW w:w="43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18" w:type="dxa"/>
            <w:gridSpan w:val="3"/>
            <w:tcBorders>
              <w:top w:val="double" w:sz="8" w:space="0" w:color="000000"/>
            </w:tcBorders>
            <w:tcMar>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Page 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Page 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APA CORPORATION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SUPPLEMENTAL FINANCIAL INFORMATION</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w:t>
      </w:r>
    </w:p>
    <w:p>
      <w:pPr>
        <w:pStyle w:val="TextBody"/>
        <w:bidi w:val="0"/>
        <w:spacing w:before="0" w:after="0"/>
        <w:jc w:val="left"/>
        <w:rPr/>
      </w:pPr>
      <w:r>
        <w:rPr/>
      </w:r>
    </w:p>
    <w:tbl>
      <w:tblPr>
        <w:tblW w:w="9404" w:type="dxa"/>
        <w:jc w:val="center"/>
        <w:tblInd w:w="0" w:type="dxa"/>
        <w:tblLayout w:type="fixed"/>
        <w:tblCellMar>
          <w:top w:w="28" w:type="dxa"/>
          <w:left w:w="28" w:type="dxa"/>
          <w:bottom w:w="28" w:type="dxa"/>
          <w:right w:w="28" w:type="dxa"/>
        </w:tblCellMar>
      </w:tblPr>
      <w:tblGrid>
        <w:gridCol w:w="1707"/>
        <w:gridCol w:w="1495"/>
        <w:gridCol w:w="1507"/>
        <w:gridCol w:w="196"/>
        <w:gridCol w:w="556"/>
        <w:gridCol w:w="109"/>
        <w:gridCol w:w="109"/>
        <w:gridCol w:w="109"/>
        <w:gridCol w:w="109"/>
        <w:gridCol w:w="196"/>
        <w:gridCol w:w="631"/>
        <w:gridCol w:w="109"/>
        <w:gridCol w:w="109"/>
        <w:gridCol w:w="109"/>
        <w:gridCol w:w="109"/>
        <w:gridCol w:w="196"/>
        <w:gridCol w:w="631"/>
        <w:gridCol w:w="109"/>
        <w:gridCol w:w="109"/>
        <w:gridCol w:w="109"/>
        <w:gridCol w:w="109"/>
        <w:gridCol w:w="196"/>
        <w:gridCol w:w="631"/>
        <w:gridCol w:w="154"/>
      </w:tblGrid>
      <w:tr>
        <w:trPr/>
        <w:tc>
          <w:tcPr>
            <w:tcW w:w="1707"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3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3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81"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9404"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SUMMARY CASH FLOW INFORMATION</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Six Months Ended</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4709" w:type="dxa"/>
            <w:gridSpan w:val="3"/>
            <w:tcBorders>
              <w:top w:val="single" w:sz="8" w:space="0" w:color="CCEE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upstream oil and gas property</w:t>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(1,437)</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and property acquisitions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asset divestitures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commercial paper and revolving credit facilities, net</w:t>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term loan facility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Fixed-rate debt borrowings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fixed-rate debt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 activity,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 to APA common stockholders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8455" w:type="dxa"/>
        <w:jc w:val="center"/>
        <w:tblInd w:w="0" w:type="dxa"/>
        <w:tblLayout w:type="fixed"/>
        <w:tblCellMar>
          <w:top w:w="28" w:type="dxa"/>
          <w:left w:w="28" w:type="dxa"/>
          <w:bottom w:w="28" w:type="dxa"/>
          <w:right w:w="28" w:type="dxa"/>
        </w:tblCellMar>
      </w:tblPr>
      <w:tblGrid>
        <w:gridCol w:w="1768"/>
        <w:gridCol w:w="1549"/>
        <w:gridCol w:w="1558"/>
        <w:gridCol w:w="309"/>
        <w:gridCol w:w="1018"/>
        <w:gridCol w:w="171"/>
        <w:gridCol w:w="171"/>
        <w:gridCol w:w="171"/>
        <w:gridCol w:w="171"/>
        <w:gridCol w:w="309"/>
        <w:gridCol w:w="1018"/>
        <w:gridCol w:w="242"/>
      </w:tblGrid>
      <w:tr>
        <w:trPr/>
        <w:tc>
          <w:tcPr>
            <w:tcW w:w="1768"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845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SUMMARY BALANCE SHEET INFORMATION</w:t>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December 31,</w:t>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4875" w:type="dxa"/>
            <w:gridSpan w:val="3"/>
            <w:tcBorders>
              <w:top w:val="single" w:sz="8" w:space="0" w:color="CCEE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17,973 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17,761 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4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5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debt</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Decommissioning contingency for sold Gulf of America properties</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credits and other noncurrent liabilities</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APA shareholders’ equity</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17,973 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17,761 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shares outstanding at end of period</w:t>
            </w:r>
          </w:p>
        </w:tc>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Page 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Page 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APA CORPORATION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NON-GAAP FINANCIAL MEASURES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u w:val="single"/>
        </w:rPr>
      </w:pPr>
      <w:r>
        <w:rPr>
          <w:rFonts w:ascii="Times New Roman;serif" w:hAnsi="Times New Roman;serif"/>
          <w:b/>
          <w:color w:val="000000"/>
          <w:sz w:val="18"/>
          <w:u w:val="single"/>
        </w:rPr>
        <w:t>Reconciliation of Costs incurred to Upstream capital investment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Management believes the presentation of upstream capital investments is useful for investors to assess APA’s expenditures related to our upstream capital activity. We define capital investments as costs incurred for oil and gas activities, adjusted to exclude property and leasehold acquisitions, asset retirement additions and revisions, capitalized interest, and certain exploration expenses. Upstream capital expenditures attributable to a one-third noncontrolling interest in Egypt are also excluded. Management believes this provides a more accurate reflection of APA’s cash expenditures related to upstream capital activity and is consistent with how we plan our capital budget.</w:t>
      </w:r>
    </w:p>
    <w:p>
      <w:pPr>
        <w:pStyle w:val="TextBody"/>
        <w:bidi w:val="0"/>
        <w:spacing w:before="0" w:after="0"/>
        <w:jc w:val="left"/>
        <w:rPr/>
      </w:pPr>
      <w:r>
        <w:rPr/>
      </w:r>
    </w:p>
    <w:tbl>
      <w:tblPr>
        <w:tblW w:w="9224" w:type="dxa"/>
        <w:jc w:val="left"/>
        <w:tblInd w:w="0" w:type="dxa"/>
        <w:tblLayout w:type="fixed"/>
        <w:tblCellMar>
          <w:top w:w="28" w:type="dxa"/>
          <w:left w:w="28" w:type="dxa"/>
          <w:bottom w:w="28" w:type="dxa"/>
          <w:right w:w="28" w:type="dxa"/>
        </w:tblCellMar>
      </w:tblPr>
      <w:tblGrid>
        <w:gridCol w:w="1820"/>
        <w:gridCol w:w="1595"/>
        <w:gridCol w:w="1609"/>
        <w:gridCol w:w="196"/>
        <w:gridCol w:w="421"/>
        <w:gridCol w:w="109"/>
        <w:gridCol w:w="109"/>
        <w:gridCol w:w="109"/>
        <w:gridCol w:w="109"/>
        <w:gridCol w:w="196"/>
        <w:gridCol w:w="421"/>
        <w:gridCol w:w="109"/>
        <w:gridCol w:w="109"/>
        <w:gridCol w:w="109"/>
        <w:gridCol w:w="109"/>
        <w:gridCol w:w="196"/>
        <w:gridCol w:w="556"/>
        <w:gridCol w:w="109"/>
        <w:gridCol w:w="109"/>
        <w:gridCol w:w="109"/>
        <w:gridCol w:w="109"/>
        <w:gridCol w:w="196"/>
        <w:gridCol w:w="556"/>
        <w:gridCol w:w="154"/>
      </w:tblGrid>
      <w:tr>
        <w:trPr/>
        <w:tc>
          <w:tcPr>
            <w:tcW w:w="182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For the Six Months Ended</w:t>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w:t>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5024" w:type="dxa"/>
            <w:gridSpan w:val="3"/>
            <w:tcBorders>
              <w:top w:val="single" w:sz="8" w:space="0" w:color="CCEEFF"/>
            </w:tcBorders>
            <w:shd w:fill="CCEEFF" w:val="clear"/>
            <w:tcMar>
              <w:top w:w="30" w:type="dxa"/>
              <w:left w:w="0" w:type="dxa"/>
              <w:bottom w:w="0" w:type="dxa"/>
              <w:right w:w="0" w:type="dxa"/>
            </w:tcMar>
            <w:vAlign w:val="center"/>
          </w:tcPr>
          <w:p>
            <w:pPr>
              <w:pStyle w:val="TableContents"/>
              <w:bidi w:val="0"/>
              <w:spacing w:lineRule="atLeast" w:line="196" w:before="0" w:after="0"/>
              <w:jc w:val="left"/>
              <w:rPr>
                <w:rFonts w:ascii="Times New Roman;serif" w:hAnsi="Times New Roman;serif"/>
                <w:b w:val="false"/>
                <w:color w:val="000000"/>
                <w:sz w:val="18"/>
              </w:rPr>
            </w:pPr>
            <w:r>
              <w:rPr>
                <w:rFonts w:ascii="Times New Roman;serif" w:hAnsi="Times New Roman;serif"/>
                <w:b w:val="false"/>
                <w:color w:val="000000"/>
                <w:sz w:val="18"/>
              </w:rPr>
              <w:t>Costs incurred in oil and gas property:</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and leasehold acquisitions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Exploration and development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incurred in oil and gas property</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Reconciliation of Costs incurred to Upstream capital investment:</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incurred in oil and gas property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and leasehold acquisitions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retirement obligations incurred - oil and gas property</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interest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Exploration seismic and administration costs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Upstream capital investment including noncontrolling interest - Egypt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noncontrolling interest - Egypt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Upstream capital investment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u w:val="single"/>
        </w:rPr>
      </w:pPr>
      <w:r>
        <w:rPr>
          <w:rFonts w:ascii="Times New Roman;serif" w:hAnsi="Times New Roman;serif"/>
          <w:b/>
          <w:color w:val="000000"/>
          <w:sz w:val="18"/>
          <w:u w:val="single"/>
        </w:rPr>
        <w:t>Reconciliation of Net cash provided by operating activities to Cash flows from operations before changes in operating assets and liabilities and Free cash flow</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Cash flows from operations before changes in operating assets and liabilities and free cash flow are non-GAAP financial measures. APA uses these measures internally and provides this information because management believes it is useful in evaluating the company’s ability to generate cash to internally fund exploration and development activities, fund dividend programs, and service debt, as well as to compare our results from period to period. We believe these measures are also used by research analysts and investors to value and compare oil and gas exploration and production companies and are frequently included in published research reports when providing investment recommendations. Cash flows from operations before changes in operating assets and liabilities and free cash flow are additional measures of liquidity but are not measures of financial performance under GAAP and should not be considered as an alternative to cash flows from operating, investing, or financing activities. Additionally, this presentation of free cash flow may not be comparable to similar measures presented by other companies in our industry.</w:t>
      </w:r>
    </w:p>
    <w:p>
      <w:pPr>
        <w:pStyle w:val="TextBody"/>
        <w:bidi w:val="0"/>
        <w:spacing w:before="0" w:after="0"/>
        <w:jc w:val="left"/>
        <w:rPr/>
      </w:pPr>
      <w:r>
        <w:rPr/>
      </w:r>
    </w:p>
    <w:tbl>
      <w:tblPr>
        <w:tblW w:w="10005" w:type="dxa"/>
        <w:jc w:val="left"/>
        <w:tblInd w:w="0" w:type="dxa"/>
        <w:tblLayout w:type="fixed"/>
        <w:tblCellMar>
          <w:top w:w="28" w:type="dxa"/>
          <w:left w:w="28" w:type="dxa"/>
          <w:bottom w:w="28" w:type="dxa"/>
          <w:right w:w="28" w:type="dxa"/>
        </w:tblCellMar>
      </w:tblPr>
      <w:tblGrid>
        <w:gridCol w:w="2007"/>
        <w:gridCol w:w="1757"/>
        <w:gridCol w:w="1771"/>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2007"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For the Six Months Ended</w:t>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w:t>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5535" w:type="dxa"/>
            <w:gridSpan w:val="3"/>
            <w:tcBorders>
              <w:top w:val="single" w:sz="8" w:space="0" w:color="CCEE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operations before changes in operating assets and liabilities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free cash flow:</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Upstream capital investment including noncontrolling interest - Egypt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Abandonment and decommissioning spend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acquisition and 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Sinopec noncontrolling interest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Free cash flow</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Page 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Page 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APA CORPORATION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NON-GAAP FINANCIAL MEASURES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u w:val="single"/>
        </w:rPr>
      </w:pPr>
      <w:r>
        <w:rPr>
          <w:rFonts w:ascii="Times New Roman;serif" w:hAnsi="Times New Roman;serif"/>
          <w:b/>
          <w:color w:val="000000"/>
          <w:sz w:val="18"/>
          <w:u w:val="single"/>
        </w:rPr>
        <w:t>Reconciliation of Net cash provided by operating activities to Adjusted EBITDAX</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Management believes EBITDAX, or earnings before income tax expense, interest expense, depreciation, amortization and exploration expense is a widely accepted financial indicator, and useful for investors, to assess a company’s ability to incur and service debt, fund capital expenditures, and make distributions to shareholders. We define adjusted EBITDAX, a non-GAAP financial measure, as EBITDAX adjusted for certain items presented in the accompanying reconciliation. Management uses adjusted EBITDAX to evaluate our ability to fund our capital expenditures, debt services and other operational requirements and to compare our results from period to period by eliminating the impact of certain items that management does not consider to be representative of the Company’s on-going operations. Management also believes adjusted EBITDAX facilitates investors and analysts in evaluating and comparing EBITDAX from period to period by eliminating differences caused by the existence and timing of certain operating expenses that would not otherwise be apparent on a GAAP basis. However, our presentation of adjusted EBITDAX may not be comparable to similar measures of other companies in our industry.</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34"/>
        <w:gridCol w:w="1400"/>
        <w:gridCol w:w="1412"/>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5"/>
      </w:tblGrid>
      <w:tr>
        <w:trPr/>
        <w:tc>
          <w:tcPr>
            <w:tcW w:w="1734"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Six Months Ended</w:t>
            </w:r>
          </w:p>
        </w:tc>
      </w:tr>
      <w:tr>
        <w:trPr/>
        <w:tc>
          <w:tcPr>
            <w:tcW w:w="4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w:t>
            </w:r>
          </w:p>
        </w:tc>
      </w:tr>
      <w:tr>
        <w:trPr/>
        <w:tc>
          <w:tcPr>
            <w:tcW w:w="4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4546" w:type="dxa"/>
            <w:gridSpan w:val="3"/>
            <w:tcBorders>
              <w:top w:val="single" w:sz="8" w:space="0" w:color="CCEE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Exploration seismic and administrative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income tax provision</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adjustments to reconcile net income to net cash provided by operating activities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costs, net (excludes gain on extinguishment of debt)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reorganization &amp; separation costs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EBITDAX (Non-GAAP)</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u w:val="single"/>
        </w:rPr>
      </w:pPr>
      <w:r>
        <w:rPr>
          <w:rFonts w:ascii="Times New Roman;serif" w:hAnsi="Times New Roman;serif"/>
          <w:b/>
          <w:color w:val="000000"/>
          <w:sz w:val="18"/>
          <w:u w:val="single"/>
        </w:rPr>
        <w:t>Reconciliation of debt to net debt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Net debt, or outstanding debt obligations less cash and cash equivalents, is a non-GAAP financial measure. Management uses net debt as a measure of the Company’s outstanding debt obligations that would not be readily satisfied by its cash and cash equivalents on hand.</w:t>
      </w:r>
    </w:p>
    <w:p>
      <w:pPr>
        <w:pStyle w:val="TextBody"/>
        <w:bidi w:val="0"/>
        <w:spacing w:before="0" w:after="0"/>
        <w:jc w:val="left"/>
        <w:rPr/>
      </w:pPr>
      <w:r>
        <w:rPr/>
      </w:r>
    </w:p>
    <w:tbl>
      <w:tblPr>
        <w:tblW w:w="6541" w:type="dxa"/>
        <w:jc w:val="left"/>
        <w:tblInd w:w="0" w:type="dxa"/>
        <w:tblLayout w:type="fixed"/>
        <w:tblCellMar>
          <w:top w:w="28" w:type="dxa"/>
          <w:left w:w="28" w:type="dxa"/>
          <w:bottom w:w="28" w:type="dxa"/>
          <w:right w:w="28" w:type="dxa"/>
        </w:tblCellMar>
      </w:tblPr>
      <w:tblGrid>
        <w:gridCol w:w="716"/>
        <w:gridCol w:w="629"/>
        <w:gridCol w:w="634"/>
        <w:gridCol w:w="196"/>
        <w:gridCol w:w="556"/>
        <w:gridCol w:w="109"/>
        <w:gridCol w:w="109"/>
        <w:gridCol w:w="109"/>
        <w:gridCol w:w="109"/>
        <w:gridCol w:w="196"/>
        <w:gridCol w:w="556"/>
        <w:gridCol w:w="109"/>
        <w:gridCol w:w="109"/>
        <w:gridCol w:w="109"/>
        <w:gridCol w:w="109"/>
        <w:gridCol w:w="201"/>
        <w:gridCol w:w="572"/>
        <w:gridCol w:w="112"/>
        <w:gridCol w:w="109"/>
        <w:gridCol w:w="109"/>
        <w:gridCol w:w="109"/>
        <w:gridCol w:w="211"/>
        <w:gridCol w:w="598"/>
        <w:gridCol w:w="165"/>
      </w:tblGrid>
      <w:tr>
        <w:trPr/>
        <w:tc>
          <w:tcPr>
            <w:tcW w:w="71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September 30,</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1979" w:type="dxa"/>
            <w:gridSpan w:val="3"/>
            <w:tcBorders>
              <w:top w:val="single" w:sz="8" w:space="0" w:color="CCEE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debt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Debt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3,977 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4,013 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8"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Page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Page 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APA CORPORATION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STATEMENT OF CONSOLIDATED OPERATIONS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 except per share data)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u w:val="single"/>
        </w:rPr>
      </w:pPr>
      <w:r>
        <w:rPr>
          <w:rFonts w:ascii="Times New Roman;serif" w:hAnsi="Times New Roman;serif"/>
          <w:b/>
          <w:color w:val="000000"/>
          <w:sz w:val="18"/>
          <w:u w:val="single"/>
        </w:rPr>
        <w:t>Reconciliation of Income attributable to common stock to Adjusted earnings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presentation of adjusted earnings and adjusted earnings per share are non-GAAP measures because they exclude the effect of certain items included in Income Attributable to Common Stock. Management believes that adjusted earnings and adjusted earnings per share provides relevant and useful information, which is widely used by analysts, investors and competitors in our industry as well as by our management in assessing the Company’s operational trends and comparability of results to our peers.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Management uses adjusted earnings and adjusted earnings per share to evaluate our operating and financial performance because it eliminates the impact of certain items that management does not consider to be representative of the Company’s on-going business operations. As a performance measure, adjusted earnings may be useful to investors in facilitating comparisons to others in the Company’s industry because certain items can vary substantially in the oil and gas industry from company to company depending upon accounting methods, book value of assets, capital structure and asset sales and other divestitures, among other factors. Management believes excluding these items facilitates investors and analysts in evaluating and comparing the underlying operating and financial performance of our business from period to period by eliminating differences caused by the existence and timing of certain expense and income items that would not otherwise be apparent on a GAAP basis. However, our presentation of adjusted earnings and adjusted earnings per share may not be comparable to similar measures of other companies in our industry.</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33"/>
        <w:gridCol w:w="430"/>
        <w:gridCol w:w="432"/>
        <w:gridCol w:w="196"/>
        <w:gridCol w:w="556"/>
        <w:gridCol w:w="109"/>
        <w:gridCol w:w="109"/>
        <w:gridCol w:w="109"/>
        <w:gridCol w:w="109"/>
        <w:gridCol w:w="196"/>
        <w:gridCol w:w="439"/>
        <w:gridCol w:w="109"/>
        <w:gridCol w:w="109"/>
        <w:gridCol w:w="109"/>
        <w:gridCol w:w="109"/>
        <w:gridCol w:w="196"/>
        <w:gridCol w:w="556"/>
        <w:gridCol w:w="109"/>
        <w:gridCol w:w="109"/>
        <w:gridCol w:w="109"/>
        <w:gridCol w:w="109"/>
        <w:gridCol w:w="196"/>
        <w:gridCol w:w="466"/>
        <w:gridCol w:w="109"/>
        <w:gridCol w:w="109"/>
        <w:gridCol w:w="109"/>
        <w:gridCol w:w="109"/>
        <w:gridCol w:w="196"/>
        <w:gridCol w:w="556"/>
        <w:gridCol w:w="109"/>
        <w:gridCol w:w="109"/>
        <w:gridCol w:w="109"/>
        <w:gridCol w:w="109"/>
        <w:gridCol w:w="196"/>
        <w:gridCol w:w="439"/>
        <w:gridCol w:w="109"/>
        <w:gridCol w:w="109"/>
        <w:gridCol w:w="109"/>
        <w:gridCol w:w="109"/>
        <w:gridCol w:w="196"/>
        <w:gridCol w:w="556"/>
        <w:gridCol w:w="109"/>
        <w:gridCol w:w="109"/>
        <w:gridCol w:w="109"/>
        <w:gridCol w:w="109"/>
        <w:gridCol w:w="196"/>
        <w:gridCol w:w="466"/>
        <w:gridCol w:w="156"/>
      </w:tblGrid>
      <w:tr>
        <w:trPr/>
        <w:tc>
          <w:tcPr>
            <w:tcW w:w="53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Quarter Ended</w:t>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2025</w:t>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Before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142" w:before="0" w:after="0"/>
              <w:jc w:val="center"/>
              <w:rPr>
                <w:rFonts w:ascii="Times New Roman;serif" w:hAnsi="Times New Roman;serif"/>
                <w:b/>
                <w:color w:val="000000"/>
                <w:sz w:val="12"/>
              </w:rPr>
            </w:pPr>
            <w:r>
              <w:rPr>
                <w:rFonts w:ascii="Times New Roman;serif" w:hAnsi="Times New Roman;serif"/>
                <w:b/>
                <w:color w:val="000000"/>
                <w:sz w:val="12"/>
              </w:rPr>
              <w:t>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After</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Before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142" w:before="0" w:after="0"/>
              <w:jc w:val="center"/>
              <w:rPr>
                <w:rFonts w:ascii="Times New Roman;serif" w:hAnsi="Times New Roman;serif"/>
                <w:b/>
                <w:color w:val="000000"/>
                <w:sz w:val="12"/>
              </w:rPr>
            </w:pPr>
            <w:r>
              <w:rPr>
                <w:rFonts w:ascii="Times New Roman;serif" w:hAnsi="Times New Roman;serif"/>
                <w:b/>
                <w:color w:val="000000"/>
                <w:sz w:val="12"/>
              </w:rPr>
              <w:t>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After</w:t>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Diluted</w:t>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Tax</w:t>
            </w:r>
          </w:p>
        </w:tc>
        <w:tc>
          <w:tcPr>
            <w:tcW w:w="77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Tax</w:t>
            </w:r>
          </w:p>
        </w:tc>
        <w:tc>
          <w:tcPr>
            <w:tcW w:w="81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EPS</w:t>
            </w:r>
          </w:p>
        </w:tc>
      </w:tr>
      <w:tr>
        <w:trPr/>
        <w:tc>
          <w:tcPr>
            <w:tcW w:w="1395" w:type="dxa"/>
            <w:gridSpan w:val="3"/>
            <w:tcBorders>
              <w:top w:val="single" w:sz="8" w:space="0" w:color="CCEE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including noncontrolling interests (GAAP)</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attributable to noncontrolling interests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common stock</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and unproved leasehold impairments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 &amp; tax barrel impact on Egypt adjustments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Valuation allowance and EPL revaluation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extinguishment of debt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derivative instrument gains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reorganization &amp; separation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divestitures,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earnings (Non-GAAP)</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Six Months Ended</w:t>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2025</w:t>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Before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142" w:before="0" w:after="0"/>
              <w:jc w:val="center"/>
              <w:rPr>
                <w:rFonts w:ascii="Times New Roman;serif" w:hAnsi="Times New Roman;serif"/>
                <w:b/>
                <w:color w:val="000000"/>
                <w:sz w:val="12"/>
              </w:rPr>
            </w:pPr>
            <w:r>
              <w:rPr>
                <w:rFonts w:ascii="Times New Roman;serif" w:hAnsi="Times New Roman;serif"/>
                <w:b/>
                <w:color w:val="000000"/>
                <w:sz w:val="12"/>
              </w:rPr>
              <w:t>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After</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Before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142" w:before="0" w:after="0"/>
              <w:jc w:val="center"/>
              <w:rPr>
                <w:rFonts w:ascii="Times New Roman;serif" w:hAnsi="Times New Roman;serif"/>
                <w:b/>
                <w:color w:val="000000"/>
                <w:sz w:val="12"/>
              </w:rPr>
            </w:pPr>
            <w:r>
              <w:rPr>
                <w:rFonts w:ascii="Times New Roman;serif" w:hAnsi="Times New Roman;serif"/>
                <w:b/>
                <w:color w:val="000000"/>
                <w:sz w:val="12"/>
              </w:rPr>
              <w:t>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After</w:t>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Diluted</w:t>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Tax</w:t>
            </w:r>
          </w:p>
        </w:tc>
        <w:tc>
          <w:tcPr>
            <w:tcW w:w="77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Tax</w:t>
            </w:r>
          </w:p>
        </w:tc>
        <w:tc>
          <w:tcPr>
            <w:tcW w:w="81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EPS</w:t>
            </w:r>
          </w:p>
        </w:tc>
      </w:tr>
      <w:tr>
        <w:trPr/>
        <w:tc>
          <w:tcPr>
            <w:tcW w:w="1395" w:type="dxa"/>
            <w:gridSpan w:val="3"/>
            <w:tcBorders>
              <w:top w:val="single" w:sz="8" w:space="0" w:color="CCEE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including noncontrolling interests (GAAP)</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attributable to noncontrolling interests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common stock</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and unproved leasehold impairments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 &amp; tax barrel impact on Egypt adjustments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Valuation allowance and EPL revaluation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extinguishment of debt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derivative instrument gains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reorganization &amp; separation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divestitures,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Earnings (Non-GAAP)</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both"/>
        <w:rPr>
          <w:rFonts w:ascii="Times New Roman;serif" w:hAnsi="Times New Roman;serif"/>
          <w:b w:val="false"/>
          <w:color w:val="000000"/>
          <w:sz w:val="18"/>
        </w:rPr>
      </w:pPr>
      <w:r>
        <w:rPr>
          <w:rFonts w:ascii="Times New Roman;serif" w:hAnsi="Times New Roman;serif"/>
          <w:b w:val="false"/>
          <w:color w:val="000000"/>
          <w:sz w:val="18"/>
        </w:rPr>
        <w:t>*The income tax effect of the reconciling items are calculated based on the statutory rate of the jurisdiction in which the discrete item resides.</w:t>
      </w:r>
    </w:p>
    <w:p>
      <w:pPr>
        <w:pStyle w:val="TextBody"/>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9"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Page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Page 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5359</Words>
  <Characters>29148</Characters>
  <CharactersWithSpaces>33629</CharactersWithSpaces>
  <Paragraphs>1568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