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98"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ind w:left="380" w:hanging="345"/>
        <w:spacing w:after="0" w:line="226" w:lineRule="auto"/>
        <w:tabs>
          <w:tab w:leader="none" w:pos="3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06"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1-4300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APACHE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204" w:lineRule="exact"/>
        <w:rPr>
          <w:sz w:val="24"/>
          <w:szCs w:val="24"/>
          <w:color w:val="auto"/>
        </w:rPr>
      </w:pPr>
    </w:p>
    <w:tbl>
      <w:tblPr>
        <w:tblLayout w:type="fixed"/>
        <w:tblInd w:w="1920" w:type="dxa"/>
        <w:tblCellMar>
          <w:top w:w="0" w:type="dxa"/>
          <w:left w:w="0" w:type="dxa"/>
          <w:bottom w:w="0" w:type="dxa"/>
          <w:right w:w="0" w:type="dxa"/>
        </w:tblCellMar>
      </w:tblPr>
      <w:tr>
        <w:trPr>
          <w:trHeight w:val="234"/>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41-0747868</w:t>
            </w:r>
          </w:p>
        </w:tc>
      </w:tr>
      <w:tr>
        <w:trPr>
          <w:trHeight w:val="180"/>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3"/>
              </w:rPr>
              <w:t>(State or other jurisdiction of</w:t>
            </w:r>
          </w:p>
        </w:tc>
        <w:tc>
          <w:tcPr>
            <w:tcW w:w="344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40" w:type="dxa"/>
            <w:vAlign w:val="bottom"/>
          </w:tcPr>
          <w:p>
            <w:pPr>
              <w:jc w:val="center"/>
              <w:ind w:left="1942"/>
              <w:spacing w:after="0"/>
              <w:rPr>
                <w:sz w:val="20"/>
                <w:szCs w:val="20"/>
                <w:color w:val="auto"/>
              </w:rPr>
            </w:pPr>
            <w:r>
              <w:rPr>
                <w:rFonts w:ascii="Arial" w:cs="Arial" w:eastAsia="Arial" w:hAnsi="Arial"/>
                <w:sz w:val="14"/>
                <w:szCs w:val="14"/>
                <w:b w:val="1"/>
                <w:bCs w:val="1"/>
                <w:color w:val="auto"/>
                <w:w w:val="95"/>
              </w:rPr>
              <w:t>Identification Number)</w:t>
            </w:r>
          </w:p>
        </w:tc>
      </w:tr>
    </w:tbl>
    <w:p>
      <w:pPr>
        <w:jc w:val="center"/>
        <w:ind w:right="-39"/>
        <w:spacing w:after="0"/>
        <w:rPr>
          <w:sz w:val="20"/>
          <w:szCs w:val="20"/>
          <w:color w:val="auto"/>
        </w:rPr>
      </w:pPr>
      <w:r>
        <w:rPr>
          <w:rFonts w:ascii="Arial" w:cs="Arial" w:eastAsia="Arial" w:hAnsi="Arial"/>
          <w:sz w:val="18"/>
          <w:szCs w:val="18"/>
          <w:b w:val="1"/>
          <w:bCs w:val="1"/>
          <w:color w:val="auto"/>
        </w:rPr>
        <w:t>One Post Oak Central, 2000 Post Oak Boulevard, Suite 100, Houston, Texas 77056-4400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w:t>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296-6000</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9" w:lineRule="exact"/>
        <w:rPr>
          <w:sz w:val="24"/>
          <w:szCs w:val="24"/>
          <w:color w:val="auto"/>
        </w:rPr>
      </w:pPr>
    </w:p>
    <w:p>
      <w:pPr>
        <w:ind w:right="40" w:firstLine="405"/>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00"/>
          </w:cols>
          <w:pgMar w:left="240" w:top="287" w:right="259" w:bottom="1440" w:gutter="0" w:footer="0" w:header="0"/>
        </w:sectPr>
      </w:pPr>
    </w:p>
    <w:p>
      <w:pPr>
        <w:spacing w:after="0" w:line="21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280" w:space="720"/>
            <w:col w:w="4200" w:space="720"/>
            <w:col w:w="2600" w:space="720"/>
            <w:col w:w="160"/>
          </w:cols>
          <w:pgMar w:left="240" w:top="287" w:right="25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ind w:right="640"/>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jc w:val="center"/>
        <w:ind w:right="6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2280" w:space="720"/>
            <w:col w:w="4200" w:space="720"/>
            <w:col w:w="2600" w:space="720"/>
            <w:col w:w="160"/>
          </w:cols>
          <w:pgMar w:left="240" w:top="287" w:right="25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3">
            <w:col w:w="8920" w:space="80"/>
            <w:col w:w="160" w:space="180"/>
            <w:col w:w="2060"/>
          </w:cols>
          <w:pgMar w:left="240" w:top="28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Number of shares of registrant’s common stock outstanding as of October 31, 2016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379,429,334</w:t>
      </w:r>
    </w:p>
    <w:p>
      <w:pPr>
        <w:sectPr>
          <w:pgSz w:w="11900" w:h="16838" w:orient="portrait"/>
          <w:cols w:equalWidth="0" w:num="2">
            <w:col w:w="9700" w:space="720"/>
            <w:col w:w="980"/>
          </w:cols>
          <w:pgMar w:left="240" w:top="287"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040" w:type="dxa"/>
            <w:vAlign w:val="bottom"/>
            <w:gridSpan w:val="5"/>
            <w:shd w:val="clear" w:color="auto" w:fill="CCEEFF"/>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43"/>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4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DESCRIPTION</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5"/>
            <w:shd w:val="clear" w:color="auto" w:fill="CCEEFF"/>
          </w:tcPr>
          <w:p>
            <w:pPr>
              <w:jc w:val="center"/>
              <w:ind w:left="90"/>
              <w:spacing w:after="0"/>
              <w:rPr>
                <w:sz w:val="20"/>
                <w:szCs w:val="20"/>
                <w:color w:val="auto"/>
              </w:rPr>
            </w:pPr>
            <w:r>
              <w:rPr>
                <w:rFonts w:ascii="Arial" w:cs="Arial" w:eastAsia="Arial" w:hAnsi="Arial"/>
                <w:sz w:val="18"/>
                <w:szCs w:val="18"/>
                <w:color w:val="auto"/>
                <w:w w:val="85"/>
              </w:rPr>
              <w:t>Page</w:t>
            </w:r>
          </w:p>
        </w:tc>
      </w:tr>
      <w:tr>
        <w:trPr>
          <w:trHeight w:val="243"/>
        </w:trPr>
        <w:tc>
          <w:tcPr>
            <w:tcW w:w="460" w:type="dxa"/>
            <w:vAlign w:val="bottom"/>
          </w:tcPr>
          <w:p>
            <w:pPr>
              <w:spacing w:after="0"/>
              <w:rPr>
                <w:sz w:val="21"/>
                <w:szCs w:val="21"/>
                <w:color w:val="auto"/>
              </w:rPr>
            </w:pPr>
          </w:p>
        </w:tc>
        <w:tc>
          <w:tcPr>
            <w:tcW w:w="9540" w:type="dxa"/>
            <w:vAlign w:val="bottom"/>
            <w:gridSpan w:val="18"/>
          </w:tcPr>
          <w:p>
            <w:pPr>
              <w:ind w:left="40"/>
              <w:spacing w:after="0"/>
              <w:rPr>
                <w:sz w:val="20"/>
                <w:szCs w:val="20"/>
                <w:color w:val="auto"/>
              </w:rPr>
            </w:pPr>
            <w:r>
              <w:rPr>
                <w:rFonts w:ascii="Arial" w:cs="Arial" w:eastAsia="Arial" w:hAnsi="Arial"/>
                <w:sz w:val="18"/>
                <w:szCs w:val="18"/>
                <w:b w:val="1"/>
                <w:bCs w:val="1"/>
                <w:color w:val="auto"/>
              </w:rPr>
              <w:t>PART I - FINANCIAL INFORMATION</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880" w:type="dxa"/>
            <w:vAlign w:val="bottom"/>
            <w:gridSpan w:val="4"/>
            <w:shd w:val="clear" w:color="auto" w:fill="CCEEFF"/>
          </w:tcPr>
          <w:p>
            <w:pPr>
              <w:jc w:val="center"/>
              <w:ind w:left="63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spacing w:after="0"/>
              <w:rPr>
                <w:sz w:val="17"/>
                <w:szCs w:val="17"/>
                <w:color w:val="auto"/>
              </w:rPr>
            </w:pPr>
          </w:p>
        </w:tc>
        <w:tc>
          <w:tcPr>
            <w:tcW w:w="9540" w:type="dxa"/>
            <w:vAlign w:val="bottom"/>
            <w:gridSpan w:val="18"/>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STATEMENT OF CONSOLIDATED OPERATIONS</w:t>
              </w:r>
            </w:hyperlink>
          </w:p>
        </w:tc>
        <w:tc>
          <w:tcPr>
            <w:tcW w:w="880" w:type="dxa"/>
            <w:vAlign w:val="bottom"/>
            <w:gridSpan w:val="4"/>
          </w:tcPr>
          <w:p>
            <w:pPr>
              <w:jc w:val="center"/>
              <w:ind w:left="63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CONSOLIDATED CASH FLOWS</w:t>
              </w:r>
            </w:hyperlink>
          </w:p>
        </w:tc>
        <w:tc>
          <w:tcPr>
            <w:tcW w:w="880" w:type="dxa"/>
            <w:vAlign w:val="bottom"/>
            <w:gridSpan w:val="4"/>
            <w:shd w:val="clear" w:color="auto" w:fill="CCEEFF"/>
          </w:tcPr>
          <w:p>
            <w:pPr>
              <w:jc w:val="center"/>
              <w:ind w:left="63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spacing w:after="0"/>
              <w:rPr>
                <w:sz w:val="17"/>
                <w:szCs w:val="17"/>
                <w:color w:val="auto"/>
              </w:rPr>
            </w:pPr>
          </w:p>
        </w:tc>
        <w:tc>
          <w:tcPr>
            <w:tcW w:w="9540" w:type="dxa"/>
            <w:vAlign w:val="bottom"/>
            <w:gridSpan w:val="18"/>
          </w:tcPr>
          <w:p>
            <w:pPr>
              <w:ind w:lef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BALANCE SHEET</w:t>
              </w:r>
            </w:hyperlink>
          </w:p>
        </w:tc>
        <w:tc>
          <w:tcPr>
            <w:tcW w:w="880" w:type="dxa"/>
            <w:vAlign w:val="bottom"/>
            <w:gridSpan w:val="4"/>
          </w:tcPr>
          <w:p>
            <w:pPr>
              <w:jc w:val="center"/>
              <w:ind w:left="63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STATEMENT OF CONSOLIDATED CHANGES IN EQUITY</w:t>
              </w:r>
            </w:hyperlink>
          </w:p>
        </w:tc>
        <w:tc>
          <w:tcPr>
            <w:tcW w:w="880" w:type="dxa"/>
            <w:vAlign w:val="bottom"/>
            <w:gridSpan w:val="4"/>
            <w:shd w:val="clear" w:color="auto" w:fill="CCEEFF"/>
          </w:tcPr>
          <w:p>
            <w:pPr>
              <w:jc w:val="center"/>
              <w:ind w:left="63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spacing w:after="0"/>
              <w:rPr>
                <w:sz w:val="17"/>
                <w:szCs w:val="17"/>
                <w:color w:val="auto"/>
              </w:rPr>
            </w:pPr>
          </w:p>
        </w:tc>
        <w:tc>
          <w:tcPr>
            <w:tcW w:w="9540" w:type="dxa"/>
            <w:vAlign w:val="bottom"/>
            <w:gridSpan w:val="18"/>
          </w:tcPr>
          <w:p>
            <w:pPr>
              <w:ind w:left="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w:t>
              </w:r>
            </w:hyperlink>
          </w:p>
        </w:tc>
        <w:tc>
          <w:tcPr>
            <w:tcW w:w="880" w:type="dxa"/>
            <w:vAlign w:val="bottom"/>
            <w:gridSpan w:val="4"/>
          </w:tcPr>
          <w:p>
            <w:pPr>
              <w:jc w:val="center"/>
              <w:ind w:left="63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5</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32</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7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44</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44</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43"/>
        </w:trPr>
        <w:tc>
          <w:tcPr>
            <w:tcW w:w="460" w:type="dxa"/>
            <w:vAlign w:val="bottom"/>
          </w:tcPr>
          <w:p>
            <w:pPr>
              <w:spacing w:after="0"/>
              <w:rPr>
                <w:sz w:val="21"/>
                <w:szCs w:val="21"/>
                <w:color w:val="auto"/>
              </w:rPr>
            </w:pPr>
          </w:p>
        </w:tc>
        <w:tc>
          <w:tcPr>
            <w:tcW w:w="9540" w:type="dxa"/>
            <w:vAlign w:val="bottom"/>
            <w:gridSpan w:val="18"/>
          </w:tcPr>
          <w:p>
            <w:pPr>
              <w:ind w:left="40"/>
              <w:spacing w:after="0"/>
              <w:rPr>
                <w:sz w:val="20"/>
                <w:szCs w:val="20"/>
                <w:color w:val="auto"/>
              </w:rPr>
            </w:pPr>
            <w:r>
              <w:rPr>
                <w:rFonts w:ascii="Arial" w:cs="Arial" w:eastAsia="Arial" w:hAnsi="Arial"/>
                <w:sz w:val="18"/>
                <w:szCs w:val="18"/>
                <w:b w:val="1"/>
                <w:bCs w:val="1"/>
                <w:color w:val="auto"/>
              </w:rPr>
              <w:t>PART II - OTHER INFORMATION</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1A.</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45</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46</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1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Forward-Looking Statements and Risk</w:t>
      </w:r>
    </w:p>
    <w:p>
      <w:pPr>
        <w:spacing w:after="0" w:line="12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2015, and other data in our possession or available from third parties. In addition, forward-looking statements generally can be identified by the use of forward-looking terminology such as “may,” “will,” “could,” “expect,” “intend,” “project,” “estimate,” “anticipate,” “plan,”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59"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prices of oil, natural gas, NGLs, and other products or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commodity hedging arrangements;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oil, natural gas, NGLs, and other products or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and other contractual obligations;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terrorism or cyber attacks;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144" w:lineRule="exact"/>
        <w:rPr>
          <w:rFonts w:ascii="Arial" w:cs="Arial" w:eastAsia="Arial" w:hAnsi="Arial"/>
          <w:sz w:val="18"/>
          <w:szCs w:val="18"/>
          <w:color w:val="auto"/>
        </w:rPr>
      </w:pPr>
    </w:p>
    <w:p>
      <w:pPr>
        <w:ind w:left="540" w:right="20" w:hanging="316"/>
        <w:spacing w:after="0" w:line="244"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disclosed under Items 1 and 2—Business and Properties—Estimated Proved Reserves and Future Net Cash Flows, Item 1A—Risk Factors and elsewhere in our most recently filed Annual Report on Form 10-K, Item 7—Management’s Discussion and Analysis of Financial Condition and Results of Operations, Item 7A—Quantitative and Qualitative Disclosures About Market Risk and elsewhere in our Current Report on Form 8-K dated August 4, 2016, other risks and uncertainties in our third-quarter 2016 earnings release, other factors disclosed under Part II, Item 1A —Risk Factors of this Quarterly Report on Form 10-Q, and other filings that we make with the Securities and Exchange Commission.</w:t>
      </w:r>
    </w:p>
    <w:p>
      <w:pPr>
        <w:spacing w:after="0" w:line="17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We assume no duty to update or revise our forward-looking statements based on changes in internal estimates or expectations or otherwise.</w:t>
      </w:r>
    </w:p>
    <w:p>
      <w:pPr>
        <w:sectPr>
          <w:pgSz w:w="11900" w:h="16838" w:orient="portrait"/>
          <w:cols w:equalWidth="0" w:num="1">
            <w:col w:w="11360"/>
          </w:cols>
          <w:pgMar w:left="240" w:top="364"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APACHE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 OF CONSOLIDATED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4"/>
              </w:rPr>
              <w:t>For the Quarter Ended</w:t>
            </w:r>
          </w:p>
        </w:tc>
        <w:tc>
          <w:tcPr>
            <w:tcW w:w="100" w:type="dxa"/>
            <w:vAlign w:val="bottom"/>
          </w:tcPr>
          <w:p>
            <w:pPr>
              <w:spacing w:after="0"/>
              <w:rPr>
                <w:sz w:val="18"/>
                <w:szCs w:val="18"/>
                <w:color w:val="auto"/>
              </w:rPr>
            </w:pPr>
          </w:p>
        </w:tc>
        <w:tc>
          <w:tcPr>
            <w:tcW w:w="224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w w:val="91"/>
              </w:rPr>
              <w:t>For the Nine Months Ended</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240" w:type="dxa"/>
            <w:vAlign w:val="bottom"/>
            <w:gridSpan w:val="3"/>
          </w:tcPr>
          <w:p>
            <w:pPr>
              <w:jc w:val="right"/>
              <w:ind w:right="548"/>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 *</w:t>
            </w:r>
          </w:p>
        </w:tc>
        <w:tc>
          <w:tcPr>
            <w:tcW w:w="0" w:type="dxa"/>
            <w:vAlign w:val="bottom"/>
          </w:tcPr>
          <w:p>
            <w:pPr>
              <w:spacing w:after="0"/>
              <w:rPr>
                <w:sz w:val="1"/>
                <w:szCs w:val="1"/>
                <w:color w:val="auto"/>
              </w:rPr>
            </w:pPr>
          </w:p>
        </w:tc>
      </w:tr>
      <w:tr>
        <w:trPr>
          <w:trHeight w:val="250"/>
        </w:trPr>
        <w:tc>
          <w:tcPr>
            <w:tcW w:w="6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900" w:type="dxa"/>
            <w:vAlign w:val="bottom"/>
            <w:gridSpan w:val="8"/>
          </w:tcPr>
          <w:p>
            <w:pPr>
              <w:jc w:val="right"/>
              <w:ind w:right="108"/>
              <w:spacing w:after="0"/>
              <w:rPr>
                <w:sz w:val="20"/>
                <w:szCs w:val="20"/>
                <w:color w:val="auto"/>
              </w:rPr>
            </w:pPr>
            <w:r>
              <w:rPr>
                <w:rFonts w:ascii="Arial" w:cs="Arial" w:eastAsia="Arial" w:hAnsi="Arial"/>
                <w:sz w:val="14"/>
                <w:szCs w:val="14"/>
                <w:b w:val="1"/>
                <w:bCs w:val="1"/>
                <w:color w:val="auto"/>
                <w:w w:val="92"/>
              </w:rPr>
              <w:t>(In millions, except per common share data)</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AND OTHER:</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Oil and gas production revenues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Oil 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3,057</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4,149</w:t>
            </w:r>
          </w:p>
        </w:tc>
        <w:tc>
          <w:tcPr>
            <w:tcW w:w="0" w:type="dxa"/>
            <w:vAlign w:val="bottom"/>
          </w:tcPr>
          <w:p>
            <w:pPr>
              <w:spacing w:after="0"/>
              <w:rPr>
                <w:sz w:val="1"/>
                <w:szCs w:val="1"/>
                <w:color w:val="auto"/>
              </w:rPr>
            </w:pPr>
          </w:p>
        </w:tc>
      </w:tr>
      <w:tr>
        <w:trPr>
          <w:trHeight w:val="264"/>
        </w:trPr>
        <w:tc>
          <w:tcPr>
            <w:tcW w:w="6540" w:type="dxa"/>
            <w:vAlign w:val="bottom"/>
          </w:tcPr>
          <w:p>
            <w:pPr>
              <w:ind w:left="720"/>
              <w:spacing w:after="0"/>
              <w:rPr>
                <w:sz w:val="20"/>
                <w:szCs w:val="20"/>
                <w:color w:val="auto"/>
              </w:rPr>
            </w:pPr>
            <w:r>
              <w:rPr>
                <w:rFonts w:ascii="Arial" w:cs="Arial" w:eastAsia="Arial" w:hAnsi="Arial"/>
                <w:sz w:val="14"/>
                <w:szCs w:val="14"/>
                <w:color w:val="auto"/>
              </w:rPr>
              <w:t>Gas revenues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695</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Natural gas liquids revenues</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160</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3,912</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(30)</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Gain (loss) on divestitures</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3,903</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5,407</w:t>
            </w:r>
          </w:p>
        </w:tc>
        <w:tc>
          <w:tcPr>
            <w:tcW w:w="0" w:type="dxa"/>
            <w:vAlign w:val="bottom"/>
          </w:tcPr>
          <w:p>
            <w:pPr>
              <w:spacing w:after="0"/>
              <w:rPr>
                <w:sz w:val="1"/>
                <w:szCs w:val="1"/>
                <w:color w:val="auto"/>
              </w:rPr>
            </w:pPr>
          </w:p>
        </w:tc>
      </w:tr>
      <w:tr>
        <w:trPr>
          <w:trHeight w:val="258"/>
        </w:trPr>
        <w:tc>
          <w:tcPr>
            <w:tcW w:w="65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1,119</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155</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other than income</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85</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Exploration</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347</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298</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Oil and gas property and equipment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1,875</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264"/>
        </w:trPr>
        <w:tc>
          <w:tcPr>
            <w:tcW w:w="6540" w:type="dxa"/>
            <w:vAlign w:val="bottom"/>
          </w:tcPr>
          <w:p>
            <w:pPr>
              <w:ind w:left="7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116</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Impairments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1,009</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Transaction, reorganization, and separation</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36</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Financing costs, net</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311</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5,471</w:t>
            </w: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12,232</w:t>
            </w: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(1,568)</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(6,825)</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income tax provision (benefit)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284</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income tax provision (benefit)</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(755)</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INCLUDING NONCONTROLLING INTEREST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(1,097)</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loss from discontinued operations, net of tax</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INCLUDING NONCONTROLLING INTEREST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(1,130)</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noncontrolling interest</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93</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(1,223)</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LOSS ATTRIBUTABLE TO COMMON SHAREHOLDERS: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loss from continuing operations attributable to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(1,190)</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loss from discontinued operations</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loss attributable to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(1,223)</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 net loss from continuing operations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(3.14)</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 net loss from discontinued operations per share</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(0.08)</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 net loss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(3.22)</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DILUTED NET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 net loss from continuing operations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(3.14)</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Diluted net loss from discontinued operations per share</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(0.08)</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 net loss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(3.22)</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WEIGHTED-AVERAGE NUMBER OF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379</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67"/>
              <w:spacing w:after="0"/>
              <w:rPr>
                <w:sz w:val="20"/>
                <w:szCs w:val="20"/>
                <w:color w:val="auto"/>
              </w:rPr>
            </w:pPr>
            <w:r>
              <w:rPr>
                <w:rFonts w:ascii="Arial" w:cs="Arial" w:eastAsia="Arial" w:hAnsi="Arial"/>
                <w:sz w:val="14"/>
                <w:szCs w:val="14"/>
                <w:color w:val="auto"/>
              </w:rPr>
              <w:t>379</w:t>
            </w:r>
          </w:p>
        </w:tc>
        <w:tc>
          <w:tcPr>
            <w:tcW w:w="3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COMMON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0.75</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2015 has been recast to reflect retrospective application of the successful efforts method of accounting. See Note 1.</w:t>
      </w:r>
    </w:p>
    <w:p>
      <w:pPr>
        <w:spacing w:after="0" w:line="109" w:lineRule="exact"/>
        <w:rPr>
          <w:sz w:val="20"/>
          <w:szCs w:val="20"/>
          <w:color w:val="auto"/>
        </w:rPr>
      </w:pPr>
    </w:p>
    <w:p>
      <w:pPr>
        <w:ind w:left="3940"/>
        <w:spacing w:after="0"/>
        <w:rPr>
          <w:sz w:val="20"/>
          <w:szCs w:val="20"/>
          <w:color w:val="auto"/>
        </w:rPr>
      </w:pPr>
      <w:r>
        <w:rPr>
          <w:rFonts w:ascii="Arial" w:cs="Arial" w:eastAsia="Arial" w:hAnsi="Arial"/>
          <w:sz w:val="14"/>
          <w:szCs w:val="14"/>
          <w:color w:val="auto"/>
        </w:rPr>
        <w:t>The accompanying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are an integral part of this statement.</w:t>
      </w:r>
    </w:p>
    <w:p>
      <w:pPr>
        <w:sectPr>
          <w:pgSz w:w="11900" w:h="16838" w:orient="portrait"/>
          <w:cols w:equalWidth="0" w:num="1">
            <w:col w:w="11420"/>
          </w:cols>
          <w:pgMar w:left="240" w:top="364"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368"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For the Nine Months Ended September</w:t>
      </w:r>
    </w:p>
    <w:p>
      <w:pPr>
        <w:spacing w:after="0" w:line="50" w:lineRule="exact"/>
        <w:rPr>
          <w:sz w:val="20"/>
          <w:szCs w:val="20"/>
          <w:color w:val="auto"/>
        </w:rPr>
      </w:pPr>
    </w:p>
    <w:p>
      <w:pPr>
        <w:jc w:val="center"/>
        <w:ind w:left="83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22860</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loss including noncontrolling interest</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(1,130)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divestitures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Exploratory dry hole expense and unproved leasehold impairments</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Drilling advances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Deferred charges and other</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credits and noncurrent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CONTINUING OPERATING ACTIVITIES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DISCONTINUED OPERATIONS</w:t>
            </w: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2,493</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oil and gas property</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Leasehold and property acquisitions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gas gathering, transmission, and processing facilities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Proceeds from sale of Kitimat LNG project</w:t>
            </w: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other oil and gas properties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CONTINUING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NET CASH PROVIDED BY DISCONTINUED OPERATIONS</w:t>
            </w: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4,372</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r>
      <w:tr>
        <w:trPr>
          <w:trHeight w:val="216"/>
        </w:trPr>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Commercial paper and bank credit facilities, net</w:t>
            </w: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fixed-rate debt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Distributions to noncontrolling interest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r>
      <w:tr>
        <w:trPr>
          <w:trHeight w:val="216"/>
        </w:trPr>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SUPPLEMENTARY CASH FLOW DATA:</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paid, net of capitalized interest</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paid, net of refunds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8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2015 has been recast to reflect retrospective application of the successful efforts method of accounting. See Note 1.</w:t>
      </w:r>
    </w:p>
    <w:p>
      <w:pPr>
        <w:sectPr>
          <w:pgSz w:w="11900" w:h="16838" w:orient="portrait"/>
          <w:cols w:equalWidth="0" w:num="1">
            <w:col w:w="11420"/>
          </w:cols>
          <w:pgMar w:left="240" w:top="580" w:right="239" w:bottom="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ectPr>
          <w:pgSz w:w="11900" w:h="16838" w:orient="portrait"/>
          <w:cols w:equalWidth="0" w:num="1">
            <w:col w:w="11420"/>
          </w:cols>
          <w:pgMar w:left="240" w:top="580"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368"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Receivables, net of allowance</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1,253</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Drilling advances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assets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Oil and gas, on the basis of successful efforts accounting:</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Proved properties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41,728</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Unproved properties and properties under development, not being amortized</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transmission and processing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Less: Accumulated depreciation, depletion, and amortization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(25,312)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20,838</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charges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25,500</w:t>
            </w:r>
          </w:p>
        </w:tc>
      </w:tr>
      <w:tr>
        <w:trPr>
          <w:trHeight w:val="67"/>
        </w:trPr>
        <w:tc>
          <w:tcPr>
            <w:tcW w:w="8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current liabilities (Note 5)</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CREDITS AND OTHER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2,529</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w w:val="94"/>
              </w:rPr>
              <w:t>Common stock, $0.625 par, 860,000,000 shares authorized, 412,602,756 and 411,218,105 shares issued,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33,173,422 and 33,183,930 shares,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APACHE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25,500</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2015 has been recast to reflect retrospective application of the successful efforts method of accounting. See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ectPr>
          <w:pgSz w:w="11900" w:h="16838" w:orient="portrait"/>
          <w:cols w:equalWidth="0" w:num="1">
            <w:col w:w="11420"/>
          </w:cols>
          <w:pgMar w:left="240" w:top="580" w:right="239" w:bottom="962"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962"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Retained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APACHE</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Common</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Treasury</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Comprehensive</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SHAREHOLDERS’</w:t>
            </w: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Controlling</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Deficit)</w:t>
            </w:r>
          </w:p>
        </w:tc>
        <w:tc>
          <w:tcPr>
            <w:tcW w:w="14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Interest</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rPr>
              <w:t>BALANCE AT DECEMBER</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31, 2014 previously reported</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$ 12,438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16,249</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25,937</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28,137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Effect of change in accounting</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09"/>
        </w:trPr>
        <w:tc>
          <w:tcPr>
            <w:tcW w:w="2540" w:type="dxa"/>
            <w:vAlign w:val="bottom"/>
          </w:tcPr>
          <w:p>
            <w:pPr>
              <w:ind w:left="40"/>
              <w:spacing w:after="0"/>
              <w:rPr>
                <w:sz w:val="20"/>
                <w:szCs w:val="20"/>
                <w:color w:val="auto"/>
              </w:rPr>
            </w:pPr>
            <w:r>
              <w:rPr>
                <w:rFonts w:ascii="Arial" w:cs="Arial" w:eastAsia="Arial" w:hAnsi="Arial"/>
                <w:sz w:val="18"/>
                <w:szCs w:val="18"/>
                <w:color w:val="auto"/>
              </w:rPr>
              <w:t>BALANCE AT</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w w:val="97"/>
              </w:rPr>
              <w:t>DECEMBER 31, 2014 as recast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$ 12,590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18,495</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20,541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99"/>
              </w:rPr>
              <w:t>Distributions to noncontrolling</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dividends ($0.75 per</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4"/>
              </w:rPr>
              <w:t>$ 12,649</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11,936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4"/>
              </w:rPr>
              <w:t>13,983</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2015 previously reported</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$ 12,467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97"/>
              </w:rPr>
              <w:t>Effect of change in accounting</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DECEMBER 31, 2015 as recast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$ 12,619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Distributions to noncontrolling</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97"/>
              </w:rPr>
              <w:t>Common dividends ($0.75 per</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9"/>
        </w:trPr>
        <w:tc>
          <w:tcPr>
            <w:tcW w:w="2540" w:type="dxa"/>
            <w:vAlign w:val="bottom"/>
          </w:tcPr>
          <w:p>
            <w:pPr>
              <w:ind w:left="40"/>
              <w:spacing w:after="0"/>
              <w:rPr>
                <w:sz w:val="20"/>
                <w:szCs w:val="20"/>
                <w:color w:val="auto"/>
              </w:rPr>
            </w:pPr>
            <w:r>
              <w:rPr>
                <w:rFonts w:ascii="Arial" w:cs="Arial" w:eastAsia="Arial" w:hAnsi="Arial"/>
                <w:sz w:val="18"/>
                <w:szCs w:val="18"/>
                <w:color w:val="auto"/>
              </w:rPr>
              <w:t>BALANCE AT</w:t>
            </w: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4"/>
              </w:rPr>
              <w:t>$ 12,421</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42"/>
        </w:trPr>
        <w:tc>
          <w:tcPr>
            <w:tcW w:w="254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prior periods has been recast to reflect retrospective application of the successful efforts method of accounting. See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These consolidated financial statements have been prepared by Apache Corporation (Apache or the Company) without audit, pursuant to the rules and regulations of the Securities and Exchange Commission (SEC). They reflect all adjustments that are, in the opinion of management, necessary for a fair presentation of the results for the interim periods. All such adjustments are of a normal recurring nature and are on a basis consistent with the annual audited consolidated financial statements, except as described in Note 1 below. Certain information, accounting policies, and footnote disclosures normally included in financial statements prepared in accordance with accounting principles generally accepted in the United States (U.S. GAAP) have been omitted pursuant to such rules and regulations, although the Company believes that the disclosures are adequate to make the information presented not misleading. This Quarterly Report on Form 10-Q for the quarter ended September 30, 2016, should be read along with Apache’s Current Report on Form 8-K dated August 4, 2016, for the fiscal year ended December 31, 2015, which contains a summary of the Company’s significant accounting policies and other disclosures.</w:t>
      </w:r>
    </w:p>
    <w:p>
      <w:pPr>
        <w:spacing w:after="0" w:line="16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statements for prior periods include reclassifications that were made to conform to the current-period presentation. During the second quarter of 2015, Apache completed the sale of its Australian LNG business and oil and gas assets. Results of operations and consolidated cash flows for the divested Australia assets are reflected as discontinued operations in the Company’s financial statements for all periods presented. For more information regarding these divestitures, please refer to Note 3—Acquisitions and Divestitures.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Recast Financial Information for Change in Accounting Principle</w:t>
      </w:r>
    </w:p>
    <w:p>
      <w:pPr>
        <w:spacing w:after="0" w:line="18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the second quarter of 2016, Apache voluntarily changed its method of accounting for its oil and gas exploration and development activities from the full cost method to the successful efforts method of accounting. As prescribed by the Financial Accounting Standards Board (FASB) Accounting Standards Codification (ASC) 250 “Accounting Changes and Error Corrections,” the financial information for prior periods has been recast to reflect retrospective application of the successful efforts method of accounting in accordance with ASC 932 “Extractive Activities—Oil and Gas.” Although the full cost method of accounting for oil and gas exploration and development activities continues to be an accepted alternative, the successful efforts method of accounting is the generally preferred method of the U.S. Securities and Exchange Commission (SEC) and is more widely used in the industry such that the change improves comparability of the Company’s financial statements to its peers. The Company believes the successful efforts method provides a more representational depiction of assets and operating results. The successful efforts method also provides for the Company’s investments in oil and gas properties to be assessed for impairment in accordance with ASC 360 “Property, Plant, and Equipment” rather than valuations based on prices and costs prescribed under the full cost method as of the balance sheet date. For more detailed information regarding the effects of the change to the successful efforts method, please refer to Note 2 —Change in Accounting Principle. The Company has recast certain historical information for all periods presented, including the Statement of Consolidated Operations, Statement of Consolidated Cash Flows, Consolidated Balance Sheet, Statement of Consolidated Changes in Equity, and related information in Notes 1, 2, 3, 4, 5, 7, 8, 10, 11, and 12.</w:t>
      </w:r>
    </w:p>
    <w:p>
      <w:pPr>
        <w:spacing w:after="0" w:line="14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the first quarter of 2016</w:t>
      </w:r>
      <w:r>
        <w:rPr>
          <w:rFonts w:ascii="Arial" w:cs="Arial" w:eastAsia="Arial" w:hAnsi="Arial"/>
          <w:sz w:val="17"/>
          <w:szCs w:val="17"/>
          <w:color w:val="231F20"/>
        </w:rPr>
        <w:t>, the Company retrospectively adopted a new accounting standard update ASU 2015-03</w:t>
      </w:r>
      <w:r>
        <w:rPr>
          <w:rFonts w:ascii="Arial" w:cs="Arial" w:eastAsia="Arial" w:hAnsi="Arial"/>
          <w:sz w:val="17"/>
          <w:szCs w:val="17"/>
          <w:color w:val="auto"/>
        </w:rPr>
        <w:t xml:space="preserve"> “</w:t>
      </w:r>
      <w:r>
        <w:rPr>
          <w:rFonts w:ascii="Arial" w:cs="Arial" w:eastAsia="Arial" w:hAnsi="Arial"/>
          <w:sz w:val="17"/>
          <w:szCs w:val="17"/>
          <w:color w:val="231F20"/>
        </w:rPr>
        <w:t>Simplifying the Presentation of</w:t>
      </w:r>
      <w:r>
        <w:rPr>
          <w:rFonts w:ascii="Arial" w:cs="Arial" w:eastAsia="Arial" w:hAnsi="Arial"/>
          <w:sz w:val="17"/>
          <w:szCs w:val="17"/>
          <w:color w:val="auto"/>
        </w:rPr>
        <w:t xml:space="preserve"> </w:t>
      </w:r>
      <w:r>
        <w:rPr>
          <w:rFonts w:ascii="Arial" w:cs="Arial" w:eastAsia="Arial" w:hAnsi="Arial"/>
          <w:sz w:val="17"/>
          <w:szCs w:val="17"/>
          <w:color w:val="231F20"/>
        </w:rPr>
        <w:t>Debt Issuance Costs,</w:t>
      </w:r>
      <w:r>
        <w:rPr>
          <w:rFonts w:ascii="Arial" w:cs="Arial" w:eastAsia="Arial" w:hAnsi="Arial"/>
          <w:sz w:val="17"/>
          <w:szCs w:val="17"/>
          <w:color w:val="000000"/>
        </w:rPr>
        <w:t>”</w:t>
      </w:r>
      <w:r>
        <w:rPr>
          <w:rFonts w:ascii="Arial" w:cs="Arial" w:eastAsia="Arial" w:hAnsi="Arial"/>
          <w:sz w:val="17"/>
          <w:szCs w:val="17"/>
          <w:color w:val="231F20"/>
        </w:rPr>
        <w:t xml:space="preserve"> which requires debt issuance costs to be presented as a direct deduction from the carrying value of the associated debt liability, consistent with debt discounts. For more information regarding this update, please refer to Note 7—Debt and Financing Costs.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2016, Apache’s significant accounting policies are consistent with those discussed in Note 1—Summary of Significant Accounting Policies to the consolidated financial statements contained in Apache’s Current Report on Form 8-K dated August 4, 2016, for the fiscal year ended December 31, 2015.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Significant estimates with regard to these financial statements include the fair value determination of acquired assets and liabilities, the estimate of proved oil and gas reserves and related present value estimates of future net cash flows therefrom, the assessment of asset retirement obligations, the estimates of fair value for long-lived assets and goodwill, and the estimate of income taxes. Actual results could differ from those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Certain assets and liabilities are reported at fair value on a recurring basis in Apache’s consolidated balance sheet. ASC 820-10-35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Apache also uses fair value measurements on a nonrecurring basis when certain qualitative assessments of its assets indicate a potential impairment. For the third quarter and nine-month period ended September 30, 2016, the Company recorded asset impairments totaling $951 million and $1.2 billion, respectively, in connection with fair value assessments. For the third quarter and nine-month period ended September 30, 2016, impairments totaling $470 million and $645 million, respectively, were recorded for oil and gas properties in the U.S. and Canada, as discussed in further detail below in “Oil and Gas Property.”</w:t>
      </w:r>
    </w:p>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second quarter of 2016, the Company also recorded an impairment of $105 million for gas gathering, transmission, and processing (GTP) assets. The fair values of the impaired assets were determined using an income approach, which considered internal estimates of future throughput volumes, processing rates, and costs. These assumptions were applied to develop future cash flow projections that were then discounted to estimated fair value, using a discount rate believed to be consistent with those applied by market participants. Apache has classified these non-recurring fair value measurements as Level 3 in the fair value hierarchy. The resulting fair value of $175 million was reflected in GTP assets.</w:t>
      </w:r>
    </w:p>
    <w:p>
      <w:pPr>
        <w:spacing w:after="0" w:line="1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September 15, 2016, U.K. Finance Act 2016 received Royal Assent, providing tax relief to exploration and production companies operating in the U.K. North Sea. Under the enacted legislation, the U.K. Petroleum Revenue Tax (PRT) rate was reduced to zero from the previously enacted 35 percent rate in effect from January 1, 2016. PRT expense ceased prospectively from that date. As a further result of this change, the Company reduced the recoverable PRT benefits that would have been realized from future abandonment activities by $481 million ($289 million net of tax). This recoverable PRT benefit had an aggregate remaining value of $13 million as of September 30, 2016, which is recorded in “Deferred charges and other” on the consolidated balance sheet. The recoverable value of the PRT benefit was estimated using the income approach. The expected future cash flows used in the determination were based on anticipated spending and timing of planned future abandonment activities for applicable fields, considering all available information at the date of review. Apache has classified this fair value measurement as Level 3 in the fair value hierarchy.</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nine-month period ended September 30, 2015, the Company recorded asset impairments totaling $6.8 billion in connection with fair value assessments in the current low commodity price environment. Impairments totaling $6.3 billion were recorded for oil and gas properties, which were written down to their fair values. Also, for the nine-month period ended September 30, 2015, the Company recorded $210 million for the impairment of certain GTP assets, which were written down to their fair values, $163 million for the impairment of goodwill, $148 million for the impairment of an equity method investment, and $9 million for the impairment of inventory.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Oil and Gas Property</w:t>
      </w:r>
    </w:p>
    <w:p>
      <w:pPr>
        <w:spacing w:after="0" w:line="18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Company follows the successful efforts method of accounting for its oil and gas property. Under this method of accounting, exploration costs such as exploratory geological and geophysical costs, delay rentals, and exploration overhead are expensed as incurred. All costs related to production,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This determination may take longer than one year in certain areas depending on, among other things, the amount of hydrocarbons discovered, the outcome of planned geological and engineering studies, the need for additional appraisal drilling activities to determine whether the discovery is sufficient to support an economic development plan, and government sanctioning of development activities in certain international locations. At the end of each quarter, management reviews the status of all suspended exploratory well costs in light of ongoing exploration activities; in particular, whether the Company is making sufficient progress in its ongoing exploration and appraisal efforts or, in the case of discoveries requiring government sanctioning, whether development negotiations are underway and proceeding as planned. If management determines that future appraisal drilling or development activities are unlikely to occur, associated exploratory well costs are expensed as dry hole costs.</w:t>
      </w:r>
    </w:p>
    <w:p>
      <w:pPr>
        <w:spacing w:after="0" w:line="13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Acquisition costs of unproved properties are assessed for impairment at least annually and are transferred to proved oil and gas properties to the extent the costs are associated with successful exploration activities. Significant undeveloped leases are assessed individually for impairment based on the Company’s current exploration plans. Unproved oil and gas properties with individually insignificant lease acquisition costs are amortized on a group basis over the average lease term at rates that provide for full amortization of unsuccessful leases upon lease expiration or abandonment. Costs of expired or abandoned leases are charged to exploration expense, while costs of productive leases are transferred to proved oil and gas properties. Costs of maintaining and retaining unproved properties, as well as amortization of individually insignificant leases and impairment of unsuccessful leases, are included in exploration costs in the statement of consolidated operations.</w:t>
      </w:r>
    </w:p>
    <w:p>
      <w:pPr>
        <w:spacing w:after="0" w:line="13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amortizes the remaining historical capitalized costs of oil and gas properties based on the volumes produced. The reserve base used to calculate depreciation for property acquisition costs is the sum of proved developed reserves and proved undeveloped reserves. With respect to lease and well equipment costs, which include development costs and successful exploration drilling costs, the reserve base includes only proved developed reserves. Estimated future dismantlement, restoration and abandonment costs, net of salvage values, are included in the depreciable cost.</w:t>
      </w:r>
    </w:p>
    <w:p>
      <w:pPr>
        <w:spacing w:after="0" w:line="13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Oil and gas properties are grouped for depreciation in accordance with ASC 932 “Extractive Activities - Oil and Gas.” The basis for grouping is a reasonable aggregation of properties with a common geological structural feature or stratigraphic condition, such as a reservoir or field.</w:t>
      </w:r>
    </w:p>
    <w:p>
      <w:pPr>
        <w:spacing w:after="0" w:line="10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When circumstances indicate that proved oil and gas properties may be impaired,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Apache’s estimate of future crude oil and natural gas prices, operating costs, anticipated production from proved reserves and other relevant data, are lower than the unamortized capitalized cost, the capitalized cost is reduced to fair value. Fair value is generally estimated using the income approach described in the ASC 820 “Fair Value Measurement.” If applicable, the Company utilizes accepted bids as the basis for determining fair value. The expected future cash flows used for impairment reviews and related fair value calculations are typically based on judgmental assessments of future production volumes, commodity prices, operating costs, and capital investment plans, considering all available information at the date of review. These assumptions are applied to develop future cash flow projections that are then discounted to estimated fair value, using a discount rate believed to be consistent with those applied by market participants. Apache has classified these fair value measurements as Level 3 in the fair value hierarchy.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50" w:right="239" w:bottom="1440" w:gutter="0" w:footer="0" w:header="0"/>
        </w:sectPr>
      </w:pPr>
    </w:p>
    <w:bookmarkStart w:id="12" w:name="page13"/>
    <w:bookmarkEnd w:id="12"/>
    <w:p>
      <w:pPr>
        <w:jc w:val="both"/>
        <w:ind w:right="20" w:firstLine="432"/>
        <w:spacing w:after="0" w:line="277" w:lineRule="auto"/>
        <w:rPr>
          <w:sz w:val="20"/>
          <w:szCs w:val="20"/>
          <w:color w:val="auto"/>
        </w:rPr>
      </w:pPr>
      <w:r>
        <w:rPr>
          <w:rFonts w:ascii="Arial" w:cs="Arial" w:eastAsia="Arial" w:hAnsi="Arial"/>
          <w:sz w:val="18"/>
          <w:szCs w:val="18"/>
          <w:color w:val="auto"/>
        </w:rPr>
        <w:t>The following table represents non-cash impairments of the carrying value of the Company’s proved and unproved property and equipment for the third quarters and first nine months of 2016 and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Quarter Ended September</w:t>
            </w:r>
          </w:p>
        </w:tc>
        <w:tc>
          <w:tcPr>
            <w:tcW w:w="280" w:type="dxa"/>
            <w:vAlign w:val="bottom"/>
          </w:tcPr>
          <w:p>
            <w:pPr>
              <w:spacing w:after="0"/>
              <w:rPr>
                <w:sz w:val="18"/>
                <w:szCs w:val="18"/>
                <w:color w:val="auto"/>
              </w:rPr>
            </w:pPr>
          </w:p>
        </w:tc>
        <w:tc>
          <w:tcPr>
            <w:tcW w:w="19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30,</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 Property: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Proved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3,536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5,797</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Unproved</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7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Proved properties impaired during the second and third quarters of 2016 had aggregate fair values of $143 million and $163 million, respectively. Proved properties impaired during the first, second, and third quarters of 2015 had aggregate fair values of $1.2 billion, $516 million, and $1.9 billion, respectively.</w:t>
      </w:r>
    </w:p>
    <w:p>
      <w:pPr>
        <w:spacing w:after="0" w:line="1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the statement of consolidated operations, unproved impairments are recorded in exploration expense, and proved impairments are recorded in impairments.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Gains and losses on significant divestitures are recognized in the statement of consolidated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Pronouncements Issued But Not Yet Adopted</w:t>
      </w:r>
    </w:p>
    <w:p>
      <w:pPr>
        <w:spacing w:after="0" w:line="17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August 2016, the FASB issued Accounting Standards Update (“ASU”) 2016-15, Statement of Cash Flows (Topic 230). ASU 2016-15 seeks to reduce the existing diversity in practice in how certain cash receipts and cash payments are presented and classified in the statement of cash flows. This update is effective for fiscal years beginning after December 15, 2017, including interim periods within those fiscal years, with early adoption permitted. The Company is currently evaluating the provisions of ASU 2016-15 and assessing the impact, if any, it may have on its statement of consolidated cash flows.</w:t>
      </w:r>
    </w:p>
    <w:p>
      <w:pPr>
        <w:spacing w:after="0" w:line="10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The standard changes the impairment model for most financial assets and certain other instruments, including trade and other receivables, held-to-maturity debt securities and loans, and requires entities to use a new forward-looking expected loss model that will result in the earlier recognition of allowance for losses. This update is effective for fiscal years beginning after December 15, 2019, including interim periods within those fiscal years. Early adoption is permitted for a fiscal year beginning after December 15, 2018, including interim periods within that fiscal year. The Company does not expect to adopt the guidance early. Entities will apply the standard’s provisions as a cumulative-effect adjustment to retained earnings as of the beginning of the first reporting period in which the guidance is adopted. The Company is evaluating the new guidance and does not believe this standard will have a material impact on its consolidated financial statements.</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March 2016, the FASB issued ASU 2016-09, which seeks to simplify accounting for share-based payment transactions including income tax consequences, classification of awards as either equity or liabilities, and the classification on the statement of cash flows. The new standard requires the Company to recognize the income tax effects of awards in the income statement when the awards vest or are settled. The guidance is effective for fiscal years beginning after December 15, 2016. Early adoption is permitted and if an entity early adopts the guidance in an interim period, any adjustments must be reflected as of the beginning of the fiscal year that includes that interim period. The Company is evaluating the new guidance and does not believe this standard will have a material impact on its consolidated financial statements.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February 2016, the FASB issued ASU 2016-02, a new lease standard requiring lessees to recognize lease assets and lease liabilities for most leases classified as operating leases under previous U.S. GAAP. The guidance is effective for fiscal years beginning after December 15, 2018, with early adoption permitted. The Company will be required to use a modified retrospective approach for leases that exist or are entered into after the beginning of the earliest comparative period in the financial statements. The Company is currently evaluating the impact of adopting this standard on its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3" w:name="page14"/>
    <w:bookmarkEnd w:id="13"/>
    <w:p>
      <w:pPr>
        <w:jc w:val="both"/>
        <w:ind w:firstLine="432"/>
        <w:spacing w:after="0" w:line="270" w:lineRule="auto"/>
        <w:rPr>
          <w:sz w:val="20"/>
          <w:szCs w:val="20"/>
          <w:color w:val="auto"/>
        </w:rPr>
      </w:pPr>
      <w:r>
        <w:rPr>
          <w:rFonts w:ascii="Arial" w:cs="Arial" w:eastAsia="Arial" w:hAnsi="Arial"/>
          <w:sz w:val="17"/>
          <w:szCs w:val="17"/>
          <w:color w:val="auto"/>
        </w:rPr>
        <w:t>In May 2014, the FASB and the International Accounting Standards Board (IASB) issued a joint revenue recognition standard, ASU 2014-09. The new standard removes inconsistencies in existing standards, changes the way companies recognize revenue from contracts with customers, and increases disclosure requirements. The guidance requires companies to recognize revenue to depict the transfer of goods or services to customers in amounts that reflect the consideration to which the company expects to be entitled in exchange for those goods or services. In March 2016, the FASB issued ASU 2016-08, which provides further clarification on the principal versus agent evaluation. The guidance is effective for annual and interim periods beginning after December 15, 2017. The standard is required to be adopted using either the full retrospective approach, with all prior periods presented adjusted, or the modified retrospective approach, with a cumulative adjustment to retained earnings on the opening balance sheet. The Company is currently evaluating the level of effort needed to implement the standard, the impact of adopting this standard on its consolidated financial statements, and whether to use the full retrospective approach or the modified retrospective approach.</w:t>
      </w:r>
    </w:p>
    <w:p>
      <w:pPr>
        <w:spacing w:after="0" w:line="13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PRINCIPLE</w:t>
      </w:r>
    </w:p>
    <w:p>
      <w:pPr>
        <w:spacing w:after="0" w:line="18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During the second quarter of 2016, the Company voluntarily changed its method of accounting for oil and gas exploration and development activities from the full cost method to the successful efforts method. Accordingly, financial information for prior periods has been recast to reflect retrospective application of the successful efforts method. Under successful efforts, exploration expenditures such as exploratory dry holes, exploratory geological and geophysical costs, delay rentals, unproved impairments, and exploration overhead are charged against earnings, versus being capitalized under the full cost method of accounting. Successful efforts also provides for the assessment of potential property impairments under ASC 360 by comparing the net carrying value of oil and gas properties with associated projected undiscounted pre-tax future net cash flows. If the expected undiscounted pre-tax future net cash flows are lower than the unamortized capitalized costs, the capitalized cost is reduced to fair value. Under the full cost method of accounting, a write-down would be required if the net carrying value of oil and gas properties exceeds a full cost “ceiling,” using an unweighted arithmetic average of commodity prices in effect on the first day of each of the previous 12 months. In addition, gains or losses, if applicable, are generally recognized on the dispositions of oil and gas property and equipment under the successful efforts method, as opposed to an adjustment to the net carrying value of the remaining assets under the full cost method. Apache’s consolidated financial statements have been recast to reflect these differences.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effects of the change to the successful efforts method in the statement of consolidated operations:</w:t>
      </w:r>
    </w:p>
    <w:p>
      <w:pPr>
        <w:spacing w:after="0" w:line="230"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Changes to the Statement of Consolidated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Quarter Ended September 30, 2016</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As Reported Under</w:t>
            </w: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87"/>
              </w:rPr>
              <w:t>Successful Efforts</w:t>
            </w:r>
          </w:p>
        </w:tc>
        <w:tc>
          <w:tcPr>
            <w:tcW w:w="0" w:type="dxa"/>
            <w:vAlign w:val="bottom"/>
          </w:tcPr>
          <w:p>
            <w:pPr>
              <w:spacing w:after="0"/>
              <w:rPr>
                <w:sz w:val="1"/>
                <w:szCs w:val="1"/>
                <w:color w:val="auto"/>
              </w:rPr>
            </w:pPr>
          </w:p>
        </w:tc>
      </w:tr>
      <w:tr>
        <w:trPr>
          <w:trHeight w:val="248"/>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6"/>
          </w:tcPr>
          <w:p>
            <w:pPr>
              <w:jc w:val="right"/>
              <w:spacing w:after="0"/>
              <w:rPr>
                <w:sz w:val="20"/>
                <w:szCs w:val="20"/>
                <w:color w:val="auto"/>
              </w:rPr>
            </w:pPr>
            <w:r>
              <w:rPr>
                <w:rFonts w:ascii="Arial" w:cs="Arial" w:eastAsia="Arial" w:hAnsi="Arial"/>
                <w:sz w:val="13"/>
                <w:szCs w:val="13"/>
                <w:b w:val="1"/>
                <w:bCs w:val="1"/>
                <w:color w:val="auto"/>
              </w:rPr>
              <w:t>(In millions, except per share data)</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Natural gas revenues</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NGL revenues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Oil and gas production revenues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Gain on divestiture</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Exploration</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Oil and Gas Property and Equipment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60"/>
              <w:spacing w:after="0"/>
              <w:rPr>
                <w:sz w:val="20"/>
                <w:szCs w:val="20"/>
                <w:color w:val="auto"/>
              </w:rPr>
            </w:pPr>
            <w:r>
              <w:rPr>
                <w:rFonts w:ascii="Arial" w:cs="Arial" w:eastAsia="Arial" w:hAnsi="Arial"/>
                <w:sz w:val="14"/>
                <w:szCs w:val="14"/>
                <w:color w:val="auto"/>
              </w:rPr>
              <w:t>Recurring</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costs, net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Current income tax provision</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provision (benefit)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LOSS FROM CONTINUING OPERATIONS INCLUDING NONCONTROLLING INTEREST</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noncontrolling interest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LOSS FROM CONTINUING OPERATIONS ATTRIBUTABLE TO COMMON SHAREHOLDERS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from discontinued operations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LOSS ATTRIBUTABLE TO COMMON SHAREHOLDERS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41"/>
        </w:trPr>
        <w:tc>
          <w:tcPr>
            <w:tcW w:w="6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net loss from continuing operations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Basic net loss from discontinued operations per share</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4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net loss per share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from continuing operations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from discontinued operations per share</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4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net loss per share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6" w:right="239" w:bottom="1440" w:gutter="0" w:footer="0" w:header="0"/>
          <w:type w:val="continuous"/>
        </w:sectPr>
      </w:pPr>
    </w:p>
    <w:bookmarkStart w:id="14" w:name="page15"/>
    <w:bookmarkEnd w:id="14"/>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Quarter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194945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Oil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NGL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Oil and gas production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Loss on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Exploration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Depreciation, depletion, and amortization:</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Oil and Gas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Recurring</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Impairments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Financing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Current income tax benefit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00" w:right="340" w:hanging="107"/>
        <w:spacing w:after="0" w:line="402" w:lineRule="auto"/>
        <w:rPr>
          <w:sz w:val="20"/>
          <w:szCs w:val="20"/>
          <w:color w:val="auto"/>
        </w:rPr>
      </w:pPr>
      <w:r>
        <w:rPr>
          <w:rFonts w:ascii="Arial" w:cs="Arial" w:eastAsia="Arial" w:hAnsi="Arial"/>
          <w:sz w:val="14"/>
          <w:szCs w:val="14"/>
          <w:color w:val="auto"/>
        </w:rPr>
        <w:t>NET LOSS FROM CONTINUING OPERATIONS INCLUDING NONCONTROLLING INTEREST 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00" w:right="60" w:hanging="107"/>
        <w:spacing w:after="0" w:line="402" w:lineRule="auto"/>
        <w:rPr>
          <w:sz w:val="20"/>
          <w:szCs w:val="20"/>
          <w:color w:val="auto"/>
        </w:rPr>
      </w:pPr>
      <w:r>
        <w:rPr>
          <w:rFonts w:ascii="Arial" w:cs="Arial" w:eastAsia="Arial" w:hAnsi="Arial"/>
          <w:sz w:val="14"/>
          <w:szCs w:val="14"/>
          <w:color w:val="auto"/>
        </w:rPr>
        <w:t>NET LOSS FROM CONTINUING OPERATIONS ATTRIBUTABLE TO COMMON SHAREHOLDERS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LOSS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common share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from continuing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from discontinued operations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Diluted net loss from continuing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Diluted net loss from discontinued operations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194945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Oil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NGL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Oil and gas production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Gain on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Exploration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Oil and Gas Property and Equipment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Additional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Financing costs,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Current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provision (benefit)</w:t>
      </w:r>
    </w:p>
    <w:p>
      <w:pPr>
        <w:spacing w:after="0" w:line="109" w:lineRule="exact"/>
        <w:rPr>
          <w:sz w:val="20"/>
          <w:szCs w:val="20"/>
          <w:color w:val="auto"/>
        </w:rPr>
      </w:pPr>
    </w:p>
    <w:p>
      <w:pPr>
        <w:ind w:left="100" w:right="340" w:hanging="107"/>
        <w:spacing w:after="0" w:line="402" w:lineRule="auto"/>
        <w:rPr>
          <w:sz w:val="20"/>
          <w:szCs w:val="20"/>
          <w:color w:val="auto"/>
        </w:rPr>
      </w:pPr>
      <w:r>
        <w:rPr>
          <w:rFonts w:ascii="Arial" w:cs="Arial" w:eastAsia="Arial" w:hAnsi="Arial"/>
          <w:sz w:val="14"/>
          <w:szCs w:val="14"/>
          <w:color w:val="auto"/>
        </w:rPr>
        <w:t>NET LOSS FROM CONTINUING OPERATIONS INCLUDING NONCONTROLLING INTEREST Net income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-218440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00" w:right="60" w:hanging="107"/>
        <w:spacing w:after="0" w:line="402" w:lineRule="auto"/>
        <w:rPr>
          <w:sz w:val="20"/>
          <w:szCs w:val="20"/>
          <w:color w:val="auto"/>
        </w:rPr>
      </w:pPr>
      <w:r>
        <w:rPr>
          <w:rFonts w:ascii="Arial" w:cs="Arial" w:eastAsia="Arial" w:hAnsi="Arial"/>
          <w:sz w:val="14"/>
          <w:szCs w:val="14"/>
          <w:color w:val="auto"/>
        </w:rPr>
        <w:t>NET LOSS FROM CONTINUING OPERATIONS ATTRIBUTABLE TO COMMON SHAREHOLDERS Net 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-218440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LOSS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from continuing operations per share</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4"/>
          <w:szCs w:val="14"/>
          <w:b w:val="1"/>
          <w:bCs w:val="1"/>
          <w:color w:val="auto"/>
        </w:rPr>
        <w:t>Changes to the Statement of Consolidated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8213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9"/>
              <w:spacing w:after="0"/>
              <w:rPr>
                <w:sz w:val="20"/>
                <w:szCs w:val="20"/>
                <w:color w:val="auto"/>
              </w:rPr>
            </w:pPr>
            <w:r>
              <w:rPr>
                <w:rFonts w:ascii="Arial" w:cs="Arial" w:eastAsia="Arial" w:hAnsi="Arial"/>
                <w:sz w:val="13"/>
                <w:szCs w:val="13"/>
                <w:b w:val="1"/>
                <w:bCs w:val="1"/>
                <w:color w:val="auto"/>
                <w:w w:val="89"/>
              </w:rPr>
              <w:t>As Reported Under</w:t>
            </w:r>
          </w:p>
        </w:tc>
      </w:tr>
      <w:tr>
        <w:trPr>
          <w:trHeight w:val="174"/>
        </w:trPr>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5"/>
              </w:rPr>
              <w:t>Successful Efforts</w:t>
            </w:r>
          </w:p>
        </w:tc>
      </w:tr>
      <w:tr>
        <w:trPr>
          <w:trHeight w:val="241"/>
        </w:trPr>
        <w:tc>
          <w:tcPr>
            <w:tcW w:w="180" w:type="dxa"/>
            <w:vAlign w:val="bottom"/>
          </w:tcPr>
          <w:p>
            <w:pPr>
              <w:spacing w:after="0"/>
              <w:rPr>
                <w:sz w:val="20"/>
                <w:szCs w:val="20"/>
                <w:color w:val="auto"/>
              </w:rPr>
            </w:pPr>
          </w:p>
        </w:tc>
        <w:tc>
          <w:tcPr>
            <w:tcW w:w="3000" w:type="dxa"/>
            <w:vAlign w:val="bottom"/>
            <w:gridSpan w:val="6"/>
          </w:tcPr>
          <w:p>
            <w:pPr>
              <w:jc w:val="center"/>
              <w:ind w:left="1029"/>
              <w:spacing w:after="0"/>
              <w:rPr>
                <w:sz w:val="20"/>
                <w:szCs w:val="20"/>
                <w:color w:val="auto"/>
              </w:rPr>
            </w:pPr>
            <w:r>
              <w:rPr>
                <w:rFonts w:ascii="Arial" w:cs="Arial" w:eastAsia="Arial" w:hAnsi="Arial"/>
                <w:sz w:val="13"/>
                <w:szCs w:val="13"/>
                <w:b w:val="1"/>
                <w:bCs w:val="1"/>
                <w:color w:val="auto"/>
                <w:w w:val="86"/>
              </w:rPr>
              <w:t>(In millions, except per share data)</w:t>
            </w:r>
          </w:p>
        </w:tc>
        <w:tc>
          <w:tcPr>
            <w:tcW w:w="1260" w:type="dxa"/>
            <w:vAlign w:val="bottom"/>
          </w:tcPr>
          <w:p>
            <w:pPr>
              <w:spacing w:after="0"/>
              <w:rPr>
                <w:sz w:val="20"/>
                <w:szCs w:val="20"/>
                <w:color w:val="auto"/>
              </w:rPr>
            </w:pPr>
          </w:p>
        </w:tc>
      </w:tr>
      <w:tr>
        <w:trPr>
          <w:trHeight w:val="27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1,213</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1,238</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318</w:t>
            </w:r>
          </w:p>
        </w:tc>
      </w:tr>
      <w:tr>
        <w:trPr>
          <w:trHeight w:val="276"/>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50</w:t>
            </w:r>
          </w:p>
        </w:tc>
      </w:tr>
      <w:tr>
        <w:trPr>
          <w:trHeight w:val="244"/>
        </w:trPr>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1,606</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223</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89</w:t>
            </w:r>
          </w:p>
        </w:tc>
      </w:tr>
      <w:tr>
        <w:trPr>
          <w:trHeight w:val="810"/>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793</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5,721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3,903</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160</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19</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(4,119)</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7</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(4,126)</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(4,143)</w:t>
            </w:r>
          </w:p>
        </w:tc>
      </w:tr>
      <w:tr>
        <w:trPr>
          <w:trHeight w:val="675"/>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(10.91)</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8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(10.91)</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86"/>
        </w:trPr>
        <w:tc>
          <w:tcPr>
            <w:tcW w:w="1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7"/>
          </w:tcPr>
          <w:p>
            <w:pPr>
              <w:jc w:val="center"/>
              <w:ind w:right="89"/>
              <w:spacing w:after="0"/>
              <w:rPr>
                <w:sz w:val="20"/>
                <w:szCs w:val="20"/>
                <w:color w:val="auto"/>
              </w:rPr>
            </w:pPr>
            <w:r>
              <w:rPr>
                <w:rFonts w:ascii="Arial" w:cs="Arial" w:eastAsia="Arial" w:hAnsi="Arial"/>
                <w:sz w:val="14"/>
                <w:szCs w:val="14"/>
                <w:b w:val="1"/>
                <w:bCs w:val="1"/>
                <w:color w:val="auto"/>
                <w:w w:val="91"/>
              </w:rPr>
              <w:t>Changes to the Statement of Consolidated Operations</w:t>
            </w:r>
          </w:p>
        </w:tc>
      </w:tr>
      <w:tr>
        <w:trPr>
          <w:trHeight w:val="143"/>
        </w:trPr>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9"/>
              <w:spacing w:after="0" w:line="144" w:lineRule="exact"/>
              <w:rPr>
                <w:sz w:val="20"/>
                <w:szCs w:val="20"/>
                <w:color w:val="auto"/>
              </w:rPr>
            </w:pPr>
            <w:r>
              <w:rPr>
                <w:rFonts w:ascii="Arial" w:cs="Arial" w:eastAsia="Arial" w:hAnsi="Arial"/>
                <w:sz w:val="13"/>
                <w:szCs w:val="13"/>
                <w:b w:val="1"/>
                <w:bCs w:val="1"/>
                <w:color w:val="auto"/>
                <w:w w:val="89"/>
              </w:rPr>
              <w:t>As Reported Under</w:t>
            </w:r>
          </w:p>
        </w:tc>
      </w:tr>
      <w:tr>
        <w:trPr>
          <w:trHeight w:val="174"/>
        </w:trPr>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5"/>
              </w:rPr>
              <w:t>Successful Efforts</w:t>
            </w:r>
          </w:p>
        </w:tc>
      </w:tr>
      <w:tr>
        <w:trPr>
          <w:trHeight w:val="241"/>
        </w:trPr>
        <w:tc>
          <w:tcPr>
            <w:tcW w:w="180" w:type="dxa"/>
            <w:vAlign w:val="bottom"/>
          </w:tcPr>
          <w:p>
            <w:pPr>
              <w:spacing w:after="0"/>
              <w:rPr>
                <w:sz w:val="20"/>
                <w:szCs w:val="20"/>
                <w:color w:val="auto"/>
              </w:rPr>
            </w:pPr>
          </w:p>
        </w:tc>
        <w:tc>
          <w:tcPr>
            <w:tcW w:w="3000" w:type="dxa"/>
            <w:vAlign w:val="bottom"/>
            <w:gridSpan w:val="6"/>
          </w:tcPr>
          <w:p>
            <w:pPr>
              <w:jc w:val="center"/>
              <w:ind w:left="1029"/>
              <w:spacing w:after="0"/>
              <w:rPr>
                <w:sz w:val="20"/>
                <w:szCs w:val="20"/>
                <w:color w:val="auto"/>
              </w:rPr>
            </w:pPr>
            <w:r>
              <w:rPr>
                <w:rFonts w:ascii="Arial" w:cs="Arial" w:eastAsia="Arial" w:hAnsi="Arial"/>
                <w:sz w:val="13"/>
                <w:szCs w:val="13"/>
                <w:b w:val="1"/>
                <w:bCs w:val="1"/>
                <w:color w:val="auto"/>
                <w:w w:val="86"/>
              </w:rPr>
              <w:t>(In millions, except per share data)</w:t>
            </w:r>
          </w:p>
        </w:tc>
        <w:tc>
          <w:tcPr>
            <w:tcW w:w="1260" w:type="dxa"/>
            <w:vAlign w:val="bottom"/>
          </w:tcPr>
          <w:p>
            <w:pPr>
              <w:spacing w:after="0"/>
              <w:rPr>
                <w:sz w:val="20"/>
                <w:szCs w:val="20"/>
                <w:color w:val="auto"/>
              </w:rPr>
            </w:pPr>
          </w:p>
        </w:tc>
      </w:tr>
      <w:tr>
        <w:trPr>
          <w:trHeight w:val="27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2,915</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3,057</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695</w:t>
            </w:r>
          </w:p>
        </w:tc>
      </w:tr>
      <w:tr>
        <w:trPr>
          <w:trHeight w:val="276"/>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160</w:t>
            </w:r>
          </w:p>
        </w:tc>
      </w:tr>
      <w:tr>
        <w:trPr>
          <w:trHeight w:val="244"/>
        </w:trPr>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3,790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3,912</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21</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347</w:t>
            </w:r>
          </w:p>
        </w:tc>
      </w:tr>
      <w:tr>
        <w:trPr>
          <w:trHeight w:val="810"/>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1,875</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1,009</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311</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284</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(1,097)</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93</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(1,190)</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(1,223)</w:t>
            </w:r>
          </w:p>
        </w:tc>
      </w:tr>
      <w:tr>
        <w:trPr>
          <w:trHeight w:val="675"/>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(3.14)</w:t>
            </w:r>
          </w:p>
        </w:tc>
      </w:tr>
    </w:tbl>
    <w:p>
      <w:pPr>
        <w:sectPr>
          <w:pgSz w:w="11900" w:h="16838" w:orient="portrait"/>
          <w:cols w:equalWidth="0" w:num="2">
            <w:col w:w="6220" w:space="720"/>
            <w:col w:w="4440"/>
          </w:cols>
          <w:pgMar w:left="280" w:top="806"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ind w:left="40"/>
              <w:spacing w:after="0"/>
              <w:rPr>
                <w:sz w:val="20"/>
                <w:szCs w:val="20"/>
                <w:color w:val="auto"/>
              </w:rPr>
            </w:pPr>
            <w:r>
              <w:rPr>
                <w:rFonts w:ascii="Arial" w:cs="Arial" w:eastAsia="Arial" w:hAnsi="Arial"/>
                <w:sz w:val="14"/>
                <w:szCs w:val="14"/>
                <w:color w:val="auto"/>
              </w:rPr>
              <w:t>Basic net loss from discontinued operations per share</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80"/>
        </w:trPr>
        <w:tc>
          <w:tcPr>
            <w:tcW w:w="698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net loss per share</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0"/>
        </w:trPr>
        <w:tc>
          <w:tcPr>
            <w:tcW w:w="6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16"/>
        </w:trPr>
        <w:tc>
          <w:tcPr>
            <w:tcW w:w="6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from continuing operations per share</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from discontinued operations per share</w:t>
            </w: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4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net loss per share</w:t>
            </w: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0"/>
        </w:trPr>
        <w:tc>
          <w:tcPr>
            <w:tcW w:w="6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6" w:name="page17"/>
    <w:bookmarkEnd w:id="16"/>
    <w:p>
      <w:pPr>
        <w:ind w:left="7560"/>
        <w:spacing w:after="0"/>
        <w:rPr>
          <w:sz w:val="20"/>
          <w:szCs w:val="20"/>
          <w:color w:val="auto"/>
        </w:rPr>
      </w:pPr>
      <w:r>
        <w:rPr>
          <w:rFonts w:ascii="Arial" w:cs="Arial" w:eastAsia="Arial" w:hAnsi="Arial"/>
          <w:sz w:val="14"/>
          <w:szCs w:val="14"/>
          <w:b w:val="1"/>
          <w:bCs w:val="1"/>
          <w:color w:val="auto"/>
        </w:rPr>
        <w:t>Changes to the Statement of Consolidated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Nine Months Ended September 30, 2015</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As Reported Under</w:t>
            </w: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87"/>
              </w:rPr>
              <w:t>Successful Efforts</w:t>
            </w:r>
          </w:p>
        </w:tc>
        <w:tc>
          <w:tcPr>
            <w:tcW w:w="0" w:type="dxa"/>
            <w:vAlign w:val="bottom"/>
          </w:tcPr>
          <w:p>
            <w:pPr>
              <w:spacing w:after="0"/>
              <w:rPr>
                <w:sz w:val="1"/>
                <w:szCs w:val="1"/>
                <w:color w:val="auto"/>
              </w:rPr>
            </w:pPr>
          </w:p>
        </w:tc>
      </w:tr>
      <w:tr>
        <w:trPr>
          <w:trHeight w:val="248"/>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6"/>
          </w:tcPr>
          <w:p>
            <w:pPr>
              <w:jc w:val="right"/>
              <w:spacing w:after="0"/>
              <w:rPr>
                <w:sz w:val="20"/>
                <w:szCs w:val="20"/>
                <w:color w:val="auto"/>
              </w:rPr>
            </w:pPr>
            <w:r>
              <w:rPr>
                <w:rFonts w:ascii="Arial" w:cs="Arial" w:eastAsia="Arial" w:hAnsi="Arial"/>
                <w:sz w:val="13"/>
                <w:szCs w:val="13"/>
                <w:b w:val="1"/>
                <w:bCs w:val="1"/>
                <w:color w:val="auto"/>
              </w:rPr>
              <w:t>(In millions, except per share data)</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4,149</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Natural gas revenues</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NGL revenues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Oil and gas production revenues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5,162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Gain on divestiture</w:t>
            </w:r>
          </w:p>
        </w:tc>
        <w:tc>
          <w:tcPr>
            <w:tcW w:w="18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Exploration</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200"/>
              <w:spacing w:after="0"/>
              <w:rPr>
                <w:sz w:val="20"/>
                <w:szCs w:val="20"/>
                <w:color w:val="auto"/>
              </w:rPr>
            </w:pPr>
            <w:r>
              <w:rPr>
                <w:rFonts w:ascii="Arial" w:cs="Arial" w:eastAsia="Arial" w:hAnsi="Arial"/>
                <w:sz w:val="14"/>
                <w:szCs w:val="14"/>
                <w:color w:val="auto"/>
              </w:rPr>
              <w:t>Oil and Gas Property and Equipment</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Recurring</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264"/>
        </w:trPr>
        <w:tc>
          <w:tcPr>
            <w:tcW w:w="6980" w:type="dxa"/>
            <w:vAlign w:val="bottom"/>
          </w:tcPr>
          <w:p>
            <w:pPr>
              <w:ind w:left="36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18,757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Financing costs, net</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income tax provision</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Deferred income tax provision (benefit)</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INCLUDING NONCONTROLLING INTEREST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w:t>
            </w:r>
          </w:p>
        </w:tc>
        <w:tc>
          <w:tcPr>
            <w:tcW w:w="0" w:type="dxa"/>
            <w:vAlign w:val="bottom"/>
          </w:tcPr>
          <w:p>
            <w:pPr>
              <w:spacing w:after="0"/>
              <w:rPr>
                <w:sz w:val="1"/>
                <w:szCs w:val="1"/>
                <w:color w:val="auto"/>
              </w:rPr>
            </w:pPr>
          </w:p>
        </w:tc>
      </w:tr>
      <w:tr>
        <w:trPr>
          <w:trHeight w:val="264"/>
        </w:trPr>
        <w:tc>
          <w:tcPr>
            <w:tcW w:w="698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ATTRIBUTABLE TO COMMON SHAREHOLDERS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0" w:type="dxa"/>
            <w:vAlign w:val="bottom"/>
          </w:tcPr>
          <w:p>
            <w:pPr>
              <w:spacing w:after="0"/>
              <w:rPr>
                <w:sz w:val="1"/>
                <w:szCs w:val="1"/>
                <w:color w:val="auto"/>
              </w:rPr>
            </w:pPr>
          </w:p>
        </w:tc>
      </w:tr>
      <w:tr>
        <w:trPr>
          <w:trHeight w:val="264"/>
        </w:trPr>
        <w:tc>
          <w:tcPr>
            <w:tcW w:w="6980" w:type="dxa"/>
            <w:vAlign w:val="bottom"/>
          </w:tcPr>
          <w:p>
            <w:pPr>
              <w:ind w:left="140"/>
              <w:spacing w:after="0"/>
              <w:rPr>
                <w:sz w:val="20"/>
                <w:szCs w:val="20"/>
                <w:color w:val="auto"/>
              </w:rPr>
            </w:pPr>
            <w:r>
              <w:rPr>
                <w:rFonts w:ascii="Arial" w:cs="Arial" w:eastAsia="Arial" w:hAnsi="Arial"/>
                <w:sz w:val="14"/>
                <w:szCs w:val="14"/>
                <w:color w:val="auto"/>
              </w:rPr>
              <w:t>Net loss from discontinued operations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SHAREHOLDERS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Basic net loss from continuing operations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(39.58)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net loss from discontinued operations per share</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8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net loss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116"/>
        </w:trPr>
        <w:tc>
          <w:tcPr>
            <w:tcW w:w="6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from continuing operations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(39.58)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from discontinued operations per share</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effects of the change to the successful efforts method in the statement of consolidated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Changes to the Statement of Consolidated Cash Flows</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Nine Months Ended September 30, 2016</w:t>
            </w:r>
          </w:p>
        </w:tc>
        <w:tc>
          <w:tcPr>
            <w:tcW w:w="180" w:type="dxa"/>
            <w:vAlign w:val="bottom"/>
          </w:tcPr>
          <w:p>
            <w:pPr>
              <w:spacing w:after="0"/>
              <w:rPr>
                <w:sz w:val="13"/>
                <w:szCs w:val="13"/>
                <w:color w:val="auto"/>
              </w:rPr>
            </w:pPr>
          </w:p>
        </w:tc>
        <w:tc>
          <w:tcPr>
            <w:tcW w:w="13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9"/>
              </w:rPr>
              <w:t>Under Full Cost</w:t>
            </w:r>
          </w:p>
        </w:tc>
        <w:tc>
          <w:tcPr>
            <w:tcW w:w="340" w:type="dxa"/>
            <w:vAlign w:val="bottom"/>
          </w:tcPr>
          <w:p>
            <w:pPr>
              <w:spacing w:after="0"/>
              <w:rPr>
                <w:sz w:val="13"/>
                <w:szCs w:val="13"/>
                <w:color w:val="auto"/>
              </w:rPr>
            </w:pPr>
          </w:p>
        </w:tc>
        <w:tc>
          <w:tcPr>
            <w:tcW w:w="12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Changes*</w:t>
            </w:r>
          </w:p>
        </w:tc>
        <w:tc>
          <w:tcPr>
            <w:tcW w:w="24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269"/>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including noncontrolling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(1,531)</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Gain on divestitures, net</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Exploratory dry hole expense and unproved leasehold impairments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260</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3,138</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(1,143)</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587</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422</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Provision for (benefit from) deferred income taxes</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1,759</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(125)</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Additions to oil and gas property</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(1,406)</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125</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(1,487)</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125</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BEGINNING CASH BALANCE</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1,467</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ENDING CASH BALANCE</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1,230</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6" w:right="239" w:bottom="1072"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Changes to the Statement of Consolidated Cash Flows</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Nine Months Ended September 30, 2015</w:t>
            </w:r>
          </w:p>
        </w:tc>
        <w:tc>
          <w:tcPr>
            <w:tcW w:w="180" w:type="dxa"/>
            <w:vAlign w:val="bottom"/>
          </w:tcPr>
          <w:p>
            <w:pPr>
              <w:spacing w:after="0"/>
              <w:rPr>
                <w:sz w:val="13"/>
                <w:szCs w:val="13"/>
                <w:color w:val="auto"/>
              </w:rPr>
            </w:pPr>
          </w:p>
        </w:tc>
        <w:tc>
          <w:tcPr>
            <w:tcW w:w="13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9"/>
              </w:rPr>
              <w:t>Under Full Cost</w:t>
            </w:r>
          </w:p>
        </w:tc>
        <w:tc>
          <w:tcPr>
            <w:tcW w:w="340" w:type="dxa"/>
            <w:vAlign w:val="bottom"/>
          </w:tcPr>
          <w:p>
            <w:pPr>
              <w:spacing w:after="0"/>
              <w:rPr>
                <w:sz w:val="13"/>
                <w:szCs w:val="13"/>
                <w:color w:val="auto"/>
              </w:rPr>
            </w:pPr>
          </w:p>
        </w:tc>
        <w:tc>
          <w:tcPr>
            <w:tcW w:w="12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Changes*</w:t>
            </w:r>
          </w:p>
        </w:tc>
        <w:tc>
          <w:tcPr>
            <w:tcW w:w="24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269"/>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including noncontrolling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(15,846)</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9,607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Loss from discontinued operations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959</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(824)</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divestitures, net</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(204)</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Exploratory dry hole expense and unproved leasehold impairments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584</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21,753</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(19,261)</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367</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5,960</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deferred income taxes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(5,167)</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3,868</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317</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 continuing operations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2,572</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 discontinued operations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Additions to oil and gas property</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(3,844)</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282</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used in investing activities - continuing operations</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(3,308)</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282</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(3,026)</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investing activities - discontinued operations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4,335</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4,372</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INCREASE (DECREASE) IN CASH</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886</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CASH BALANCE</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769</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58"/>
        </w:trPr>
        <w:tc>
          <w:tcPr>
            <w:tcW w:w="6520" w:type="dxa"/>
            <w:vAlign w:val="bottom"/>
          </w:tcPr>
          <w:p>
            <w:pPr>
              <w:ind w:left="40"/>
              <w:spacing w:after="0"/>
              <w:rPr>
                <w:sz w:val="20"/>
                <w:szCs w:val="20"/>
                <w:color w:val="auto"/>
              </w:rPr>
            </w:pPr>
            <w:r>
              <w:rPr>
                <w:rFonts w:ascii="Arial" w:cs="Arial" w:eastAsia="Arial" w:hAnsi="Arial"/>
                <w:sz w:val="14"/>
                <w:szCs w:val="14"/>
                <w:color w:val="auto"/>
              </w:rPr>
              <w:t>ENDING CASH BALANCE</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1,655</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404"/>
        </w:trPr>
        <w:tc>
          <w:tcPr>
            <w:tcW w:w="9660" w:type="dxa"/>
            <w:vAlign w:val="bottom"/>
            <w:gridSpan w:val="5"/>
          </w:tcPr>
          <w:p>
            <w:pPr>
              <w:jc w:val="right"/>
              <w:ind w:right="489"/>
              <w:spacing w:after="0"/>
              <w:rPr>
                <w:sz w:val="20"/>
                <w:szCs w:val="20"/>
                <w:color w:val="auto"/>
              </w:rPr>
            </w:pPr>
            <w:r>
              <w:rPr>
                <w:rFonts w:ascii="Arial" w:cs="Arial" w:eastAsia="Arial" w:hAnsi="Arial"/>
                <w:sz w:val="18"/>
                <w:szCs w:val="18"/>
                <w:color w:val="auto"/>
                <w:w w:val="94"/>
              </w:rPr>
              <w:t>The following tables present the effects of the change to the successful efforts method in the consolidated balance sheet: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w w:val="90"/>
              </w:rPr>
              <w:t>Changes to the Consolidated Balance Sheet</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Under Full Cost</w:t>
            </w:r>
          </w:p>
        </w:tc>
        <w:tc>
          <w:tcPr>
            <w:tcW w:w="280" w:type="dxa"/>
            <w:vAlign w:val="bottom"/>
          </w:tcPr>
          <w:p>
            <w:pPr>
              <w:spacing w:after="0"/>
              <w:rPr>
                <w:sz w:val="13"/>
                <w:szCs w:val="13"/>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Changes</w:t>
            </w:r>
          </w:p>
        </w:tc>
        <w:tc>
          <w:tcPr>
            <w:tcW w:w="16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Property and equipment - cost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95,107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(48,467)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46,640</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depletion,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(82,717)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55,539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(27,178)</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7,072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19,462</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23,149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1,419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Paid-in capital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(8,628)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5,425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(3,203)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EQUITY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7,949</w:t>
            </w: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w w:val="90"/>
              </w:rPr>
              <w:t>Changes to the Consolidated Balance Sheet</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Under Full Cost</w:t>
            </w:r>
          </w:p>
        </w:tc>
        <w:tc>
          <w:tcPr>
            <w:tcW w:w="260" w:type="dxa"/>
            <w:vAlign w:val="bottom"/>
          </w:tcPr>
          <w:p>
            <w:pPr>
              <w:spacing w:after="0"/>
              <w:rPr>
                <w:sz w:val="13"/>
                <w:szCs w:val="13"/>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Changes*</w:t>
            </w:r>
          </w:p>
        </w:tc>
        <w:tc>
          <w:tcPr>
            <w:tcW w:w="16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Property and equipment - cost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93,825</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(47,675)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46,150</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depletion,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(79,706)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54,394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(25,312)</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6,719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20,838</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25,500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1,457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Paid-in capital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 xml:space="preserve">Accumulated deficit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5,173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58"/>
        </w:trPr>
        <w:tc>
          <w:tcPr>
            <w:tcW w:w="65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4"/>
                <w:szCs w:val="14"/>
                <w:color w:val="auto"/>
              </w:rPr>
              <w:t>TOTAL EQUITY</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2280"/>
        <w:spacing w:after="0" w:line="302" w:lineRule="auto"/>
        <w:rPr>
          <w:sz w:val="20"/>
          <w:szCs w:val="20"/>
          <w:color w:val="auto"/>
        </w:rPr>
      </w:pPr>
      <w:r>
        <w:rPr>
          <w:rFonts w:ascii="Arial" w:cs="Arial" w:eastAsia="Arial" w:hAnsi="Arial"/>
          <w:sz w:val="13"/>
          <w:szCs w:val="13"/>
          <w:color w:val="auto"/>
        </w:rPr>
        <w:t>*In conjunction with recasting the financial information for the adoption of the successful efforts method of accounting, we corrected certain immaterial errors in the North Sea pertaining to the improper calculation of deferred tax liabilities associated with capitalized interest under the full cost method.</w:t>
      </w:r>
    </w:p>
    <w:p>
      <w:pPr>
        <w:spacing w:after="0" w:line="9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cumulative effect of the change to the successful efforts method on retained earnings (accumulated deficit) as of January 1, 2015 was a decrease of $7.6 billion.</w:t>
      </w:r>
    </w:p>
    <w:p>
      <w:pPr>
        <w:spacing w:after="0" w:line="200" w:lineRule="exact"/>
        <w:rPr>
          <w:rFonts w:ascii="Arial" w:cs="Arial" w:eastAsia="Arial" w:hAnsi="Arial"/>
          <w:sz w:val="21"/>
          <w:szCs w:val="21"/>
          <w:color w:val="auto"/>
          <w:vertAlign w:val="superscript"/>
        </w:rPr>
      </w:pPr>
    </w:p>
    <w:p>
      <w:pPr>
        <w:spacing w:after="0" w:line="237"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8"/>
          <w:szCs w:val="18"/>
          <w:color w:val="auto"/>
        </w:rPr>
        <w:t>12</w:t>
      </w:r>
    </w:p>
    <w:p>
      <w:pPr>
        <w:sectPr>
          <w:pgSz w:w="11900" w:h="16838" w:orient="portrait"/>
          <w:cols w:equalWidth="0" w:num="1">
            <w:col w:w="11420"/>
          </w:cols>
          <w:pgMar w:left="240" w:top="806" w:right="239" w:bottom="343" w:gutter="0" w:footer="0" w:header="0"/>
        </w:sectPr>
      </w:pPr>
    </w:p>
    <w:bookmarkStart w:id="18" w:name="page19"/>
    <w:bookmarkEnd w:id="18"/>
    <w:p>
      <w:pPr>
        <w:ind w:right="7940" w:firstLine="8"/>
        <w:spacing w:after="0" w:line="595"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DIVESTITURES </w:t>
      </w:r>
      <w:r>
        <w:rPr>
          <w:rFonts w:ascii="Arial" w:cs="Arial" w:eastAsia="Arial" w:hAnsi="Arial"/>
          <w:sz w:val="18"/>
          <w:szCs w:val="18"/>
          <w:b w:val="1"/>
          <w:bCs w:val="1"/>
          <w:u w:val="single" w:color="auto"/>
          <w:color w:val="auto"/>
        </w:rPr>
        <w:t>2016 Activity</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Leasehold and Property Acquisitions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third quarter and first nine months of 2016, Apache completed $51 million and $169 million, respectively, of leasehold and property acquisitions primarily in our North America onshore and Egypt regions.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Reorganization, and Separation</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third quarter and first nine months of 2016, Apache recorded $12 million and $36 million, respectively, in expense related to various asset transactions, company reorganization, and employee separation.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Activity</w:t>
      </w:r>
    </w:p>
    <w:p>
      <w:pPr>
        <w:spacing w:after="0" w:line="3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Yara Pilbara Holdings Pty Limited Sale</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October 2015, Apache completed the sale of its 49 percent interest in Yara Pilbara Holdings Pty Limited (YPHPL) for total cash proceeds of $391 million. The investment in YPHPL was accounted for under the equity method of accounting, with the balance recorded as a component of “Deferred charges and other” in Apache’s consolidated balance sheet, and the results of operations recorded as a component of “Other” under “Revenue and other” in the Company’s statement of consolidated operations. As of September 30, 2015, Apache recognized an impairment of $148 million on the YPHPL equity investment based on negotiated sale proceeds. No additional gain or loss was recorded upon completion of the sale.</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Canada Divestiture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April 2015, Apache's subsidiaries completed the sale of its 50 percent interest in the Kitimat LNG project and upstream acreage in the Horn River and Liard natural gas basins to Woodside Petroleum Limited (Woodside). Proceeds at closing were $854 million, of which approximately $344 million were associated with LNG assets and $510 million were associated with upstream assets.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Kitimat LNG assets classified as held for sale as of December 31, 2014 were impaired $655 million in the fourth quarter of 2014. Apache recognized a $146 million gain on the sale of the upstream assets upon completion of the sale.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Australia Divestitures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Woodside Sale </w:t>
      </w:r>
      <w:r>
        <w:rPr>
          <w:rFonts w:ascii="Arial" w:cs="Arial" w:eastAsia="Arial" w:hAnsi="Arial"/>
          <w:sz w:val="18"/>
          <w:szCs w:val="18"/>
          <w:color w:val="auto"/>
        </w:rPr>
        <w:t>In April 2015, Apache’s subsidiaries completed the sale of its interest in the Wheatstone LNG project and associated upstream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assets to Woodside. Proceeds at closing were $2.8 billion, of which approximately $1.4 billion were associated with LNG assets and $1.4 billion were associated with the upstream assets.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Wheatstone LNG assets and associated upstream assets were impaired $833 million in the fourth quarter of 2014 and classified as held for sale on the consolidated balance sheet as of December 31, 2014. An additional impairment of approximately $49 million was recognized in the first quarter of 2015. During the third quarter of 2016, Apache recognized an additional $23 million loss on the sale related to post-closing adjustments.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Consortium Sale </w:t>
      </w:r>
      <w:r>
        <w:rPr>
          <w:rFonts w:ascii="Arial" w:cs="Arial" w:eastAsia="Arial" w:hAnsi="Arial"/>
          <w:sz w:val="18"/>
          <w:szCs w:val="18"/>
          <w:color w:val="auto"/>
        </w:rPr>
        <w:t>In June 2015, Apache’s subsidiaries completed the sale of the Company’s Australian subsidiary Apache Energy Limited (AEL) to a</w:t>
      </w:r>
      <w:r>
        <w:rPr>
          <w:rFonts w:ascii="Arial" w:cs="Arial" w:eastAsia="Arial" w:hAnsi="Arial"/>
          <w:sz w:val="18"/>
          <w:szCs w:val="18"/>
          <w:i w:val="1"/>
          <w:iCs w:val="1"/>
          <w:color w:val="auto"/>
        </w:rPr>
        <w:t xml:space="preserve"> </w:t>
      </w:r>
      <w:r>
        <w:rPr>
          <w:rFonts w:ascii="Arial" w:cs="Arial" w:eastAsia="Arial" w:hAnsi="Arial"/>
          <w:sz w:val="18"/>
          <w:szCs w:val="18"/>
          <w:color w:val="auto"/>
        </w:rPr>
        <w:t>consortium of private equity funds managed by Macquarie Capital Group Limited and Brookfield Asset Management Inc. Total proceeds of $1.9 billion included customary, post-closing adjustments for the period between the effective date, October 1, 2014, and closing. A loss of approximately $139 million was recognized for the sale of AEL.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9" w:name="page20"/>
    <w:bookmarkEnd w:id="19"/>
    <w:p>
      <w:pPr>
        <w:jc w:val="both"/>
        <w:ind w:firstLine="432"/>
        <w:spacing w:after="0" w:line="264" w:lineRule="auto"/>
        <w:rPr>
          <w:sz w:val="20"/>
          <w:szCs w:val="20"/>
          <w:color w:val="auto"/>
        </w:rPr>
      </w:pPr>
      <w:r>
        <w:rPr>
          <w:rFonts w:ascii="Arial" w:cs="Arial" w:eastAsia="Arial" w:hAnsi="Arial"/>
          <w:sz w:val="18"/>
          <w:szCs w:val="18"/>
          <w:color w:val="auto"/>
        </w:rPr>
        <w:t>Upon closing of the sale of substantially all Australian operations, the associated results of operations for the divested Australian assets and the losses on disposal were classified as discontinued operations in all periods presented in this Quarterly Report on Form 10-Q. Sales and other operating revenues and loss from discontinued operations related to the Australia dispositions were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Quarter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For the Nine Months Ended</w:t>
            </w:r>
          </w:p>
        </w:tc>
      </w:tr>
      <w:tr>
        <w:trPr>
          <w:trHeight w:val="234"/>
        </w:trPr>
        <w:tc>
          <w:tcPr>
            <w:tcW w:w="6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gridSpan w:val="3"/>
          </w:tcPr>
          <w:p>
            <w:pPr>
              <w:jc w:val="right"/>
              <w:ind w:right="294"/>
              <w:spacing w:after="0"/>
              <w:rPr>
                <w:sz w:val="20"/>
                <w:szCs w:val="20"/>
                <w:color w:val="auto"/>
              </w:rPr>
            </w:pPr>
            <w:r>
              <w:rPr>
                <w:rFonts w:ascii="Arial" w:cs="Arial" w:eastAsia="Arial" w:hAnsi="Arial"/>
                <w:sz w:val="18"/>
                <w:szCs w:val="18"/>
                <w:b w:val="1"/>
                <w:bCs w:val="1"/>
                <w:color w:val="auto"/>
                <w:w w:val="87"/>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3"/>
          </w:tcPr>
          <w:p>
            <w:pPr>
              <w:jc w:val="right"/>
              <w:ind w:right="194"/>
              <w:spacing w:after="0"/>
              <w:rPr>
                <w:sz w:val="20"/>
                <w:szCs w:val="20"/>
                <w:color w:val="auto"/>
              </w:rPr>
            </w:pPr>
            <w:r>
              <w:rPr>
                <w:rFonts w:ascii="Arial" w:cs="Arial" w:eastAsia="Arial" w:hAnsi="Arial"/>
                <w:sz w:val="18"/>
                <w:szCs w:val="18"/>
                <w:b w:val="1"/>
                <w:bCs w:val="1"/>
                <w:color w:val="auto"/>
                <w:w w:val="87"/>
              </w:rPr>
              <w:t>September 30,</w:t>
            </w:r>
          </w:p>
        </w:tc>
        <w:tc>
          <w:tcPr>
            <w:tcW w:w="46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8"/>
        </w:trPr>
        <w:tc>
          <w:tcPr>
            <w:tcW w:w="60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r>
      <w:tr>
        <w:trPr>
          <w:trHeight w:val="250"/>
        </w:trPr>
        <w:tc>
          <w:tcPr>
            <w:tcW w:w="6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8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other from discontinued operations</w:t>
            </w:r>
          </w:p>
        </w:tc>
        <w:tc>
          <w:tcPr>
            <w:tcW w:w="76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080" w:type="dxa"/>
            <w:vAlign w:val="bottom"/>
          </w:tcPr>
          <w:p>
            <w:pPr>
              <w:ind w:left="40"/>
              <w:spacing w:after="0"/>
              <w:rPr>
                <w:sz w:val="20"/>
                <w:szCs w:val="20"/>
                <w:color w:val="auto"/>
              </w:rPr>
            </w:pPr>
            <w:r>
              <w:rPr>
                <w:rFonts w:ascii="Arial" w:cs="Arial" w:eastAsia="Arial" w:hAnsi="Arial"/>
                <w:sz w:val="18"/>
                <w:szCs w:val="18"/>
                <w:color w:val="auto"/>
              </w:rPr>
              <w:t>Impairment on Woodside sale</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Woodside sale</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Loss on Consortium sale</w:t>
            </w:r>
          </w:p>
        </w:tc>
        <w:tc>
          <w:tcPr>
            <w:tcW w:w="7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(139)</w:t>
            </w:r>
          </w:p>
        </w:tc>
      </w:tr>
      <w:tr>
        <w:trPr>
          <w:trHeight w:val="27"/>
        </w:trPr>
        <w:tc>
          <w:tcPr>
            <w:tcW w:w="6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divested Australian operations</w:t>
            </w: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7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0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Australian discontinued operations, net of tax</w:t>
            </w: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w:t>
            </w: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Leasehold and Property Acquisitions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third quarter and first nine months of 2015, Apache completed $126 million and $254 million, respectively, of leasehold and property acquisitions primarily in our North America onshore regions.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Reorganization, and Separation</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nine months of 2015, Apache recorded $120 million in expense related to various asset transactions, company reorganization, and employee separation.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CAPITALIZED EXPLORATORY WELL COSTS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capitalized exploratory well costs were $283 million and $245 million at September 30, 2016 and December 31, 2015, respectively. Exploratory well costs that have been capitalized for a period greater than one year since the completion of drilling were $32 million and $61 million at September 30, 2016 and December 31, 2015, respectively. The exploratory well costs that had been capitalized for a period greater than one year at December 31, 2015 were associated with the Aviat discovery in the North Sea and comprised exploration and appraisal activities. The wells associated with the Aviat discovery were reclassified as proved properties during the nine months ended September 30, 2016. The amount of exploratory well costs capitalized for a period greater than one year increased by $32 million during the second quarter as a result of exploration drilling in Suriname. No suspended exploratory well costs previously capitalized for greater than one year at December 31, 2015 were charged to dry hole expense during the nine months ended September 30, 2016.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20" w:name="page21"/>
    <w:bookmarkEnd w:id="20"/>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detail of our other current liabilities as of September 30, 2016 and December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44"/>
        </w:trPr>
        <w:tc>
          <w:tcPr>
            <w:tcW w:w="8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Accrued exploration and development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637</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debt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 retirement obligation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describes changes to the Company’s asset retirement obligation (ARO) liability for the nine-month period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4640" w:type="dxa"/>
            <w:vAlign w:val="bottom"/>
          </w:tcPr>
          <w:p>
            <w:pPr>
              <w:ind w:left="40"/>
              <w:spacing w:after="0"/>
              <w:rPr>
                <w:sz w:val="20"/>
                <w:szCs w:val="20"/>
                <w:color w:val="auto"/>
              </w:rPr>
            </w:pPr>
            <w:r>
              <w:rPr>
                <w:rFonts w:ascii="Arial" w:cs="Arial" w:eastAsia="Arial" w:hAnsi="Arial"/>
                <w:sz w:val="18"/>
                <w:szCs w:val="18"/>
                <w:color w:val="auto"/>
              </w:rPr>
              <w:t>Asset retirement obligation at December 31, 2015</w:t>
            </w:r>
          </w:p>
        </w:tc>
        <w:tc>
          <w:tcPr>
            <w:tcW w:w="5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incurred</w:t>
            </w:r>
          </w:p>
        </w:tc>
        <w:tc>
          <w:tcPr>
            <w:tcW w:w="5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Liabilities acquired</w:t>
            </w:r>
          </w:p>
        </w:tc>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divested</w:t>
            </w:r>
          </w:p>
        </w:tc>
        <w:tc>
          <w:tcPr>
            <w:tcW w:w="5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Liabilities settled</w:t>
            </w:r>
          </w:p>
        </w:tc>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expense</w:t>
            </w:r>
          </w:p>
        </w:tc>
        <w:tc>
          <w:tcPr>
            <w:tcW w:w="5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Revisions in estimated liabilities</w:t>
            </w:r>
          </w:p>
        </w:tc>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at September 30, 2016</w:t>
            </w:r>
          </w:p>
        </w:tc>
        <w:tc>
          <w:tcPr>
            <w:tcW w:w="5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Less current portion</w:t>
            </w:r>
          </w:p>
        </w:tc>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long-term</w:t>
            </w:r>
          </w:p>
        </w:tc>
        <w:tc>
          <w:tcPr>
            <w:tcW w:w="5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4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1" w:name="page22"/>
    <w:bookmarkEnd w:id="21"/>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 AND FINANCING COSTS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carrying amounts and estimated fair values of the Company’s outstanding debt as of September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 2016</w:t>
            </w:r>
          </w:p>
        </w:tc>
        <w:tc>
          <w:tcPr>
            <w:tcW w:w="3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Fair</w:t>
            </w:r>
          </w:p>
        </w:tc>
        <w:tc>
          <w:tcPr>
            <w:tcW w:w="3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Carrying</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36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 and committed bank facilities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Notes and debentures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8,330</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debt is recorded at the carrying amount, net of related unamortized discount and debt issuance costs, on its consolidated balance sheet. The carrying amount of the Company’s commercial paper, committed bank facilities, and uncommitted bank lines approximates fair value because the interest rates are variable and reflective of market rates. Apache uses a market approach to determine the fair value of its notes and debentures using estimates provided by an independent investment financial data services firm (a Level 2 fair value measurement).</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As of September 30, 2016, the Company had a $3.5 billion five-year revolving credit facility that matures in June 2020. Proceeds from borrowings may be used for general corporate purposes. Apache’s available borrowing capacity under this facility supports its $3.5 billion commercial paper program. The commercial paper program, which is subject to market availability, facilitates Apache borrowing funds for up to 270 days at competitive interest rates. As of September 30, 2016, the Company had no debt outstanding under commercial paper, committed bank facilities, and uncommitted bank lines.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2016, the Company had a £900 million letter of credit facility that matures in February 2019. The facility is available for letters of credit and loans to cash collateralize letter of credit obligations to the extent letters of credit are unavailable under the facility. As of September 30, 2016, a letter of credit for approximately £96 million was outstanding under this facility.</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April 2015, the FASB issued ASU 2015-03 “Simplifying the Presentation of Debt Issuance Costs,” which requires debt issuance costs to be presented as a direct deduction from the carrying value of the associated debt liability. The Company adopted this update in the first quarter of 2016 and applied the changes retrospectively for all periods presented. At December 31, 2015, the Company had debt issuance costs of $61 million classified as a long-term asset as a component of “deferred charges and other” on the balance sheet that have been netted against “long-term debt” in these unaudited interim financial statements. As of September 30, 2016, long-term debt is presented net of debt issuance costs of $58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Costs,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components of Apache’s financing costs,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8"/>
                <w:szCs w:val="18"/>
                <w:b w:val="1"/>
                <w:bCs w:val="1"/>
                <w:color w:val="auto"/>
                <w:w w:val="98"/>
              </w:rPr>
              <w:t>For the Quarter Ended September</w:t>
            </w:r>
          </w:p>
        </w:tc>
        <w:tc>
          <w:tcPr>
            <w:tcW w:w="340" w:type="dxa"/>
            <w:vAlign w:val="bottom"/>
          </w:tcPr>
          <w:p>
            <w:pPr>
              <w:spacing w:after="0"/>
              <w:rPr>
                <w:sz w:val="18"/>
                <w:szCs w:val="18"/>
                <w:color w:val="auto"/>
              </w:rPr>
            </w:pPr>
          </w:p>
        </w:tc>
        <w:tc>
          <w:tcPr>
            <w:tcW w:w="2500" w:type="dxa"/>
            <w:vAlign w:val="bottom"/>
            <w:gridSpan w:val="4"/>
          </w:tcPr>
          <w:p>
            <w:pPr>
              <w:jc w:val="right"/>
              <w:ind w:right="233"/>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5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5620" w:type="dxa"/>
            <w:vAlign w:val="bottom"/>
          </w:tcPr>
          <w:p>
            <w:pPr>
              <w:spacing w:after="0"/>
              <w:rPr>
                <w:sz w:val="22"/>
                <w:szCs w:val="22"/>
                <w:color w:val="auto"/>
              </w:rPr>
            </w:pPr>
          </w:p>
        </w:tc>
        <w:tc>
          <w:tcPr>
            <w:tcW w:w="9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deferred loan costs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Financing costs, net</w:t>
            </w: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401</w:t>
            </w:r>
          </w:p>
        </w:tc>
      </w:tr>
      <w:tr>
        <w:trPr>
          <w:trHeight w:val="27"/>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2" w:name="page23"/>
    <w:bookmarkEnd w:id="22"/>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estimates its annual effective income tax rate for continuing operations in recording its quarterly provision for income taxes in the various jurisdictions in which the Company operates. Non-cash impairments of the carrying value of the Company’s oil and gas properties, statutory tax rate changes, and other significant or unusual items are recognized as discrete items in the quarter in which they occur.</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2016, Apache’s effective income tax rate was primarily impacted by non-cash impairments of the carrying value of the Company’s oil and gas properties, non-cash impairments of the Company’s PRT decommissioning asset, the impact of the change in U.K. statutory income tax rate, and an increase in the amount of valuation allowances on U.S. and Canadian deferred tax assets.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15, 2016, U.K. Finance Act 2016 received Royal Assent. Under the enacted legislation, the corporate income tax rate on North Sea oil and gas profits was reduced from 50 percent to 40 percent effective January 1, 2016. As a result of the enacted legislation in the third quarter of 2016, the Company recorded a deferred tax benefit of $235 million related to the remeasurement of the Company’s December 31, 2015 U.K. deferred income tax liability.</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2015, Apache’s effective tax rate was primarily impacted by non-cash impairments of the carrying value of the Company’s oil and gas properties and an increase in the amount of valuation allowances on Canadian deferred tax assets, U.S. foreign tax credits, and U.S. net operating loss carryforwards.</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Apache’s 2016 year-to-date effective tax rate was primarily impacted by non-cash impairments of the carrying value of the Company’s oil and gas properties, non-cash impairments of the Company’s PRT decommissioning asset, the impact of the change in U.K. statutory income tax rate, and an increase in the amount of valuation allowances on U.S. and Canadian deferred tax assets. Apache's 2015 year-to-date effective tax rate was primarily impacted by non-cash impairments of the carrying value of the Company’s oil and gas properties and an increase in the amount of valuation allowances on Canadian deferred tax assets, U.S. foreign tax credits, and U.S. net operating loss carryforwards, offset by a $414 million deferred tax benefit associated with a reduction in the U.K. statutory income tax rate from 62 percent to 50 percent.</w:t>
      </w:r>
    </w:p>
    <w:p>
      <w:pPr>
        <w:spacing w:after="0" w:line="174" w:lineRule="exact"/>
        <w:rPr>
          <w:sz w:val="20"/>
          <w:szCs w:val="20"/>
          <w:color w:val="auto"/>
        </w:rPr>
      </w:pPr>
    </w:p>
    <w:p>
      <w:pPr>
        <w:ind w:right="7640" w:firstLine="8"/>
        <w:spacing w:after="0" w:line="378" w:lineRule="auto"/>
        <w:tabs>
          <w:tab w:leader="none" w:pos="3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u w:val="single" w:color="auto"/>
          <w:color w:val="auto"/>
        </w:rPr>
        <w:t>Legal Matters</w:t>
      </w:r>
    </w:p>
    <w:p>
      <w:pPr>
        <w:jc w:val="both"/>
        <w:ind w:firstLine="432"/>
        <w:spacing w:after="0" w:line="290" w:lineRule="auto"/>
        <w:rPr>
          <w:sz w:val="20"/>
          <w:szCs w:val="20"/>
          <w:color w:val="auto"/>
        </w:rPr>
      </w:pPr>
      <w:r>
        <w:rPr>
          <w:rFonts w:ascii="Arial" w:cs="Arial" w:eastAsia="Arial" w:hAnsi="Arial"/>
          <w:sz w:val="16"/>
          <w:szCs w:val="16"/>
          <w:color w:val="auto"/>
        </w:rPr>
        <w:t>Apache is party to various legal actions arising in the ordinary course of business, including litigation and governmental and regulatory controls. As of September 30, 2016, the Company has an accrued liability of approximately $38 million for all legal contingencies that are deemed to be probable of occurring and can be reasonably estimated. Apache’s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Apache’s financial position, results of operations, or liquidity after consideration of recorded accruals. For material matters that Apache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additional information on each of the Legal Matters described below, please see Note 9—Commitments and Contingencies to the consolidated financial statements contained in Apache’s Annual Report on Form 10-K for the fiscal year ended December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Argentine Environmental Claims and Argentina Tariff</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material change in the status of the YPF Sociedad Anónima and Pioneer Natural Resources Company indemnities matters has occurred since the filing of Apache’s Annual Report on Form 10-K for the fiscal year ended December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Louisiana Restoration</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more fully described in Apache’s Annual Report on Form 10-K for the fiscal year ended December 31, 2015, numerous surface owners have filed claims or sent demand letters to various oil and gas companies, including Apache, claiming that, under either express or implied lease terms or Louisiana law, the companies are liable for damage measured by the cost of restoration of leased premises to their original condition as well as damages for contamination and cleanup.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23" w:name="page24"/>
    <w:bookmarkEnd w:id="23"/>
    <w:p>
      <w:pPr>
        <w:jc w:val="both"/>
        <w:ind w:firstLine="432"/>
        <w:spacing w:after="0" w:line="270" w:lineRule="auto"/>
        <w:rPr>
          <w:sz w:val="20"/>
          <w:szCs w:val="20"/>
          <w:color w:val="auto"/>
        </w:rPr>
      </w:pPr>
      <w:r>
        <w:rPr>
          <w:rFonts w:ascii="Arial" w:cs="Arial" w:eastAsia="Arial" w:hAnsi="Arial"/>
          <w:sz w:val="16"/>
          <w:szCs w:val="16"/>
          <w:color w:val="auto"/>
        </w:rPr>
        <w:t xml:space="preserve">On or about September 29, 2016, in a case captioned </w:t>
      </w:r>
      <w:r>
        <w:rPr>
          <w:rFonts w:ascii="Arial" w:cs="Arial" w:eastAsia="Arial" w:hAnsi="Arial"/>
          <w:sz w:val="16"/>
          <w:szCs w:val="16"/>
          <w:i w:val="1"/>
          <w:iCs w:val="1"/>
          <w:color w:val="auto"/>
        </w:rPr>
        <w:t>The Parish of St. Bernard v. Atlantic Richfield Company et al, Docket No. 16-1228, in the 34</w:t>
      </w:r>
      <w:r>
        <w:rPr>
          <w:rFonts w:ascii="Arial" w:cs="Arial" w:eastAsia="Arial" w:hAnsi="Arial"/>
          <w:sz w:val="22"/>
          <w:szCs w:val="22"/>
          <w:i w:val="1"/>
          <w:iCs w:val="1"/>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Judicial District Court for the Parish of St Bernard, State of Louisiana </w:t>
      </w:r>
      <w:r>
        <w:rPr>
          <w:rFonts w:ascii="Arial" w:cs="Arial" w:eastAsia="Arial" w:hAnsi="Arial"/>
          <w:sz w:val="16"/>
          <w:szCs w:val="16"/>
          <w:color w:val="auto"/>
        </w:rPr>
        <w:t>plaintiff asserts coastal zone claims against the Company and various other oil and gas</w:t>
      </w:r>
      <w:r>
        <w:rPr>
          <w:rFonts w:ascii="Arial" w:cs="Arial" w:eastAsia="Arial" w:hAnsi="Arial"/>
          <w:sz w:val="16"/>
          <w:szCs w:val="16"/>
          <w:i w:val="1"/>
          <w:iCs w:val="1"/>
          <w:color w:val="auto"/>
        </w:rPr>
        <w:t xml:space="preserve"> </w:t>
      </w:r>
      <w:r>
        <w:rPr>
          <w:rFonts w:ascii="Arial" w:cs="Arial" w:eastAsia="Arial" w:hAnsi="Arial"/>
          <w:sz w:val="16"/>
          <w:szCs w:val="16"/>
          <w:color w:val="auto"/>
        </w:rPr>
        <w:t>producers. The claims by St. Bernard Parish are similar to the claims filed previously in lawsuits filed by the Parish of Plaquemines against the Company and other oil and gas producers in the 25</w:t>
      </w:r>
      <w:r>
        <w:rPr>
          <w:rFonts w:ascii="Arial" w:cs="Arial" w:eastAsia="Arial" w:hAnsi="Arial"/>
          <w:sz w:val="14"/>
          <w:szCs w:val="14"/>
          <w:color w:val="auto"/>
        </w:rPr>
        <w:t>th</w:t>
      </w:r>
      <w:r>
        <w:rPr>
          <w:rFonts w:ascii="Arial" w:cs="Arial" w:eastAsia="Arial" w:hAnsi="Arial"/>
          <w:sz w:val="16"/>
          <w:szCs w:val="16"/>
          <w:color w:val="auto"/>
        </w:rPr>
        <w:t xml:space="preserve"> Judicial District Court for the Parish of Plaquemines, State of Louisiana (captioned </w:t>
      </w:r>
      <w:r>
        <w:rPr>
          <w:rFonts w:ascii="Arial" w:cs="Arial" w:eastAsia="Arial" w:hAnsi="Arial"/>
          <w:sz w:val="16"/>
          <w:szCs w:val="16"/>
          <w:i w:val="1"/>
          <w:iCs w:val="1"/>
          <w:color w:val="auto"/>
        </w:rPr>
        <w:t>Parish of Plaquemines v. Rozel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Operating Company et al., </w:t>
      </w:r>
      <w:r>
        <w:rPr>
          <w:rFonts w:ascii="Arial" w:cs="Arial" w:eastAsia="Arial" w:hAnsi="Arial"/>
          <w:sz w:val="16"/>
          <w:szCs w:val="16"/>
          <w:color w:val="auto"/>
        </w:rPr>
        <w:t>Docket No. 60-996;</w:t>
      </w:r>
      <w:r>
        <w:rPr>
          <w:rFonts w:ascii="Arial" w:cs="Arial" w:eastAsia="Arial" w:hAnsi="Arial"/>
          <w:sz w:val="16"/>
          <w:szCs w:val="16"/>
          <w:i w:val="1"/>
          <w:iCs w:val="1"/>
          <w:color w:val="auto"/>
        </w:rPr>
        <w:t xml:space="preserve"> Parish of Plaquemines v. Apache Oil Corporation et al., </w:t>
      </w:r>
      <w:r>
        <w:rPr>
          <w:rFonts w:ascii="Arial" w:cs="Arial" w:eastAsia="Arial" w:hAnsi="Arial"/>
          <w:sz w:val="16"/>
          <w:szCs w:val="16"/>
          <w:color w:val="auto"/>
        </w:rPr>
        <w:t>Docket No. 61-000; and</w:t>
      </w:r>
      <w:r>
        <w:rPr>
          <w:rFonts w:ascii="Arial" w:cs="Arial" w:eastAsia="Arial" w:hAnsi="Arial"/>
          <w:sz w:val="16"/>
          <w:szCs w:val="16"/>
          <w:i w:val="1"/>
          <w:iCs w:val="1"/>
          <w:color w:val="auto"/>
        </w:rPr>
        <w:t xml:space="preserve"> Parish of Plaquemines v. HHE Energy Company et al., </w:t>
      </w:r>
      <w:r>
        <w:rPr>
          <w:rFonts w:ascii="Arial" w:cs="Arial" w:eastAsia="Arial" w:hAnsi="Arial"/>
          <w:sz w:val="16"/>
          <w:szCs w:val="16"/>
          <w:color w:val="auto"/>
        </w:rPr>
        <w:t>Docket No. 60-983). In Cameron Parish in the Parish’s 38</w:t>
      </w:r>
      <w:r>
        <w:rPr>
          <w:rFonts w:ascii="Arial" w:cs="Arial" w:eastAsia="Arial" w:hAnsi="Arial"/>
          <w:sz w:val="22"/>
          <w:szCs w:val="22"/>
          <w:color w:val="auto"/>
          <w:vertAlign w:val="superscript"/>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Judicial District Court, (captioned</w:t>
      </w:r>
      <w:r>
        <w:rPr>
          <w:rFonts w:ascii="Arial" w:cs="Arial" w:eastAsia="Arial" w:hAnsi="Arial"/>
          <w:sz w:val="16"/>
          <w:szCs w:val="16"/>
          <w:i w:val="1"/>
          <w:iCs w:val="1"/>
          <w:color w:val="auto"/>
        </w:rPr>
        <w:t xml:space="preserve"> Parish of Cameron v. BEPCO, L.P., et al.</w:t>
      </w:r>
      <w:r>
        <w:rPr>
          <w:rFonts w:ascii="Arial" w:cs="Arial" w:eastAsia="Arial" w:hAnsi="Arial"/>
          <w:sz w:val="16"/>
          <w:szCs w:val="16"/>
          <w:color w:val="auto"/>
        </w:rPr>
        <w:t>, Docket No. 10-19572;</w:t>
      </w:r>
      <w:r>
        <w:rPr>
          <w:rFonts w:ascii="Arial" w:cs="Arial" w:eastAsia="Arial" w:hAnsi="Arial"/>
          <w:sz w:val="16"/>
          <w:szCs w:val="16"/>
          <w:i w:val="1"/>
          <w:iCs w:val="1"/>
          <w:color w:val="auto"/>
        </w:rPr>
        <w:t xml:space="preserve"> Parish of Cameron v. BP America Production Company et al.</w:t>
      </w:r>
      <w:r>
        <w:rPr>
          <w:rFonts w:ascii="Arial" w:cs="Arial" w:eastAsia="Arial" w:hAnsi="Arial"/>
          <w:sz w:val="16"/>
          <w:szCs w:val="16"/>
          <w:color w:val="auto"/>
        </w:rPr>
        <w:t>, Docket No. 10-19576;</w:t>
      </w:r>
      <w:r>
        <w:rPr>
          <w:rFonts w:ascii="Arial" w:cs="Arial" w:eastAsia="Arial" w:hAnsi="Arial"/>
          <w:sz w:val="16"/>
          <w:szCs w:val="16"/>
          <w:i w:val="1"/>
          <w:iCs w:val="1"/>
          <w:color w:val="auto"/>
        </w:rPr>
        <w:t xml:space="preserve"> Parish of Cameron v. Apache Corporation (of Delaware) et al.</w:t>
      </w:r>
      <w:r>
        <w:rPr>
          <w:rFonts w:ascii="Arial" w:cs="Arial" w:eastAsia="Arial" w:hAnsi="Arial"/>
          <w:sz w:val="16"/>
          <w:szCs w:val="16"/>
          <w:color w:val="auto"/>
        </w:rPr>
        <w:t>, Docket No. 10-19579;</w:t>
      </w:r>
      <w:r>
        <w:rPr>
          <w:rFonts w:ascii="Arial" w:cs="Arial" w:eastAsia="Arial" w:hAnsi="Arial"/>
          <w:sz w:val="16"/>
          <w:szCs w:val="16"/>
          <w:i w:val="1"/>
          <w:iCs w:val="1"/>
          <w:color w:val="auto"/>
        </w:rPr>
        <w:t xml:space="preserve"> Parish of Cameron v. Atlantic Richfield Company et al.</w:t>
      </w:r>
      <w:r>
        <w:rPr>
          <w:rFonts w:ascii="Arial" w:cs="Arial" w:eastAsia="Arial" w:hAnsi="Arial"/>
          <w:sz w:val="16"/>
          <w:szCs w:val="16"/>
          <w:color w:val="auto"/>
        </w:rPr>
        <w:t>, Docket No. 10-19577;</w:t>
      </w:r>
      <w:r>
        <w:rPr>
          <w:rFonts w:ascii="Arial" w:cs="Arial" w:eastAsia="Arial" w:hAnsi="Arial"/>
          <w:sz w:val="16"/>
          <w:szCs w:val="16"/>
          <w:i w:val="1"/>
          <w:iCs w:val="1"/>
          <w:color w:val="auto"/>
        </w:rPr>
        <w:t xml:space="preserve"> Parish of Cameron v. Alpine Exploration Companies, Inc., et al.</w:t>
      </w:r>
      <w:r>
        <w:rPr>
          <w:rFonts w:ascii="Arial" w:cs="Arial" w:eastAsia="Arial" w:hAnsi="Arial"/>
          <w:sz w:val="16"/>
          <w:szCs w:val="16"/>
          <w:color w:val="auto"/>
        </w:rPr>
        <w:t>, Docket No. 10-19580; and</w:t>
      </w:r>
      <w:r>
        <w:rPr>
          <w:rFonts w:ascii="Arial" w:cs="Arial" w:eastAsia="Arial" w:hAnsi="Arial"/>
          <w:sz w:val="16"/>
          <w:szCs w:val="16"/>
          <w:i w:val="1"/>
          <w:iCs w:val="1"/>
          <w:color w:val="auto"/>
        </w:rPr>
        <w:t xml:space="preserve"> Parish of Cameron v. Auster Oil and Gas, Inc., et al</w:t>
      </w:r>
      <w:r>
        <w:rPr>
          <w:rFonts w:ascii="Arial" w:cs="Arial" w:eastAsia="Arial" w:hAnsi="Arial"/>
          <w:sz w:val="16"/>
          <w:szCs w:val="16"/>
          <w:color w:val="auto"/>
        </w:rPr>
        <w:t>, Docket No. 10-19582) and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Vermillion Parish (captioned </w:t>
      </w:r>
      <w:r>
        <w:rPr>
          <w:rFonts w:ascii="Arial" w:cs="Arial" w:eastAsia="Arial" w:hAnsi="Arial"/>
          <w:sz w:val="16"/>
          <w:szCs w:val="16"/>
          <w:i w:val="1"/>
          <w:iCs w:val="1"/>
          <w:color w:val="auto"/>
        </w:rPr>
        <w:t>Keith Stutes, District Attorney for the 15th Judicial District of the State of Louisiana v. Gulfport Energy Corporation et al.</w:t>
      </w:r>
      <w:r>
        <w:rPr>
          <w:rFonts w:ascii="Arial" w:cs="Arial" w:eastAsia="Arial" w:hAnsi="Arial"/>
          <w:sz w:val="16"/>
          <w:szCs w:val="16"/>
          <w:color w:val="auto"/>
        </w:rPr>
        <w:t>, Docket No. 102156, in the 15th Judicial District Court, Parish of Vermilion, State of Louisiana). The cases in Vermillion Parish and in Cameron Parish have all been removed to the United States District Court for the Western District of Louisiana, subject to any effort by the plaintiffs to remand the proceedings to state court. The Louisiana Attorney general and Louisiana Department of Natural Resources have intervened in the coastal zone cases.</w:t>
      </w:r>
    </w:p>
    <w:p>
      <w:pPr>
        <w:spacing w:after="0" w:line="1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other material change in the status of these matters has occurred since the filing of Apache’s Annual Report on Form 10-K for the fiscal year ended December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Apollo Exploration Lawsuit</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a fourth amended petition filed on March 21, 2016, in a case captioned </w:t>
      </w:r>
      <w:r>
        <w:rPr>
          <w:rFonts w:ascii="Arial" w:cs="Arial" w:eastAsia="Arial" w:hAnsi="Arial"/>
          <w:sz w:val="16"/>
          <w:szCs w:val="16"/>
          <w:i w:val="1"/>
          <w:iCs w:val="1"/>
          <w:color w:val="auto"/>
        </w:rPr>
        <w:t>Apollo Exploration, LLC, Cogent Exploration, Ltd. Co. &amp; SellmoCo, LLC v.</w:t>
      </w:r>
      <w:r>
        <w:rPr>
          <w:rFonts w:ascii="Arial" w:cs="Arial" w:eastAsia="Arial" w:hAnsi="Arial"/>
          <w:sz w:val="16"/>
          <w:szCs w:val="16"/>
          <w:color w:val="auto"/>
        </w:rPr>
        <w:t xml:space="preserve"> </w:t>
      </w:r>
      <w:r>
        <w:rPr>
          <w:rFonts w:ascii="Arial" w:cs="Arial" w:eastAsia="Arial" w:hAnsi="Arial"/>
          <w:sz w:val="16"/>
          <w:szCs w:val="16"/>
          <w:i w:val="1"/>
          <w:iCs w:val="1"/>
          <w:color w:val="auto"/>
        </w:rPr>
        <w:t>Apache Corporation</w:t>
      </w:r>
      <w:r>
        <w:rPr>
          <w:rFonts w:ascii="Arial" w:cs="Arial" w:eastAsia="Arial" w:hAnsi="Arial"/>
          <w:sz w:val="16"/>
          <w:szCs w:val="16"/>
          <w:color w:val="auto"/>
        </w:rPr>
        <w:t>, Cause No. CV50538 in the 385</w:t>
      </w:r>
      <w:r>
        <w:rPr>
          <w:rFonts w:ascii="Arial" w:cs="Arial" w:eastAsia="Arial" w:hAnsi="Arial"/>
          <w:sz w:val="14"/>
          <w:szCs w:val="14"/>
          <w:color w:val="auto"/>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Judicial District Court, Midland County, Texas, plaintiffs have reduced their alleged damages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$500 million (having previously claimed in excess of $1.1 billion) relating to certain purchase and sale agreements, mineral leases, and areas of mutual interest agreements concerning properties located in Hartley, Moore, Potter, and Oldham Counties, Texas. Apache believes that plaintiffs’ claims lack merit, and further that plaintiffs’ alleged damages, even as amended, are grossly inflated. Apache will vigorously oppose the claims. No other material change in the status of these matters has occurred since the filing of Apache’s Annual Report on Form 10-K for the fiscal year ended December 31, 2015.</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Escheat Audits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has been no material change with respect to the review of the books and records of the Company and its subsidiaries and related entities by the State of Delaware, Department of Finance (Unclaimed Property), to determine compliance with the Delaware Escheat Laws, since the filing of Apache’s Annual Report on Form 10-K for the fiscal year ended December 31, 2015.</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Burrup-Related Gas Supply Lawsuits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the cases captioned </w:t>
      </w:r>
      <w:r>
        <w:rPr>
          <w:rFonts w:ascii="Arial" w:cs="Arial" w:eastAsia="Arial" w:hAnsi="Arial"/>
          <w:sz w:val="18"/>
          <w:szCs w:val="18"/>
          <w:i w:val="1"/>
          <w:iCs w:val="1"/>
          <w:color w:val="auto"/>
        </w:rPr>
        <w:t>Radhika Oswal v. Australia and New Zealand Banking Group Limited</w:t>
      </w:r>
      <w:r>
        <w:rPr>
          <w:rFonts w:ascii="Arial" w:cs="Arial" w:eastAsia="Arial" w:hAnsi="Arial"/>
          <w:sz w:val="18"/>
          <w:szCs w:val="18"/>
          <w:color w:val="auto"/>
        </w:rPr>
        <w:t xml:space="preserve"> (ANZ) </w:t>
      </w:r>
      <w:r>
        <w:rPr>
          <w:rFonts w:ascii="Arial" w:cs="Arial" w:eastAsia="Arial" w:hAnsi="Arial"/>
          <w:sz w:val="18"/>
          <w:szCs w:val="18"/>
          <w:i w:val="1"/>
          <w:iCs w:val="1"/>
          <w:color w:val="auto"/>
        </w:rPr>
        <w:t>et al.</w:t>
      </w:r>
      <w:r>
        <w:rPr>
          <w:rFonts w:ascii="Arial" w:cs="Arial" w:eastAsia="Arial" w:hAnsi="Arial"/>
          <w:sz w:val="18"/>
          <w:szCs w:val="18"/>
          <w:color w:val="auto"/>
        </w:rPr>
        <w:t xml:space="preserve">, No. SCI 2011 4653 and </w:t>
      </w:r>
      <w:r>
        <w:rPr>
          <w:rFonts w:ascii="Arial" w:cs="Arial" w:eastAsia="Arial" w:hAnsi="Arial"/>
          <w:sz w:val="18"/>
          <w:szCs w:val="18"/>
          <w:i w:val="1"/>
          <w:iCs w:val="1"/>
          <w:color w:val="auto"/>
        </w:rPr>
        <w:t>Pankaj Oswal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Australia and New Zealand Banking Group Limited </w:t>
      </w:r>
      <w:r>
        <w:rPr>
          <w:rFonts w:ascii="Arial" w:cs="Arial" w:eastAsia="Arial" w:hAnsi="Arial"/>
          <w:sz w:val="18"/>
          <w:szCs w:val="18"/>
          <w:color w:val="auto"/>
        </w:rPr>
        <w:t>(ANZ)</w:t>
      </w:r>
      <w:r>
        <w:rPr>
          <w:rFonts w:ascii="Arial" w:cs="Arial" w:eastAsia="Arial" w:hAnsi="Arial"/>
          <w:sz w:val="18"/>
          <w:szCs w:val="18"/>
          <w:i w:val="1"/>
          <w:iCs w:val="1"/>
          <w:color w:val="auto"/>
        </w:rPr>
        <w:t xml:space="preserve"> et al.</w:t>
      </w:r>
      <w:r>
        <w:rPr>
          <w:rFonts w:ascii="Arial" w:cs="Arial" w:eastAsia="Arial" w:hAnsi="Arial"/>
          <w:sz w:val="18"/>
          <w:szCs w:val="18"/>
          <w:color w:val="auto"/>
        </w:rPr>
        <w:t>, No. SCI 2012 01995, in the Supreme Court of Victoria, trial commenced on May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Apache Corporation, Apache Energy Limited (now known as Quadrant Energy Australia Limited), and Apache Northwest Pty Ltd (now known as Quadrant Northwest Pty Ltd) reached a settlement on confidential terms with each of the plaintiffs and related entities. All other remaining defendants then reached a settlement on confidential terms with each of the plaintiffs and related entities.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2016, the Company had an undiscounted reserve for environmental remediation of approximately $55 million. The Company is not aware of any environmental claims existing as of September 30, 2016,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Apache Canada Ltd. (ACL) reported a produced water release from a water injection pipeline in a remote area of the Belloy Field that occurred on or about May 4, 2016 and a hydrogen sulfide and oil emulsion leak in the Zama area on or about September 17, 2016. The causes of these incidents remain under investigation. With respect to previous releases of produced water that occurred in the Zama area between October 3 and October 25, 2013 and in the Belloy Field on or about January 20, 2014, the Company has resolved all of the charges associated with these releases with the Crown and paid a fine of $350,000. The Company does not expect the economic impact of any of these incidents to have a material effect on the Company’s financial position, results of operations, or liquidity. No other material change in the status of these matters has occurred since the filing of Apache’s Annual Report on Form 10-K for the fiscal year ended December 31,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Australian Operations Divestiture Dispute</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By a Sale and Purchase Agreement dated April 9, 2015 (“SPA”), the Company and its subsidiaries divested their remaining Australian operations to Viraciti Energy Pty Ltd, which has since been renamed Quadrant Energy Pty Ltd (“Quadrant”). Closing occurred on June 5, 2015. By letter dated June 6, 2016, Quadrant provided the Company with a one-year placeholder notice of claim under the SPA concerning tax and other issues totaling approximately $200 million in the aggregate. The Company is in the process of reviewing the issues raised by Quadrant and believes at this time that these matters will not have a material adverse effect on the Company’s financial position, results of operation, or liquidity.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Divestiture Dispute</w:t>
      </w:r>
    </w:p>
    <w:p>
      <w:pPr>
        <w:spacing w:after="0" w:line="18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 number of disputes had arisen between the Company and Woodside Energy Ltd. (and all relevant Australian and Canadian subsidiaries) arising from Woodside’s purchase of the Wheatstone and Kitimat LNG projects and accompanying upstream oil and gas reserves from the Company and its subsidiaries. These disputes resulted in various lawsuits being filed in both the Supreme Court of Western Australia (Case Nos. 2315 of 2015, 2798 of 2015, 1504 of 2016, 1520 of 2016, and 1521 of 2016) and the Court of Queen’s Bench of Alberta, Calgary (Case No. 1601-12909) concerning or arising out of certain provisions of the Wheatstone and Kitimat sale and purchase agreements. In addition, certain other disputes under the parties’ sale and purchase agreements had been referred to the ICC International Centre for ADR for a third party expert determination. With respect to each of the matters pending in Western Australia, Alberta, and before the ICC, the Company and Woodside have reached a settlement on confidential terms such that the matters will be discontinued and/or dismissed and mutual releases have been provided by the Company and Woodside related to the foregoing matters in dispute. The amount of the settlement has been included in the Company’s accrued liabilities for legal contingencies as of September 30,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10.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per Common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the components of basic and diluted net loss per common share for the quarters and nine months ended September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is presented in the table below.</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Loss from continuing operations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from discontinued operations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attributable to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Dilutive Securities: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and other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Diluted:</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Loss from continuing operations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from discontinued operations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attributable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Loss from continuing operations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from discontinued operations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attributable to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Dilutive Securities: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and other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Diluted:</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Loss from continuing operations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from discontinued operations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attributable to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For the Quarter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4699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Loss</w:t>
            </w:r>
          </w:p>
        </w:tc>
        <w:tc>
          <w:tcPr>
            <w:tcW w:w="118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Loss</w:t>
            </w: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 Share</w:t>
            </w:r>
          </w:p>
        </w:tc>
      </w:tr>
      <w:tr>
        <w:trPr>
          <w:trHeight w:val="244"/>
        </w:trPr>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2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(4,126)</w:t>
            </w:r>
          </w:p>
        </w:tc>
        <w:tc>
          <w:tcPr>
            <w:tcW w:w="28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280" w:type="dxa"/>
            <w:vAlign w:val="bottom"/>
          </w:tcPr>
          <w:p>
            <w:pPr>
              <w:spacing w:after="0"/>
              <w:rPr>
                <w:sz w:val="22"/>
                <w:szCs w:val="22"/>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54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(4,126)</w:t>
            </w:r>
          </w:p>
        </w:tc>
        <w:tc>
          <w:tcPr>
            <w:tcW w:w="28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280" w:type="dxa"/>
            <w:vAlign w:val="bottom"/>
          </w:tcPr>
          <w:p>
            <w:pPr>
              <w:spacing w:after="0"/>
              <w:rPr>
                <w:sz w:val="22"/>
                <w:szCs w:val="22"/>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86"/>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Loss</w:t>
            </w:r>
          </w:p>
        </w:tc>
        <w:tc>
          <w:tcPr>
            <w:tcW w:w="118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Loss</w:t>
            </w:r>
          </w:p>
        </w:tc>
        <w:tc>
          <w:tcPr>
            <w:tcW w:w="10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 Share</w:t>
            </w:r>
          </w:p>
        </w:tc>
      </w:tr>
      <w:tr>
        <w:trPr>
          <w:trHeight w:val="244"/>
        </w:trPr>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2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(1,190)</w:t>
            </w: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(6,202)</w:t>
            </w:r>
          </w:p>
        </w:tc>
        <w:tc>
          <w:tcPr>
            <w:tcW w:w="28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3"/>
                <w:szCs w:val="23"/>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w:t>
            </w:r>
          </w:p>
        </w:tc>
        <w:tc>
          <w:tcPr>
            <w:tcW w:w="280" w:type="dxa"/>
            <w:vAlign w:val="bottom"/>
          </w:tcPr>
          <w:p>
            <w:pPr>
              <w:spacing w:after="0"/>
              <w:rPr>
                <w:sz w:val="22"/>
                <w:szCs w:val="22"/>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0"/>
        </w:trPr>
        <w:tc>
          <w:tcPr>
            <w:tcW w:w="2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(1,190)</w:t>
            </w: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(6,202)</w:t>
            </w:r>
          </w:p>
        </w:tc>
        <w:tc>
          <w:tcPr>
            <w:tcW w:w="28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3"/>
                <w:szCs w:val="23"/>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(6,337)</w:t>
            </w:r>
          </w:p>
        </w:tc>
        <w:tc>
          <w:tcPr>
            <w:tcW w:w="280" w:type="dxa"/>
            <w:vAlign w:val="bottom"/>
          </w:tcPr>
          <w:p>
            <w:pPr>
              <w:spacing w:after="0"/>
              <w:rPr>
                <w:sz w:val="22"/>
                <w:szCs w:val="22"/>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-4356100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-4012565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-3652520</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-3292475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-2949575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-1783080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-1440180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-1080135</wp:posOffset>
            </wp:positionV>
            <wp:extent cx="72466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-719455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-376555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400"/>
          </w:cols>
          <w:pgMar w:left="240" w:top="580" w:right="239" w:bottom="1440" w:gutter="0" w:footer="0" w:header="0"/>
          <w:type w:val="continuous"/>
        </w:sectPr>
      </w:pPr>
    </w:p>
    <w:p>
      <w:pPr>
        <w:spacing w:after="0" w:line="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diluted earnings per share calculation excludes options and restricted stock units that were anti-dilutive totaling 4.7 million and 10.4 million for the quarters ended September 30, 2016 and 2015, respectively, and 6.5 million and 8.9 million for the nine months ended September 30, 2016 and 2015,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Dividends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each of the quarters ended September 30, 2016, and 2015, Apache paid $95 million in dividends on its common stock. For the nine months ended September 30, 2016 and 2015, the Company paid $284 million and $283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Repurchase Program</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Apache’s Board of Directors has authorized the purchase of up to 40 million shares of the Company’s common stock. Shares may be purchased either in the open market or through privately negotiated transactions. The Company initiated the buyback program on June 10, 2013, and through December 31, 2015, had repurchased a total of 32.2 million shares at an average price of $88.96 per share. The Company is not obligated to acquire any specific number of shares and has not purchased any shares during 2016.</w:t>
      </w:r>
    </w:p>
    <w:p>
      <w:pPr>
        <w:sectPr>
          <w:pgSz w:w="11900" w:h="16838" w:orient="portrait"/>
          <w:cols w:equalWidth="0" w:num="1">
            <w:col w:w="11420"/>
          </w:cols>
          <w:pgMar w:left="240" w:top="580"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8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11. BUSINESS SEGMENT INFORMATION</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Apache is engaged in a single line of business. Both domestically and internationally, the Company explores for, develops, and produces natural gas, crude oil, and natural gas liquids. At September 30, 2016, the Company had production in four reporting segments: the United States, Canada, Egypt, and offshore the United Kingdom in the North Sea (North Sea). Apache also pursues exploration interests in other areas that may, over time, result in reportable discoveries and development opportunities. Financial information for each country is presented below:</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United</w:t>
            </w:r>
          </w:p>
        </w:tc>
        <w:tc>
          <w:tcPr>
            <w:tcW w:w="16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Canada</w:t>
            </w:r>
          </w:p>
        </w:tc>
        <w:tc>
          <w:tcPr>
            <w:tcW w:w="16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North Sea</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States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International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September 30, 2016</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Oil and Gas Production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divestitures,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For the Nine Months Ended September 30, 2016</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Oil and Gas Production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divestitures,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12,299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United</w:t>
            </w:r>
          </w:p>
        </w:tc>
        <w:tc>
          <w:tcPr>
            <w:tcW w:w="16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Canada</w:t>
            </w:r>
          </w:p>
        </w:tc>
        <w:tc>
          <w:tcPr>
            <w:tcW w:w="16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North Sea</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States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International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September 30, 2015</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Oil and Gas Production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divestitures,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For the Nine Months Ended September 30, 2015</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Oil and Gas Production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divestitures,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15,278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31,239</w:t>
            </w: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noncontrolling interest in Egypt.</w:t>
      </w:r>
    </w:p>
    <w:p>
      <w:pPr>
        <w:spacing w:after="0" w:line="13" w:lineRule="exact"/>
        <w:rPr>
          <w:rFonts w:ascii="Arial" w:cs="Arial" w:eastAsia="Arial" w:hAnsi="Arial"/>
          <w:sz w:val="14"/>
          <w:szCs w:val="14"/>
          <w:color w:val="auto"/>
        </w:rPr>
      </w:pPr>
    </w:p>
    <w:p>
      <w:pPr>
        <w:jc w:val="both"/>
        <w:ind w:left="540" w:hanging="316"/>
        <w:spacing w:after="0" w:line="241"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Operating Income (Loss) consists of oil and gas production revenues less lease operating expenses, gathering and transportation costs, taxes other than income, exploration costs, depreciation, depletion, and amortization, asset retirement obligation accretion, and impairments. The operating income (loss) of U.S., Canada, and North Sea includes asset impairments totaling $47 million, $423 million, and $481 million, respectively, for the third quarter of 2016. The operating income (loss) of U.S., Canada, and North Sea includes asset impairments totaling $212 million, $433 million, and $586 million, respectively, for the first nine months of 2016.</w:t>
      </w:r>
    </w:p>
    <w:p>
      <w:pPr>
        <w:spacing w:after="0" w:line="1" w:lineRule="exact"/>
        <w:rPr>
          <w:rFonts w:ascii="Arial" w:cs="Arial" w:eastAsia="Arial" w:hAnsi="Arial"/>
          <w:sz w:val="14"/>
          <w:szCs w:val="14"/>
          <w:color w:val="auto"/>
        </w:rPr>
      </w:pPr>
    </w:p>
    <w:p>
      <w:pPr>
        <w:jc w:val="both"/>
        <w:ind w:left="540" w:hanging="316"/>
        <w:spacing w:after="0" w:line="241"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operating income (loss) of U.S., Canada, Egypt, North Sea, and Other International includes asset impairments totaling $3.5 billion, $237 million, $78 million, $105 million, and $148 million, respectively, for the third quarter of 2015. The operating income (loss) of U.S., Canada, Egypt, North Sea, and Other International include asset impairments totaling $5.9 billion, $291 million, $91 million, $372 million, and $148 million, respectively, for the first nine months of 2015.</w:t>
      </w:r>
    </w:p>
    <w:p>
      <w:pPr>
        <w:spacing w:after="0" w:line="1"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for 2015 have been restated to exclude Australia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-929005</wp:posOffset>
            </wp:positionV>
            <wp:extent cx="40474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80" w:right="239" w:bottom="1440" w:gutter="0" w:footer="0" w:header="0"/>
        </w:sectPr>
      </w:pPr>
    </w:p>
    <w:bookmarkStart w:id="28" w:name="page29"/>
    <w:bookmarkEnd w:id="28"/>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December 1999, Apache Finance Canada issued approximately $300 million of publicly-traded notes due in 2029. The notes are fully and unconditionally guaranteed by Apache. The following condensed consolidating financial statements are provided as an alternative to filing separate financial statements.</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Apache Finance Canada is 100 percent owned by Apache Corporation. As such, these condensed consolidating financial statements should be read in conjunction with Apache’s consolidated financial statements and the notes thereto, of which this note is an integral part.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All Other</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Apache</w:t>
            </w: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of Apache</w:t>
            </w:r>
          </w:p>
        </w:tc>
        <w:tc>
          <w:tcPr>
            <w:tcW w:w="18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Corporation</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8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w w:val="98"/>
              </w:rPr>
              <w:t>Net loss from discontinued operations, net of</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5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 FROM CONTINUING</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 FROM CONTINUING</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0"/>
              <w:spacing w:after="0"/>
              <w:rPr>
                <w:sz w:val="20"/>
                <w:szCs w:val="20"/>
                <w:color w:val="auto"/>
              </w:rPr>
            </w:pPr>
            <w:r>
              <w:rPr>
                <w:rFonts w:ascii="Arial" w:cs="Arial" w:eastAsia="Arial" w:hAnsi="Arial"/>
                <w:sz w:val="18"/>
                <w:szCs w:val="18"/>
                <w:color w:val="auto"/>
              </w:rPr>
              <w:t>OPERATIONS INCLUDING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 from discontinued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 INCLUDING</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42"/>
        </w:trPr>
        <w:tc>
          <w:tcPr>
            <w:tcW w:w="390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Apache</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Reclassifications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&amp; Eliminations</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w w:val="97"/>
              </w:rPr>
              <w:t>Net loss from discontinued operations, net of</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580"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Apache</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Reclassifications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&amp; Eliminations</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12,232</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rPr>
              <w:t>Net income (loss) from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operations, net of tax</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60" w:top="580"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CASH FLOWS FROM INVESTING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gas property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Leasehold and property acquisitions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Additions to gas gathering, transmission, and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processing facilities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Proceeds from sale of other oil and gas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properties</w:t>
            </w:r>
          </w:p>
        </w:tc>
        <w:tc>
          <w:tcPr>
            <w:tcW w:w="1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subsidiaries,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borrowings</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fixed-rate debt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activity,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NET DECREASE IN CASH AND CASH</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CASH AND CASH EQUIVALENTS AT END OF</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2"/>
        </w:trPr>
        <w:tc>
          <w:tcPr>
            <w:tcW w:w="3900" w:type="dxa"/>
            <w:vAlign w:val="bottom"/>
          </w:tcPr>
          <w:p>
            <w:pPr>
              <w:ind w:left="40"/>
              <w:spacing w:after="0"/>
              <w:rPr>
                <w:sz w:val="20"/>
                <w:szCs w:val="20"/>
                <w:color w:val="auto"/>
              </w:rPr>
            </w:pPr>
            <w:r>
              <w:rPr>
                <w:rFonts w:ascii="Arial" w:cs="Arial" w:eastAsia="Arial" w:hAnsi="Arial"/>
                <w:sz w:val="18"/>
                <w:szCs w:val="18"/>
                <w:color w:val="auto"/>
              </w:rPr>
              <w:t>PERIOD</w:t>
            </w:r>
          </w:p>
        </w:tc>
        <w:tc>
          <w:tcPr>
            <w:tcW w:w="1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CASH PROVIDED BY DISCONTINUED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CASH FLOWS FROM INVESTING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gas property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Leasehold and property acquisitions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Additions to gas gathering, transmission, and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processing facilities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Proceeds from sale Kitimat LNG</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other oil and gas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Investment in subsidiaries, net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USED IN CONTINUING</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DISCONTINUED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Commercial paper and bank credit facilities,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fixed-rate debt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borrowings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CONTINUING FINANCING ACTIVITIES</w:t>
            </w:r>
          </w:p>
        </w:tc>
        <w:tc>
          <w:tcPr>
            <w:tcW w:w="1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DISCONTINUED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CASH AND CASH EQUIVALENTS AT</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BEGINNING OF YEAR</w:t>
            </w:r>
          </w:p>
        </w:tc>
        <w:tc>
          <w:tcPr>
            <w:tcW w:w="1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7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0"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Receivables, net of allowance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Drilling advances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Prepaid assets and other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3,272</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19,462</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Equity in affiliates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charges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28,685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28,034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23,149</w:t>
            </w:r>
          </w:p>
        </w:tc>
      </w:tr>
      <w:tr>
        <w:trPr>
          <w:trHeight w:val="67"/>
        </w:trPr>
        <w:tc>
          <w:tcPr>
            <w:tcW w:w="39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78"/>
        </w:trPr>
        <w:tc>
          <w:tcPr>
            <w:tcW w:w="39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LIABILITIES AND SHAREHOLDERS’</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1"/>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1,071</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1,628</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8,721</w:t>
            </w: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DEFERRED CREDITS AND OTHER</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1,783</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APACHE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6,469</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1,480</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7,949</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28,685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28,034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23,149</w:t>
            </w: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Receivables, net of allowance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Drilling advances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assets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Deferred charges and other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CREDITS AND OTHER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Asset retirement obligation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APACHE SHAREHOLDERS’ EQUITY</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following discussion relates to Apache Corporation and its consolidated subsidiaries and should be read in conjunction with our consolidated financial statements and accompanying notes included under Part I, Item 1, “Financial Statements” of this Quarterly Report on Form 10-Q, as well as our consolidated financial statements, accompanying notes and Management’s Discussion and Analysis of Financial Condition and Results of Operations included in our Current Report on Form 8-K dated August 4, 2016, for the fiscal year ended December 31, 2015. Financial information for prior periods has been recast to reflect the retrospective application of the successful efforts method of accounting, as discussed under Note 1 in Part I, Item 1, of this Quarterly Report on Form 10-Q. Results of operations and consolidated cash flows for the divested Australia assets are reflected as discontinued operations in all periods presented in this Quarterly Report on Form 10-Q for the quarter ended September 30,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Apache Corporation, a Delaware corporation formed in 1954, is an independent energy company that explores for, develops, and produces natural gas, crude oil, and natural gas liquids. The Company has exploration and production operations in four geographic areas: the United States (U.S.), Canada, Egypt, and offshore the United Kingdom (U.K.) in the North Sea (North Sea). Apache also pursues exploration interests in other areas that may over time result in reportable discoveries and development opportunities.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Apache reported a third quarter loss of $607 million, or $1.60 per common share, compared to a loss of $4.1 billion, or $10.95 per common share, in the third quarter 2015. Apache’s net loss per common share for both periods was directly impacted by asset impairments resulting from the significant drop in crude oil prices beginning in late 2014.</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third quarter, Apache generated $651 million in cash from operating activities, a decrease of eight percent from the third quarter of last year, despite lower commodity prices, as we realize the benefits of action taken to reduce overhead service costs in both operating and capital areas. We operated near cash flow neutrality after paying dividends and after increasing capital expenditures. As a result, we ended the quarter with $1.2 billion of cash, basically unchanged from last quarter.</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the start of the downturn in late 2014, we established the following guiding principles, which have served us well:</w:t>
      </w:r>
    </w:p>
    <w:p>
      <w:pPr>
        <w:spacing w:after="0" w:line="144" w:lineRule="exact"/>
        <w:rPr>
          <w:sz w:val="20"/>
          <w:szCs w:val="20"/>
          <w:color w:val="auto"/>
        </w:rPr>
      </w:pPr>
    </w:p>
    <w:p>
      <w:pPr>
        <w:ind w:left="720" w:hanging="30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strong financial position and protect it by living within cash flow;</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Dramatically reduce development spending until price and cost come into better equilibrium; and</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the portfolio for long-term returns, growth, and shareholder value.</w:t>
      </w:r>
    </w:p>
    <w:p>
      <w:pPr>
        <w:spacing w:after="0" w:line="1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ended the quarter with $237 million less cash than year-end 2015 but $460 million more than year-end 2014. In addition to cash on hand, Apache has $3.5 billion in available committed borrowing capacity. Long-term debt has remained essentially flat since year-end 2015 and is down 22 percent from year-end 2014.</w:t>
      </w:r>
    </w:p>
    <w:p>
      <w:pPr>
        <w:spacing w:after="0" w:line="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Lease operating expenses for the third quarter were 15 percent lower than the third quarter of 2015 and 20 percent lower on a year-to-date basis. In addition, our year-to-date production decreased only 5 percent from the first nine months of 2015, despite significant reductions in capital spending in the last two years. Our ability to maintain production at these levels despite such a large drop in capital reinvestments has been positively impacted by several efforts undertaken by Apache during the downturn: reduction of our cost structure; implementation of a more rigorous and integrated capital allocation and planning process; upgrades to, and expansion of, our drilling inventory; and improvements of our capital efficiency, including reduction in service costs.</w:t>
      </w:r>
    </w:p>
    <w:p>
      <w:pPr>
        <w:spacing w:after="0" w:line="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this time, Apache also remained focused on its mission to grow the company for the long-term benefit of its shareholders, by investing a percentage of its reduced 2016 capital spending program in strategic testing and acreage acquisitions as opposed to focusing only on more near-term production growth. As a result, Apache recently announced it discovered a significant new resource play, the “Alpine High.” This significant new discovery is a reflection of the company’s strategic focus on organic growth and its internal technical abilities.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Apache allocated additional capital to accelerate development of its Alpine High play and increased planned capital spending for the year to $2 billion in order to bring production on-line in the second half of 2017. We remain committed to achieving “cash flow neutrality” in 2016, and we believe we remain on track to exit the year with no significant change in net debt (debt less cash and cash equivalents) relative to year-end 2015. A combination of asset disposal proceeds and a significant U.S. tax refund, both anticipated in the fourth quarter, should enable us to achieve our targeted cash balance of $1.5 billion at year-end 2016.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Operating Highlights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operating activities for the quarter include the following:</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Overall</w:t>
      </w:r>
    </w:p>
    <w:p>
      <w:pPr>
        <w:spacing w:after="0" w:line="117" w:lineRule="exact"/>
        <w:rPr>
          <w:sz w:val="20"/>
          <w:szCs w:val="20"/>
          <w:color w:val="auto"/>
        </w:rPr>
      </w:pPr>
    </w:p>
    <w:p>
      <w:pPr>
        <w:ind w:left="680" w:right="20" w:hanging="327"/>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Equivalent production decline from third quarter 2015 levels was 6 percent as a result of significant reduction in capital investments in 2015 and the first nine months of 2016 when compared to prior-year levels.</w:t>
      </w:r>
    </w:p>
    <w:p>
      <w:pPr>
        <w:spacing w:after="0" w:line="62" w:lineRule="exact"/>
        <w:rPr>
          <w:rFonts w:ascii="Arial" w:cs="Arial" w:eastAsia="Arial" w:hAnsi="Arial"/>
          <w:sz w:val="18"/>
          <w:szCs w:val="18"/>
          <w:color w:val="auto"/>
        </w:rPr>
      </w:pPr>
    </w:p>
    <w:p>
      <w:pPr>
        <w:ind w:left="680" w:hanging="327"/>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Liquids production for the third quarter 2016 averaged 336 thousand barrels of oil equivalent per day (Mboe/d), with crude oil representing 81 percent of total liquids production. Liquids production decreased 5 percent from the third quarter of 2015.</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jc w:val="both"/>
        <w:ind w:left="680" w:hanging="327"/>
        <w:spacing w:after="0" w:line="273"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third quarter, Apache announced the discovery of a new resource play, the “Alpine High.” The Alpine High acreage lies in the southern portion of the Delaware Basin, primarily in Reeves County, Texas. The Company has estimated significant hydrocarbons in place on its acreage position of approximately 320,000 contiguous net acres (at an average cost of approximately $1,300 per acre). Apache has already identified numerous drilling locations in the Barnett and Woodford formations, which are expected to deliver a combination of liquids rich gas and oil. The Company has 10 wells in the play currently producing in limited quantities because of infrastructure constraints. The Company is also exploring additional formations in this stacked play; including the oil-prone Bone Springs and Wolfcamp formations.</w:t>
      </w:r>
    </w:p>
    <w:p>
      <w:pPr>
        <w:spacing w:after="0" w:line="70" w:lineRule="exact"/>
        <w:rPr>
          <w:rFonts w:ascii="Arial" w:cs="Arial" w:eastAsia="Arial" w:hAnsi="Arial"/>
          <w:sz w:val="17"/>
          <w:szCs w:val="17"/>
          <w:color w:val="auto"/>
        </w:rPr>
      </w:pPr>
    </w:p>
    <w:p>
      <w:pPr>
        <w:ind w:left="680" w:hanging="327"/>
        <w:spacing w:after="0" w:line="30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Onshore equivalent production was down 12 percent for the quarter relative to the 2015 period. The decrease in production is driven by a significant reduction in North American onshore exploration and development capital spending during 2015 and the first nine months of 2016.</w:t>
      </w:r>
    </w:p>
    <w:p>
      <w:pPr>
        <w:spacing w:after="0" w:line="38" w:lineRule="exact"/>
        <w:rPr>
          <w:rFonts w:ascii="Arial" w:cs="Arial" w:eastAsia="Arial" w:hAnsi="Arial"/>
          <w:sz w:val="17"/>
          <w:szCs w:val="17"/>
          <w:color w:val="auto"/>
        </w:rPr>
      </w:pPr>
    </w:p>
    <w:p>
      <w:pPr>
        <w:ind w:left="680" w:hanging="327"/>
        <w:spacing w:after="0" w:line="308"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Third quarter equivalent production from the Permian Basin region, which accounts for more than half of our total onshore North American production, decreased 6 percent from the third quarter of 2015 as a result of significantly fewer wells placed on production during 2016.</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International and Offshore</w:t>
      </w:r>
    </w:p>
    <w:p>
      <w:pPr>
        <w:spacing w:after="0" w:line="117" w:lineRule="exact"/>
        <w:rPr>
          <w:sz w:val="20"/>
          <w:szCs w:val="20"/>
          <w:color w:val="auto"/>
        </w:rPr>
      </w:pPr>
    </w:p>
    <w:p>
      <w:pPr>
        <w:jc w:val="both"/>
        <w:ind w:left="680" w:hanging="327"/>
        <w:spacing w:after="0" w:line="286"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Egypt, we averaged 5 rigs and placed 9 wells on production during the quarter. Gross equivalent production declined 3 percent compared with the third quarter of 2015, driven by well depletion and overall reduction in activity. On a net basis, equivalent production increased 9 percent from the third quarter of 2015 primarily as a result of tax barrel impacts as a function of our production sharing contracts.</w:t>
      </w:r>
    </w:p>
    <w:p>
      <w:pPr>
        <w:spacing w:after="0" w:line="57" w:lineRule="exact"/>
        <w:rPr>
          <w:rFonts w:ascii="Arial" w:cs="Arial" w:eastAsia="Arial" w:hAnsi="Arial"/>
          <w:sz w:val="17"/>
          <w:szCs w:val="17"/>
          <w:color w:val="auto"/>
        </w:rPr>
      </w:pPr>
    </w:p>
    <w:p>
      <w:pPr>
        <w:ind w:left="680" w:hanging="327"/>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North Sea average daily production decreased 15 percent for the third quarter of 2016 from the third quarter of last year primarily as a result of planned downtime and natural well decline in the Forties and Bacchus fields.</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300" w:top="85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Gas Revenues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revenues by geographic region and each region’s percent contribution to revenues for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gridSpan w:val="7"/>
          </w:tcPr>
          <w:p>
            <w:pPr>
              <w:ind w:left="60"/>
              <w:spacing w:after="0"/>
              <w:rPr>
                <w:sz w:val="20"/>
                <w:szCs w:val="20"/>
                <w:color w:val="auto"/>
              </w:rPr>
            </w:pPr>
            <w:r>
              <w:rPr>
                <w:rFonts w:ascii="Arial" w:cs="Arial" w:eastAsia="Arial" w:hAnsi="Arial"/>
                <w:sz w:val="14"/>
                <w:szCs w:val="14"/>
                <w:b w:val="1"/>
                <w:bCs w:val="1"/>
                <w:color w:val="auto"/>
              </w:rPr>
              <w:t>For the Quarter Ended September 30,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60" w:type="dxa"/>
            <w:vAlign w:val="bottom"/>
            <w:gridSpan w:val="7"/>
          </w:tcPr>
          <w:p>
            <w:pPr>
              <w:jc w:val="right"/>
              <w:ind w:right="828"/>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264"/>
        </w:trPr>
        <w:tc>
          <w:tcPr>
            <w:tcW w:w="24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2015</w:t>
            </w:r>
          </w:p>
        </w:tc>
      </w:tr>
      <w:tr>
        <w:trPr>
          <w:trHeight w:val="152"/>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2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Contribution</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Contribution</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Contribution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Contribution</w:t>
            </w:r>
          </w:p>
        </w:tc>
      </w:tr>
      <w:tr>
        <w:trPr>
          <w:trHeight w:val="250"/>
        </w:trPr>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Revenues: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1,629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50"/>
        </w:trPr>
        <w:tc>
          <w:tcPr>
            <w:tcW w:w="2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5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50"/>
        </w:trPr>
        <w:tc>
          <w:tcPr>
            <w:tcW w:w="24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83"/>
        </w:trPr>
        <w:tc>
          <w:tcPr>
            <w:tcW w:w="2400" w:type="dxa"/>
            <w:vAlign w:val="bottom"/>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1,117</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3,057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4,149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251"/>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Natural Gas Revenues:</w:t>
            </w: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32%</w:t>
            </w: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50"/>
        </w:trPr>
        <w:tc>
          <w:tcPr>
            <w:tcW w:w="2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5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50"/>
        </w:trPr>
        <w:tc>
          <w:tcPr>
            <w:tcW w:w="24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83"/>
        </w:trPr>
        <w:tc>
          <w:tcPr>
            <w:tcW w:w="2400" w:type="dxa"/>
            <w:vAlign w:val="bottom"/>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695</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941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110"/>
        </w:trPr>
        <w:tc>
          <w:tcPr>
            <w:tcW w:w="2400" w:type="dxa"/>
            <w:vAlign w:val="bottom"/>
            <w:tcBorders>
              <w:top w:val="single" w:sz="8" w:color="CCEEFF"/>
            </w:tcBorders>
            <w:shd w:val="clear" w:color="auto" w:fill="CCEEFF"/>
          </w:tcPr>
          <w:p>
            <w:pPr>
              <w:ind w:left="40"/>
              <w:spacing w:after="0" w:line="110" w:lineRule="exact"/>
              <w:rPr>
                <w:sz w:val="20"/>
                <w:szCs w:val="20"/>
                <w:color w:val="auto"/>
              </w:rPr>
            </w:pPr>
            <w:r>
              <w:rPr>
                <w:rFonts w:ascii="Arial" w:cs="Arial" w:eastAsia="Arial" w:hAnsi="Arial"/>
                <w:sz w:val="12"/>
                <w:szCs w:val="12"/>
                <w:color w:val="auto"/>
              </w:rPr>
              <w:t>Total Natural Gas Liquids (NGL)</w:t>
            </w:r>
          </w:p>
        </w:tc>
        <w:tc>
          <w:tcPr>
            <w:tcW w:w="1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r>
      <w:tr>
        <w:trPr>
          <w:trHeight w:val="194"/>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84%</w:t>
            </w: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2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5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50"/>
        </w:trPr>
        <w:tc>
          <w:tcPr>
            <w:tcW w:w="24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83"/>
        </w:trPr>
        <w:tc>
          <w:tcPr>
            <w:tcW w:w="2400" w:type="dxa"/>
            <w:vAlign w:val="bottom"/>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251"/>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Oil and Gas Revenues:</w:t>
            </w: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639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1,453</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2,066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39%</w:t>
            </w: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50"/>
        </w:trPr>
        <w:tc>
          <w:tcPr>
            <w:tcW w:w="2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1,696</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5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1,013</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50"/>
        </w:trPr>
        <w:tc>
          <w:tcPr>
            <w:tcW w:w="24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2,216</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2,803</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83"/>
        </w:trPr>
        <w:tc>
          <w:tcPr>
            <w:tcW w:w="2400" w:type="dxa"/>
            <w:vAlign w:val="bottom"/>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1,439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3,912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5,256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251"/>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Oil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Natural Gas Revenues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NGL Revenues</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r>
      <w:tr>
        <w:trPr>
          <w:trHeight w:val="250"/>
        </w:trPr>
        <w:tc>
          <w:tcPr>
            <w:tcW w:w="2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bl>
    <w:p>
      <w:pPr>
        <w:spacing w:after="0" w:line="238"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revenues attributable to a noncontrolling interest in Egypt.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80" w:right="239" w:bottom="1440" w:gutter="0" w:footer="0" w:header="0"/>
          <w:type w:val="continuous"/>
        </w:sectPr>
      </w:pPr>
    </w:p>
    <w:bookmarkStart w:id="40" w:name="page41"/>
    <w:bookmarkEnd w:id="40"/>
    <w:p>
      <w:pPr>
        <w:ind w:left="220"/>
        <w:spacing w:after="0"/>
        <w:rPr>
          <w:sz w:val="20"/>
          <w:szCs w:val="20"/>
          <w:color w:val="auto"/>
        </w:rPr>
      </w:pPr>
      <w:r>
        <w:rPr>
          <w:rFonts w:ascii="Arial" w:cs="Arial" w:eastAsia="Arial" w:hAnsi="Arial"/>
          <w:sz w:val="18"/>
          <w:szCs w:val="18"/>
          <w:i w:val="1"/>
          <w:iCs w:val="1"/>
          <w:color w:val="auto"/>
        </w:rPr>
        <w:t>Production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presents the third-quarter and year-to-date 2016 and 2015 production and the relative increase or decrease from the prior period.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16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4"/>
              </w:rPr>
              <w:t>For the Quarter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82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w w:val="91"/>
              </w:rPr>
              <w:t>Increase</w:t>
            </w:r>
          </w:p>
        </w:tc>
        <w:tc>
          <w:tcPr>
            <w:tcW w:w="7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3"/>
                <w:szCs w:val="13"/>
                <w:color w:val="auto"/>
              </w:rPr>
            </w:pPr>
          </w:p>
        </w:tc>
        <w:tc>
          <w:tcPr>
            <w:tcW w:w="12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Increase</w:t>
            </w:r>
          </w:p>
        </w:tc>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(Decrease)</w:t>
            </w: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Oil Volume – b/d</w:t>
            </w: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98,269</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120,412</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106,924</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124,894</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14,795</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15,812</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110,888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135,207</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120,255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140,706</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(1)(2)</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97,173</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98,712</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49,192</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58,330</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55,071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59,622</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160,001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155,503</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160,189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158,334</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270,889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290,710</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280,444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299,040</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Volume – Mcf/d</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395,062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445,239</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404,282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442,650</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233,635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270,027</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248,912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280,120</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628,697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715,266</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653,194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722,770</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(1)(2)</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405,863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399,434</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403,832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424,746</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69,509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81,392</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66,884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62,848</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475,372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480,826</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470,716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487,594</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1,104,069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1,196,092</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1,123,910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1,210,364</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NGL Volume – b/d</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56,355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54,951</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55,897</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52,401</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6,440</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62,394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61,391</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61,776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58,442</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(1)(2)</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1,440</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2,539</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2,222</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65,215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63,930</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64,453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60,664</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BOE per day</w:t>
            </w:r>
            <w:r>
              <w:rPr>
                <w:rFonts w:ascii="Arial" w:cs="Arial" w:eastAsia="Arial" w:hAnsi="Arial"/>
                <w:sz w:val="8"/>
                <w:szCs w:val="8"/>
                <w:color w:val="auto"/>
              </w:rPr>
              <w:t>(3)</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220,468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249,569</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230,202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251,069</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66,239</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60,695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68,541</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278,065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315,808</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290,897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319,610</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(2)</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179,575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164,845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173,544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170,672</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r>
              <w:rPr>
                <w:rFonts w:ascii="Arial" w:cs="Arial" w:eastAsia="Arial" w:hAnsi="Arial"/>
                <w:sz w:val="8"/>
                <w:szCs w:val="8"/>
                <w:color w:val="auto"/>
              </w:rPr>
              <w:t>(4)</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62,475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73,335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67,775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71,149</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242,050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238,180</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241,319</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241,821</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520,115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553,988</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532,216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561,431</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Oil (b/d)</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10,175</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Natural Gas (Mcf/d)</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125,831</w:t>
            </w: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NGL (b/d)</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BOE/d</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31,146</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Gross oil, natural gas, and NGL production in Egypt for the third quarter and nine-month period of 2016 and 2015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920" w:type="dxa"/>
            <w:vAlign w:val="bottom"/>
            <w:gridSpan w:val="4"/>
          </w:tcPr>
          <w:p>
            <w:pPr>
              <w:ind w:left="740"/>
              <w:spacing w:after="0"/>
              <w:rPr>
                <w:sz w:val="20"/>
                <w:szCs w:val="20"/>
                <w:color w:val="auto"/>
              </w:rPr>
            </w:pPr>
            <w:r>
              <w:rPr>
                <w:rFonts w:ascii="Arial" w:cs="Arial" w:eastAsia="Arial" w:hAnsi="Arial"/>
                <w:sz w:val="14"/>
                <w:szCs w:val="14"/>
                <w:b w:val="1"/>
                <w:bCs w:val="1"/>
                <w:color w:val="auto"/>
              </w:rPr>
              <w:t>For the Quarter Ended September 30,</w:t>
            </w:r>
          </w:p>
        </w:tc>
        <w:tc>
          <w:tcPr>
            <w:tcW w:w="37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26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Oil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210,755</w:t>
            </w:r>
          </w:p>
        </w:tc>
        <w:tc>
          <w:tcPr>
            <w:tcW w:w="1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214,097</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210,939</w:t>
            </w:r>
          </w:p>
        </w:tc>
        <w:tc>
          <w:tcPr>
            <w:tcW w:w="1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205,127</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80"/>
              <w:spacing w:after="0"/>
              <w:rPr>
                <w:sz w:val="20"/>
                <w:szCs w:val="20"/>
                <w:color w:val="auto"/>
              </w:rPr>
            </w:pPr>
            <w:r>
              <w:rPr>
                <w:rFonts w:ascii="Arial" w:cs="Arial" w:eastAsia="Arial" w:hAnsi="Arial"/>
                <w:sz w:val="14"/>
                <w:szCs w:val="14"/>
                <w:color w:val="auto"/>
              </w:rPr>
              <w:t>Natural Gas (Mcf/d)</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826,548</w:t>
            </w:r>
          </w:p>
        </w:tc>
        <w:tc>
          <w:tcPr>
            <w:tcW w:w="12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873,418</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828,950</w:t>
            </w:r>
          </w:p>
        </w:tc>
        <w:tc>
          <w:tcPr>
            <w:tcW w:w="124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865,553</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NGL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1,853</w:t>
            </w:r>
          </w:p>
        </w:tc>
        <w:tc>
          <w:tcPr>
            <w:tcW w:w="12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2,406</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1,918</w:t>
            </w:r>
          </w:p>
        </w:tc>
        <w:tc>
          <w:tcPr>
            <w:tcW w:w="12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2,426</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production volumes per day attributable to a noncontrolling interest in Egypt for the third quarter and nine-months period of 2016 and 2015 of:</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920" w:type="dxa"/>
            <w:vAlign w:val="bottom"/>
            <w:gridSpan w:val="4"/>
          </w:tcPr>
          <w:p>
            <w:pPr>
              <w:ind w:left="740"/>
              <w:spacing w:after="0"/>
              <w:rPr>
                <w:sz w:val="20"/>
                <w:szCs w:val="20"/>
                <w:color w:val="auto"/>
              </w:rPr>
            </w:pPr>
            <w:r>
              <w:rPr>
                <w:rFonts w:ascii="Arial" w:cs="Arial" w:eastAsia="Arial" w:hAnsi="Arial"/>
                <w:sz w:val="14"/>
                <w:szCs w:val="14"/>
                <w:b w:val="1"/>
                <w:bCs w:val="1"/>
                <w:color w:val="auto"/>
              </w:rPr>
              <w:t>For the Quarter Ended September 30,</w:t>
            </w:r>
          </w:p>
        </w:tc>
        <w:tc>
          <w:tcPr>
            <w:tcW w:w="37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26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Oil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36,839</w:t>
            </w:r>
          </w:p>
        </w:tc>
        <w:tc>
          <w:tcPr>
            <w:tcW w:w="1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30,671</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34,964</w:t>
            </w:r>
          </w:p>
        </w:tc>
        <w:tc>
          <w:tcPr>
            <w:tcW w:w="1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31,530</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80"/>
              <w:spacing w:after="0"/>
              <w:rPr>
                <w:sz w:val="20"/>
                <w:szCs w:val="20"/>
                <w:color w:val="auto"/>
              </w:rPr>
            </w:pPr>
            <w:r>
              <w:rPr>
                <w:rFonts w:ascii="Arial" w:cs="Arial" w:eastAsia="Arial" w:hAnsi="Arial"/>
                <w:sz w:val="14"/>
                <w:szCs w:val="14"/>
                <w:color w:val="auto"/>
              </w:rPr>
              <w:t>Natural Gas (Mcf/d)</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135,233</w:t>
            </w:r>
          </w:p>
        </w:tc>
        <w:tc>
          <w:tcPr>
            <w:tcW w:w="126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125,657</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134,591</w:t>
            </w:r>
          </w:p>
        </w:tc>
        <w:tc>
          <w:tcPr>
            <w:tcW w:w="124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127,186</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NGL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12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2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316"/>
        <w:spacing w:after="0" w:line="250"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table shows production on a barrel of oil equivalent basis (boe) in which natural gas is converted to an equivalent barrel of oil based on a 6:1 energy equivalent ratio. This ratio is not reflective of the price ratio between the two products.</w:t>
      </w:r>
    </w:p>
    <w:p>
      <w:pPr>
        <w:ind w:left="540" w:hanging="316"/>
        <w:spacing w:after="0" w:line="255"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sales volumes from the North Sea for the third quarter and nine-month period of 2016 were 65,171 boe/d and 67,222 boe/d, respectively. Sales volumes may vary from production volumes as a result of the timing of liftings in the Beryl field.</w:t>
      </w:r>
    </w:p>
    <w:p>
      <w:pPr>
        <w:sectPr>
          <w:pgSz w:w="11900" w:h="16838" w:orient="portrait"/>
          <w:cols w:equalWidth="0" w:num="1">
            <w:col w:w="11420"/>
          </w:cols>
          <w:pgMar w:left="240" w:top="584" w:right="239" w:bottom="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019"/>
          </w:cols>
          <w:pgMar w:left="1440" w:top="125" w:right="1440"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i w:val="1"/>
          <w:iCs w:val="1"/>
          <w:color w:val="auto"/>
        </w:rPr>
        <w:t>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third-quarter and year-to-date 2016 and 2015 pricing and the relative increase or decrease from the prior periods.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For the Quarter Ended September 30,</w:t>
            </w:r>
          </w:p>
        </w:tc>
        <w:tc>
          <w:tcPr>
            <w:tcW w:w="180" w:type="dxa"/>
            <w:vAlign w:val="bottom"/>
          </w:tcPr>
          <w:p>
            <w:pPr>
              <w:spacing w:after="0"/>
              <w:rPr>
                <w:sz w:val="20"/>
                <w:szCs w:val="20"/>
                <w:color w:val="auto"/>
              </w:rPr>
            </w:pPr>
          </w:p>
        </w:tc>
        <w:tc>
          <w:tcPr>
            <w:tcW w:w="354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1"/>
              </w:rPr>
              <w:t>For the Nine Months Ended September 30,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2"/>
                <w:szCs w:val="12"/>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2"/>
                <w:szCs w:val="12"/>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Oil Price - Per barrel</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37.53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Egypt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North Sea</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43"/>
        </w:trPr>
        <w:tc>
          <w:tcPr>
            <w:tcW w:w="4200" w:type="dxa"/>
            <w:vAlign w:val="bottom"/>
          </w:tcPr>
          <w:p>
            <w:pPr>
              <w:ind w:left="1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Natural Gas Price - Per Mcf</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Egypt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North Sea</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4200" w:type="dxa"/>
            <w:vAlign w:val="bottom"/>
          </w:tcPr>
          <w:p>
            <w:pPr>
              <w:ind w:left="1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NGL Price - Per barrel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8 %</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Egypt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North Sea</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4200" w:type="dxa"/>
            <w:vAlign w:val="bottom"/>
          </w:tcPr>
          <w:p>
            <w:pPr>
              <w:ind w:left="1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Oil price ($/Bbl)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price ($/Mcf)</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NGL price ($/Bbl)</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Third-Quarter 2016 compared to Third-Quarter 2015</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Crude Oil Revenues </w:t>
      </w:r>
      <w:r>
        <w:rPr>
          <w:rFonts w:ascii="Arial" w:cs="Arial" w:eastAsia="Arial" w:hAnsi="Arial"/>
          <w:sz w:val="18"/>
          <w:szCs w:val="18"/>
          <w:color w:val="auto"/>
        </w:rPr>
        <w:t>Crude oil revenues for the third quarter of 2016 totaled $1.1 billion, a $121 million decrease from the comparative 2015 quarter. A</w:t>
      </w:r>
      <w:r>
        <w:rPr>
          <w:rFonts w:ascii="Arial" w:cs="Arial" w:eastAsia="Arial" w:hAnsi="Arial"/>
          <w:sz w:val="18"/>
          <w:szCs w:val="18"/>
          <w:i w:val="1"/>
          <w:iCs w:val="1"/>
          <w:color w:val="auto"/>
        </w:rPr>
        <w:t xml:space="preserve"> </w:t>
      </w:r>
      <w:r>
        <w:rPr>
          <w:rFonts w:ascii="Arial" w:cs="Arial" w:eastAsia="Arial" w:hAnsi="Arial"/>
          <w:sz w:val="18"/>
          <w:szCs w:val="18"/>
          <w:color w:val="auto"/>
        </w:rPr>
        <w:t>7 percent decrease in average daily production reduced third-quarter 2016 revenues by $69 million compared to the prior-year quarter, while 4 percent lower average realized prices decreased revenues by $52 million. Crude oil accounted for 78 percent of oil and gas production revenues and 52 percent of worldwide production in the third quarter of 2016. Crude oil prices realized in the third quarter of 2016 averaged $44.35 per barrel, compared with $46.30 per barrel in the comparative prior-year quarter.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Worldwide oil production decreased 19.8 Mb/d to 270.9 Mb/d, primarily a result of reduced drilling activity in response to lower commodity prices.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Decreases from natural decline were partially offset by higher net production in Egypt as a function of our production sharing contracts.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Natural Gas Revenues </w:t>
      </w:r>
      <w:r>
        <w:rPr>
          <w:rFonts w:ascii="Arial" w:cs="Arial" w:eastAsia="Arial" w:hAnsi="Arial"/>
          <w:sz w:val="18"/>
          <w:szCs w:val="18"/>
          <w:color w:val="auto"/>
        </w:rPr>
        <w:t>Gas revenues for the third quarter of 2016 totaled $263 million, a $55 million decrease from the comparative 2015 quarter. An 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decrease in average daily production reduced third-quarter revenues by $22 million compared to the prior-year quarter, while 10 percent lower average realized prices decreased revenues by $33 million. Natural gas accounted for 18 percent of our oil and gas production revenues and 35 percent of our equivalent production during the third quarter of 2016.</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worldwide natural gas production decreased 92.0 MMcf/d to 1,104 MMcf/d in the third quarter of 2016 from the comparative prior-year period, primarily the result of reduced drilling activity in response to lower commodity prices.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NGL Revenues </w:t>
      </w:r>
      <w:r>
        <w:rPr>
          <w:rFonts w:ascii="Arial" w:cs="Arial" w:eastAsia="Arial" w:hAnsi="Arial"/>
          <w:sz w:val="18"/>
          <w:szCs w:val="18"/>
          <w:color w:val="auto"/>
        </w:rPr>
        <w:t>NGL revenues for the third quarter of 2016 totaled $59 million, a $9 million increase from the comparative 2015 quarter. A 2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average daily production increased third-quarter 2016 revenues by approximately $1 million, while 19 percent higher average realized prices increased revenues by $8 million. NGLs accounted for 4 percent of our oil and gas production revenues and 13 percent of our equivalent production during the third quarter of 2016.</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Worldwide production of NGLs increased 1.3 Mb/d to 65.2 Mb/d in the third quarter of 2016, primarily the result of new production from completion activity in our North American onshore areas, gas processing plant downtime in the prior year period, and changes to existing gas processing arrangements.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Year-to-Date 2016 compared to Year-to-Date 2015</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Crude Oil Revenues </w:t>
      </w:r>
      <w:r>
        <w:rPr>
          <w:rFonts w:ascii="Arial" w:cs="Arial" w:eastAsia="Arial" w:hAnsi="Arial"/>
          <w:sz w:val="17"/>
          <w:szCs w:val="17"/>
          <w:color w:val="auto"/>
        </w:rPr>
        <w:t>Crude oil revenues for the first nine months of 2016 totaled $3.1 billion, a $1.1 billion decrease from the comparative 2015 period.</w:t>
      </w:r>
      <w:r>
        <w:rPr>
          <w:rFonts w:ascii="Arial" w:cs="Arial" w:eastAsia="Arial" w:hAnsi="Arial"/>
          <w:sz w:val="17"/>
          <w:szCs w:val="17"/>
          <w:i w:val="1"/>
          <w:iCs w:val="1"/>
          <w:color w:val="auto"/>
        </w:rPr>
        <w:t xml:space="preserve"> </w:t>
      </w:r>
      <w:r>
        <w:rPr>
          <w:rFonts w:ascii="Arial" w:cs="Arial" w:eastAsia="Arial" w:hAnsi="Arial"/>
          <w:sz w:val="17"/>
          <w:szCs w:val="17"/>
          <w:color w:val="auto"/>
        </w:rPr>
        <w:t>A 6 percent decrease in average daily production reduced 2016 oil revenues by $197 million compared to the prior-year period, while 22 percent lower average realized prices decreased revenues by $895 million. Crude oil accounted for 78 percent of oil and gas production revenues and 53 percent of worldwide production for the first nine months of 2016, compared to 79 percent and 53 percent, respectively, for the 2015 period. Crude oil prices realized in the first nine months of 2016 averaged $39.86 per barrel, compared with $50.82 per barrel in the comparative prior-year period.</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Worldwide production decreased 18.6 Mb/d to 280.4 Mb/d in the first nine months of 2016 from the comparative prior-year period, primarily a result of reduced drilling activity in response to lower commodity prices.</w:t>
      </w:r>
    </w:p>
    <w:p>
      <w:pPr>
        <w:spacing w:after="0" w:line="1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Natural Gas Revenues </w:t>
      </w:r>
      <w:r>
        <w:rPr>
          <w:rFonts w:ascii="Arial" w:cs="Arial" w:eastAsia="Arial" w:hAnsi="Arial"/>
          <w:sz w:val="16"/>
          <w:szCs w:val="16"/>
          <w:color w:val="auto"/>
        </w:rPr>
        <w:t>Gas revenues for the first nine months of 2016 totaled $695 million, a $246 million decrease from the comparative 2015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 7 percent decrease in average daily production reduced 2016 natural gas revenues by $51 million compared to the prior-year period, while 21 percent lower average realized prices decreased revenues by $195 million. Natural gas accounted for 18 percent of our oil and gas production revenues and 35 percent of our equivalent production for the first nine months of 2016, compared to 18 percent and 36 percent, respectively, for the 2015 period.</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worldwide natural gas production decreased 86.5 MMcf/d to 1,124 MMcf/d in the first nine months of 2016 from the comparative prior-year period, primarily the result of reduced drilling activity in response to lower commodity prices.</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NGL Revenues </w:t>
      </w:r>
      <w:r>
        <w:rPr>
          <w:rFonts w:ascii="Arial" w:cs="Arial" w:eastAsia="Arial" w:hAnsi="Arial"/>
          <w:sz w:val="17"/>
          <w:szCs w:val="17"/>
          <w:color w:val="auto"/>
        </w:rPr>
        <w:t>NGL revenues for the first nine months of 2016 totaled $160 million, a $6 million decrease from the comparative 2015 period. A 6</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increase in average production increased 2016 NGL revenues by $9 million compared to the prior-year period, while 9 percent lower average realized prices decreased revenues by $15 million. NGLs accounted for nearly 4 percent of oil and gas production revenues and 12 percent of our equivalent production for the first nine months of 2016, compared to 3 percent and 11 percent, respectively, for the 2015 period.</w:t>
      </w:r>
    </w:p>
    <w:p>
      <w:pPr>
        <w:spacing w:after="0" w:line="17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Worldwide production of NGLs increased 3.8 Mb/d to 64.5 Mb/d in the first nine months of 2016 from the comparative prior-year period, primarily as a result of North American onshore production growth from drilling and recompletion activity and also new production in North Sea’s Beryl field.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1" w:right="239" w:bottom="1440" w:gutter="0" w:footer="0" w:header="0"/>
        </w:sectPr>
      </w:pPr>
    </w:p>
    <w:bookmarkStart w:id="44" w:name="page45"/>
    <w:bookmarkEnd w:id="44"/>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presents a comparison of our expenses on an absolute dollar basis and a boe basis. Our discussion may reference expenses on a boe basis, on an absolute dollar basis or both, depending on their relevance. Operating expenses include costs attributable to a noncontrolling interest in Egypt but, for the quarter and nine months ended September 30, 2015, exclude discontinued operations in Australia.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Quarter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tcPr>
          <w:p>
            <w:pPr>
              <w:jc w:val="right"/>
              <w:ind w:right="32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64"/>
        </w:trPr>
        <w:tc>
          <w:tcPr>
            <w:tcW w:w="4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boe)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4"/>
          </w:tcPr>
          <w:p>
            <w:pPr>
              <w:ind w:left="3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boe)</w:t>
            </w:r>
          </w:p>
        </w:tc>
        <w:tc>
          <w:tcPr>
            <w:tcW w:w="540" w:type="dxa"/>
            <w:vAlign w:val="bottom"/>
          </w:tcPr>
          <w:p>
            <w:pPr>
              <w:spacing w:after="0"/>
              <w:rPr>
                <w:sz w:val="21"/>
                <w:szCs w:val="2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expenses</w:t>
            </w:r>
            <w:r>
              <w:rPr>
                <w:rFonts w:ascii="Arial" w:cs="Arial" w:eastAsia="Arial" w:hAnsi="Arial"/>
                <w:sz w:val="8"/>
                <w:szCs w:val="8"/>
                <w:color w:val="auto"/>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9.12</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Gathering and transportation</w:t>
            </w:r>
            <w:r>
              <w:rPr>
                <w:rFonts w:ascii="Arial" w:cs="Arial" w:eastAsia="Arial" w:hAnsi="Arial"/>
                <w:sz w:val="8"/>
                <w:szCs w:val="8"/>
                <w:color w:val="auto"/>
              </w:rPr>
              <w:t>(1)</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3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3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other than income</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0.19</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0.58</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3.36</w:t>
            </w:r>
          </w:p>
        </w:tc>
        <w:tc>
          <w:tcPr>
            <w:tcW w:w="3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3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4.60</w:t>
            </w: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6"/>
        </w:trPr>
        <w:tc>
          <w:tcPr>
            <w:tcW w:w="4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Oil and gas property and equipment</w:t>
            </w:r>
            <w:r>
              <w:rPr>
                <w:rFonts w:ascii="Arial" w:cs="Arial" w:eastAsia="Arial" w:hAnsi="Arial"/>
                <w:sz w:val="8"/>
                <w:szCs w:val="8"/>
                <w:color w:val="auto"/>
              </w:rPr>
              <w:t>(1)</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610</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12.67</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12.87</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r>
      <w:tr>
        <w:trPr>
          <w:trHeight w:val="264"/>
        </w:trPr>
        <w:tc>
          <w:tcPr>
            <w:tcW w:w="424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3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0.82</w:t>
            </w:r>
          </w:p>
        </w:tc>
        <w:tc>
          <w:tcPr>
            <w:tcW w:w="3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 accretion</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0.83</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0.79</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0.71</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Impairments</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3,903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17.47</w:t>
            </w:r>
          </w:p>
        </w:tc>
        <w:tc>
          <w:tcPr>
            <w:tcW w:w="3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76.58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1,009</w:t>
            </w: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6,327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6.92</w:t>
            </w:r>
          </w:p>
        </w:tc>
        <w:tc>
          <w:tcPr>
            <w:tcW w:w="3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41.28</w:t>
            </w: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 reorganization, and separation</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0.25</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0.24</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0.79</w:t>
            </w: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color w:val="auto"/>
              </w:rPr>
              <w:t>Financing costs, net</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2.13</w:t>
            </w:r>
          </w:p>
        </w:tc>
        <w:tc>
          <w:tcPr>
            <w:tcW w:w="3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3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2.61</w:t>
            </w:r>
          </w:p>
        </w:tc>
      </w:tr>
    </w:tbl>
    <w:p>
      <w:pPr>
        <w:ind w:left="440"/>
        <w:spacing w:after="0"/>
        <w:rPr>
          <w:sz w:val="20"/>
          <w:szCs w:val="20"/>
          <w:color w:val="auto"/>
        </w:rPr>
      </w:pPr>
      <w:r>
        <w:rPr>
          <w:rFonts w:ascii="Arial" w:cs="Arial" w:eastAsia="Arial" w:hAnsi="Arial"/>
          <w:sz w:val="14"/>
          <w:szCs w:val="14"/>
          <w:color w:val="auto"/>
        </w:rPr>
        <w:t>(1) For expenses impacted by the timing of 2016 liftings in the North Sea, per-boe calculations are based on sales volumes rather than production volumes.</w:t>
      </w:r>
    </w:p>
    <w:p>
      <w:pPr>
        <w:spacing w:after="0" w:line="2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Lease Operating Expenses (LOE) </w:t>
      </w:r>
      <w:r>
        <w:rPr>
          <w:rFonts w:ascii="Arial" w:cs="Arial" w:eastAsia="Arial" w:hAnsi="Arial"/>
          <w:sz w:val="18"/>
          <w:szCs w:val="18"/>
          <w:color w:val="auto"/>
        </w:rPr>
        <w:t>LOE decreased $68 million, or 15 percent, for the third quarter of 2016, and $279 million, or 20 percent,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nine-months of 2016, on an absolute dollar basis relative to the comparable periods of 2015. On a per-unit basis, LOE decreased 10 percent to $7.94 per boe for the third quarter of 2016, and 16 percent to $7.68 per boe for the first nine months of 2016, as compared to the prior-year periods. These reductions reflect the impact of our continued focus on cost reductions consistent with the current price environment.</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Gathering and Transportation </w:t>
      </w:r>
      <w:r>
        <w:rPr>
          <w:rFonts w:ascii="Arial" w:cs="Arial" w:eastAsia="Arial" w:hAnsi="Arial"/>
          <w:sz w:val="17"/>
          <w:szCs w:val="17"/>
          <w:color w:val="auto"/>
        </w:rPr>
        <w:t>Gathering and transportation costs totaled $51 million and $155 million, respectively, in the third quarter and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2016, a decrease of $7 million and $8 million from the third quarter and first nine months of 2015, respectively. The decrease was driven primarily by a decrease in volumes and rate changes in Canada and Egypt, partially offset by rate changes in the Permian Basin.</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Taxes other than Income </w:t>
      </w:r>
      <w:r>
        <w:rPr>
          <w:rFonts w:ascii="Arial" w:cs="Arial" w:eastAsia="Arial" w:hAnsi="Arial"/>
          <w:sz w:val="18"/>
          <w:szCs w:val="18"/>
          <w:color w:val="auto"/>
        </w:rPr>
        <w:t>Taxes other than income totaled $9 million and $85 million for the third quarter and first nine months of 2016, respectively,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$95 million and $147 million from the third quarter and first nine months of 2015,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third quarter of this year, the rate of the U.K. Petroleum Revenue Tax (PRT), historically assessed on qualifying fields in the U.K. North Sea, was reduced to zero percent effective January 1, 2016. As a result, PRT tax expense decreased $83 million and $91 million for the third quarter and first nine months of 2016, respectively, from the comparative prior-year periods.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Severance tax expense and ad valorem tax expense decreased $4 million and $4 million, respectively, on lower oil production and commodity prices during the third quarter compared to the prior year quarter. For the first nine months of 2016, severance tax expense and ad valorem tax expense decreased $25 million and $16 million, respectively, compared to the first nine months of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Exploration Expense </w:t>
      </w:r>
      <w:r>
        <w:rPr>
          <w:rFonts w:ascii="Arial" w:cs="Arial" w:eastAsia="Arial" w:hAnsi="Arial"/>
          <w:sz w:val="18"/>
          <w:szCs w:val="18"/>
          <w:color w:val="auto"/>
        </w:rPr>
        <w:t>Exploration expense includes unproved leasehold impairments, exploration dry hole expense, geological and geophysical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the costs of maintaining and retaining unproved leasehold properties. Exploration expenses in the third quarter and first nine months of 2016 decreased $62 million and $359 million, respectively, from the comparative prior-year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440"/>
              <w:spacing w:after="0"/>
              <w:rPr>
                <w:sz w:val="20"/>
                <w:szCs w:val="20"/>
                <w:color w:val="auto"/>
              </w:rPr>
            </w:pPr>
            <w:r>
              <w:rPr>
                <w:rFonts w:ascii="Arial" w:cs="Arial" w:eastAsia="Arial" w:hAnsi="Arial"/>
                <w:sz w:val="18"/>
                <w:szCs w:val="18"/>
                <w:color w:val="auto"/>
              </w:rPr>
              <w:t>The following table presents a summary of exploration expense: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0"/>
        </w:trPr>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For the Quarter Ended</w:t>
            </w:r>
          </w:p>
        </w:tc>
        <w:tc>
          <w:tcPr>
            <w:tcW w:w="200" w:type="dxa"/>
            <w:vAlign w:val="bottom"/>
          </w:tcPr>
          <w:p>
            <w:pPr>
              <w:spacing w:after="0"/>
              <w:rPr>
                <w:sz w:val="24"/>
                <w:szCs w:val="24"/>
                <w:color w:val="auto"/>
              </w:rPr>
            </w:pPr>
          </w:p>
        </w:tc>
        <w:tc>
          <w:tcPr>
            <w:tcW w:w="19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6"/>
              </w:rPr>
              <w:t>For the Nine Months</w:t>
            </w:r>
          </w:p>
        </w:tc>
      </w:tr>
      <w:tr>
        <w:trPr>
          <w:trHeight w:val="234"/>
        </w:trPr>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9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Ended September 30,</w:t>
            </w:r>
          </w:p>
        </w:tc>
      </w:tr>
      <w:tr>
        <w:trPr>
          <w:trHeight w:val="27"/>
        </w:trPr>
        <w:tc>
          <w:tcPr>
            <w:tcW w:w="7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7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400"/>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Unproved leasehold impairments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Dry hole expense</w:t>
            </w: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7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Geological and geophysical expense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Exploration overhead and other</w:t>
            </w: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7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for the third quarter and first nine months of 2016 were $13 million and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respectively, than the comparative 2015 periods. For the first nine months of 2016, the increase in G&amp;A expense was primarily related to stock based compensation expense.</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Depreciation, Depletion, and Amortization (DD&amp;A) </w:t>
      </w:r>
      <w:r>
        <w:rPr>
          <w:rFonts w:ascii="Arial" w:cs="Arial" w:eastAsia="Arial" w:hAnsi="Arial"/>
          <w:sz w:val="17"/>
          <w:szCs w:val="17"/>
          <w:color w:val="auto"/>
        </w:rPr>
        <w:t>Oil and gas property DD&amp;A expense of $610 million in the third quarter of 2016 decreased $183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the third quarter of 2015. For the first nine months of 2016, oil and gas property DD&amp;A expense decreased $372 million compared to prior-year period. The Company’s oil and gas property DD&amp;A rate decreased $2.90 per boe and $1.80 per boe in the third quarter and first nine months of 2016, respectively, compared to the comparable prior-year periods. The primary factor driving both lower absolute dollar expense and lower DD&amp;A per boe rates was the reduction in the Company’s oil and gas properties as a result of impairments to proved properties in 2015.</w:t>
      </w:r>
    </w:p>
    <w:p>
      <w:pPr>
        <w:spacing w:after="0" w:line="1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Impairments </w:t>
      </w:r>
      <w:r>
        <w:rPr>
          <w:rFonts w:ascii="Arial" w:cs="Arial" w:eastAsia="Arial" w:hAnsi="Arial"/>
          <w:sz w:val="17"/>
          <w:szCs w:val="17"/>
          <w:color w:val="auto"/>
        </w:rPr>
        <w:t>During the third quarter of 2016, the Company recorded asset impairments totaling $836 million, comprising $355 million for proved oil</w:t>
      </w:r>
      <w:r>
        <w:rPr>
          <w:rFonts w:ascii="Arial" w:cs="Arial" w:eastAsia="Arial" w:hAnsi="Arial"/>
          <w:sz w:val="17"/>
          <w:szCs w:val="17"/>
          <w:i w:val="1"/>
          <w:iCs w:val="1"/>
          <w:color w:val="auto"/>
        </w:rPr>
        <w:t xml:space="preserve"> </w:t>
      </w:r>
      <w:r>
        <w:rPr>
          <w:rFonts w:ascii="Arial" w:cs="Arial" w:eastAsia="Arial" w:hAnsi="Arial"/>
          <w:sz w:val="17"/>
          <w:szCs w:val="17"/>
          <w:color w:val="auto"/>
        </w:rPr>
        <w:t>and gas properties in Canada and $481 million for PRT benefits that are no longer expected to be realizable from future abandonment activities in the North Sea. Additionally, during the second quarter of 2016, the Company recorded $68 million for impairments of proved oil and gas properties in the U.S. and Canada and $105 million for certain GTP assets. The Company recorded $3.9 billion and $6.3 billion of impairments in the third quarter and first nine months of 2015, respectively. For more information regarding asset impairments, please refer to “Fair Value Measurements” within Note 1—Summary of Significant Accounting Policies in the Notes to Consolidated Financial Statements.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Transaction, Reorganization, and Separation </w:t>
      </w:r>
      <w:r>
        <w:rPr>
          <w:rFonts w:ascii="Arial" w:cs="Arial" w:eastAsia="Arial" w:hAnsi="Arial"/>
          <w:sz w:val="18"/>
          <w:szCs w:val="18"/>
          <w:color w:val="auto"/>
        </w:rPr>
        <w:t>The Company incurred $12 million and $36 million for the third quarter and first nine months of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reorganization costs. The costs incurred for the year include approximately $29 million for employee separation and $7 million for consolidation of office space and other reorganization efforts.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Financing Costs, Net </w:t>
      </w:r>
      <w:r>
        <w:rPr>
          <w:rFonts w:ascii="Arial" w:cs="Arial" w:eastAsia="Arial" w:hAnsi="Arial"/>
          <w:sz w:val="18"/>
          <w:szCs w:val="18"/>
          <w:color w:val="auto"/>
        </w:rPr>
        <w:t>Financing costs incurred during the period comprised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Quarter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34"/>
        </w:trPr>
        <w:tc>
          <w:tcPr>
            <w:tcW w:w="6080" w:type="dxa"/>
            <w:vAlign w:val="bottom"/>
          </w:tcPr>
          <w:p>
            <w:pPr>
              <w:spacing w:after="0"/>
              <w:rPr>
                <w:sz w:val="20"/>
                <w:szCs w:val="20"/>
                <w:color w:val="auto"/>
              </w:rPr>
            </w:pPr>
          </w:p>
        </w:tc>
        <w:tc>
          <w:tcPr>
            <w:tcW w:w="22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Amortization of deferred loan costs</w:t>
            </w:r>
          </w:p>
        </w:tc>
        <w:tc>
          <w:tcPr>
            <w:tcW w:w="8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40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Financing costs, net</w:t>
            </w: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102</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6"/>
              </w:rPr>
              <w:t>160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6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Net financing costs decreased $58 million and $90 million in the third quarter and first nine months of 2016, respectively, compared to the same prior-year period on higher capitalized interest, lower interest expense, and a $39 million loss on extinguishment of debt incurred in the third quarter of 2015.</w:t>
      </w:r>
    </w:p>
    <w:p>
      <w:pPr>
        <w:sectPr>
          <w:pgSz w:w="11900" w:h="16838" w:orient="portrait"/>
          <w:cols w:equalWidth="0" w:num="1">
            <w:col w:w="11420"/>
          </w:cols>
          <w:pgMar w:left="240" w:top="800"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800" w:right="239" w:bottom="1440" w:gutter="0" w:footer="0" w:header="0"/>
          <w:type w:val="continuous"/>
        </w:sectPr>
      </w:pPr>
    </w:p>
    <w:bookmarkStart w:id="46" w:name="page47"/>
    <w:bookmarkEnd w:id="46"/>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Company estimates its annual effective income tax rate for continuing operations in recording its quarterly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for income taxes in the various jurisdictions in which the Company operates. Non-cash impairments of the carrying value of the Company’s oil and gas properties, statutory tax rate changes, and other significant or unusual items are recognized as discrete items in the quarter in which they occur.</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2016, Apache’s effective tax rate was impacted primarily by non-cash impairments of the carrying value of the Company’s oil and gas properties, non-cash impairments of the Company’s PRT decommissioning asset, the impact of the change in U.K. statutory income tax rate, and an increase in the amount of valuation allowances on U.S. and Canadian deferred tax assets.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15, 2016, U.K. Finance Act 2016 received Royal Assent. Under the enacted legislation, the corporate income tax rate on North Sea oil and gas profits was reduced from 50 percent to 40 percent effective January 1, 2016. As a result of the enacted legislation in the third quarter of 2016, the Company recorded a deferred tax benefit of $235 million related to the remeasurement of the Company’s December 31, 2015 U.K. deferred income tax liability.</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2015, Apache’s effective tax rate was impacted primarily by non-cash impairments of the carrying value of the Company’s oil and gas properties and an increase in the amount of valuation allowances on Canadian deferred tax assets, U.S. foreign tax credits and U.S. net operating loss carryforwards.</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Apache’s 2016 year-to-date effective tax rate was impacted primarily by non-cash impairments of the carrying value of the Company’s oil and gas properties, non-cash impairments of the Company’s PRT decommissioning asset, the impact of the change in U.K. statutory income tax rate, and an increase in the amount of valuation allowances on U.S. and Canadian deferred tax assets. Apache’s 2015 year-to-date effective tax rate was impacted primarily by non-cash impairments of the carrying value of the Company’s oil and gas properties and an increase in the amount of valuation allowances on Canadian deferred tax assets, U.S. foreign tax credits, and U.S. net operating loss carryforwards, offset by a $414 million deferred tax benefit associated with a reduction in the U.K. statutory income tax rate from 62 percent to 50 percent.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Capital Resources and Liquidity</w:t>
      </w:r>
    </w:p>
    <w:p>
      <w:pPr>
        <w:spacing w:after="0" w:line="121"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Operating cash flows are the Company’s primary source of liquidity. We may also elect to use available committed borrowing capacity, access to both debt and equity capital markets, or proceeds from the sale of nonstrategic assets for all other liquidity and capital resource needs.</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Apache’s operating cash flows, both in the short term and the long term, are impacted by highly volatile oil and natural gas prices, as well as costs and sales volumes. Significant changes in commodity prices impact our revenues, earnings, and cash flows. These changes potentially impact our liquidity if costs do not trend with changes in commodity prices. Historically, costs have trended with commodity prices, albeit with a lag. Sales volumes also impact cash flows; however, they have a less volatile impact in the short term.</w:t>
      </w:r>
    </w:p>
    <w:p>
      <w:pPr>
        <w:spacing w:after="0" w:line="18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Apache’s long-term operating cash flows are dependent on reserve replacement and the level of costs required for ongoing operations. Cash investments are required to fund activity necessary to offset the inherent declines in production and proved crude oil and natural gas reserves. Future success in maintaining and growing reserves and production is highly dependent on the success of our drilling program and our ability to add reserves economically. Deterioration in commodity prices also impacts estimated quantities of proved reserves. In the first nine months of 2016, we recognized negative reserve revisions of approximately 12 percent of our year-end 2015 estimated proved reserves as a result of lower prices. If realized prices for the remainder of 2016 approximate commodity future prices as of September 30, 2016, the Company does not expect additional negative revisions for the remainder of the year.</w:t>
      </w:r>
    </w:p>
    <w:p>
      <w:pPr>
        <w:spacing w:after="0" w:line="16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believe the liquidity and capital resource alternatives available to Apache, combined with proactive measures to adjust our capital budget to reflect lower commodity prices and anticipated operating cash flows, will be adequate to fund short-term and long-term operations, including our capital spending program, repayment of debt maturities, payment of dividends, and any amount that may ultimately be paid in connection with commitments and contingencies.</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For additional information, please see Part I, Items 1 and 2, “Business and Properties,” and Item 1A, “Risk Factors,” in our Annual Report on Form 10-K for the year ended December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sources and uses of our cash and cash equivalents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31115</wp:posOffset>
            </wp:positionV>
            <wp:extent cx="1800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6"/>
        </w:trPr>
        <w:tc>
          <w:tcPr>
            <w:tcW w:w="8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2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Sources of Cash and Cash Equivalents: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continuing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asset divestitures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5,695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8,075</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Uses of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3,675</w:t>
            </w: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and property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by Australia discontinued operations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commercial paper and bank loan repayments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fixed-rate debt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table presents capital expenditures on a cash basis; therefore, the amounts may differ from those discussed elsewhere in this document, which include accruals.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8" w:name="page49"/>
    <w:bookmarkEnd w:id="48"/>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Net Cash Provided by Continuing Operating Activities </w:t>
      </w:r>
      <w:r>
        <w:rPr>
          <w:rFonts w:ascii="Arial" w:cs="Arial" w:eastAsia="Arial" w:hAnsi="Arial"/>
          <w:sz w:val="17"/>
          <w:szCs w:val="17"/>
          <w:color w:val="auto"/>
        </w:rPr>
        <w:t>Operating cash flows are our primary source of capital and liquidity and are impacted, both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short term and the long term, by volatile oil and natural gas prices. The factors that determine operating cash flow are largely the same as those that affect net earnings, with the exception of non-cash expenses such as DD&amp;A, exploratory dry hole expense, asset impairments, asset retirement obligation (ARO) accretion, and deferred income tax expense, which affect earnings but do not affect cash flows.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Net cash provided by continuing operating activities for the first nine months of 2016 totaled $1.6 billion, a decrease of $746 million from the first nine months of 2015. The decrease primarily reflects lower commodity prices.</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For a detailed discussion of commodity prices, production, and expenses, refer to the “Results of Operations” of this Item 2. For additional detail on the changes in operating assets and liabilities and the non-cash expenses that do not impact net cash provided by operating activities, please see the statement of consolidated cash flows in Part I, Item 1, Financial Statements of this Quarterly Report on Form 10-Q.</w:t>
      </w:r>
    </w:p>
    <w:p>
      <w:pPr>
        <w:spacing w:after="0" w:line="16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i w:val="1"/>
          <w:iCs w:val="1"/>
          <w:color w:val="auto"/>
        </w:rPr>
        <w:t xml:space="preserve">Asset Divestitures </w:t>
      </w:r>
      <w:r>
        <w:rPr>
          <w:rFonts w:ascii="Arial" w:cs="Arial" w:eastAsia="Arial" w:hAnsi="Arial"/>
          <w:sz w:val="18"/>
          <w:szCs w:val="18"/>
          <w:color w:val="auto"/>
        </w:rPr>
        <w:t>The Company had proceeds from asset divestitures totaling $74 million and $5.7 billion in the first nine months of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information regarding our acquisitions and divestitures, please see Note 3—Acquisitions and Divestitures.</w:t>
      </w:r>
    </w:p>
    <w:p>
      <w:pPr>
        <w:spacing w:after="0" w:line="17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Worldwide exploration and development (E&amp;D) expenditures for the first nine months of 2016 totaled $1.3 billion,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$3.6 billion for the first nine months of 2015. This reduction is a direct result of our proactive measures to adjust our capital budget to reflect lower commodity prices and operating cash flows. Apache operated an average of 14 drilling rigs during the third quarter of 2016.</w:t>
      </w:r>
    </w:p>
    <w:p>
      <w:pPr>
        <w:spacing w:after="0" w:line="166"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Apache also completed leasehold and property acquisitions totaling $169 million and $254 million during the first nine months of 2016 and 2015, respectively. Our 2016 acquisition investments continue to focus on adding new leasehold positions to our North American onshore portfolio.</w:t>
      </w:r>
    </w:p>
    <w:p>
      <w:pPr>
        <w:spacing w:after="0" w:line="1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Apache’s investment in gas gathering, transmission, and processing facilities totaled $33 million and $113 million in the first nine months of 2016 and 2015, respectively. Expenditures in 2016 primarily comprise investments in infrastructure for the Alpine High play.</w:t>
      </w:r>
    </w:p>
    <w:p>
      <w:pPr>
        <w:spacing w:after="0" w:line="170"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For the nine-month periods ended September 30, 2016 and 2015, the Company paid $284 million and $283 million,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800" w:right="299" w:bottom="1440" w:gutter="0" w:footer="0" w:header="0"/>
        </w:sectPr>
      </w:pPr>
    </w:p>
    <w:bookmarkStart w:id="49" w:name="page50"/>
    <w:bookmarkEnd w:id="49"/>
    <w:p>
      <w:pPr>
        <w:ind w:left="2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40"/>
              <w:spacing w:after="0"/>
              <w:rPr>
                <w:sz w:val="20"/>
                <w:szCs w:val="20"/>
                <w:color w:val="auto"/>
              </w:rPr>
            </w:pPr>
            <w:r>
              <w:rPr>
                <w:rFonts w:ascii="Arial" w:cs="Arial" w:eastAsia="Arial" w:hAnsi="Arial"/>
                <w:sz w:val="18"/>
                <w:szCs w:val="18"/>
                <w:color w:val="auto"/>
                <w:w w:val="90"/>
              </w:rPr>
              <w:t>The following table presents a summary of our key financial indicators at the dates presented:</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635"/>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ind w:right="213"/>
              <w:spacing w:after="0"/>
              <w:rPr>
                <w:sz w:val="20"/>
                <w:szCs w:val="20"/>
                <w:color w:val="auto"/>
              </w:rPr>
            </w:pPr>
            <w:r>
              <w:rPr>
                <w:rFonts w:ascii="Arial" w:cs="Arial" w:eastAsia="Arial" w:hAnsi="Arial"/>
                <w:sz w:val="18"/>
                <w:szCs w:val="18"/>
                <w:b w:val="1"/>
                <w:bCs w:val="1"/>
                <w:color w:val="auto"/>
                <w:w w:val="92"/>
              </w:rPr>
              <w:t>September 30, 2016</w:t>
            </w:r>
          </w:p>
        </w:tc>
        <w:tc>
          <w:tcPr>
            <w:tcW w:w="3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20" w:type="dxa"/>
            <w:vAlign w:val="bottom"/>
            <w:gridSpan w:val="3"/>
          </w:tcPr>
          <w:p>
            <w:pPr>
              <w:jc w:val="right"/>
              <w:ind w:right="163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1"/>
                <w:szCs w:val="21"/>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8,722</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8,717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7,949</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Available committed borrowing capacity</w:t>
            </w:r>
          </w:p>
        </w:tc>
        <w:tc>
          <w:tcPr>
            <w:tcW w:w="200" w:type="dxa"/>
            <w:vAlign w:val="bottom"/>
          </w:tcPr>
          <w:p>
            <w:pPr>
              <w:spacing w:after="0"/>
              <w:rPr>
                <w:sz w:val="21"/>
                <w:szCs w:val="21"/>
                <w:color w:val="auto"/>
              </w:rPr>
            </w:pP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3,500</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3,500</w:t>
            </w:r>
          </w:p>
        </w:tc>
      </w:tr>
    </w:tbl>
    <w:p>
      <w:pPr>
        <w:spacing w:after="0" w:line="229"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had $1.2 billion in cash and cash equivalents as of September 30, 2016, compared to $1.5 billion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At September 30, 2016, approximately $1.0 billion of the cash was held by foreign subsidiaries. The cash held by foreign subsidiaries should not be subject to additional U.S. income taxes if repatriated. The majority of the cash is invested in highly liquid, investment grade securities with maturities of three months or less at the time of purchase.</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As of September 30, 2016, outstanding debt, which consisted of notes and debentures, totaled $8.7 billion. As of September 30, 2016, Apache had</w:t>
      </w:r>
      <w:r>
        <w:rPr>
          <w:rFonts w:ascii="Arial" w:cs="Arial" w:eastAsia="Arial" w:hAnsi="Arial"/>
          <w:sz w:val="18"/>
          <w:szCs w:val="18"/>
          <w:i w:val="1"/>
          <w:iCs w:val="1"/>
          <w:color w:val="auto"/>
        </w:rPr>
        <w:t xml:space="preserve"> </w:t>
      </w:r>
      <w:r>
        <w:rPr>
          <w:rFonts w:ascii="Arial" w:cs="Arial" w:eastAsia="Arial" w:hAnsi="Arial"/>
          <w:sz w:val="18"/>
          <w:szCs w:val="18"/>
          <w:color w:val="auto"/>
        </w:rPr>
        <w:t>$483,000 of notes due March 2017 classified as short-term debt on the consolidated balance sheet.</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 xml:space="preserve">Available committed borrowing capacity </w:t>
      </w:r>
      <w:r>
        <w:rPr>
          <w:rFonts w:ascii="Arial" w:cs="Arial" w:eastAsia="Arial" w:hAnsi="Arial"/>
          <w:sz w:val="18"/>
          <w:szCs w:val="18"/>
          <w:color w:val="auto"/>
        </w:rPr>
        <w:t>In June 2015, the Company entered into a five-year revolving credit facility with $3.5 billion in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rights to increase commitments to $4.5 billion. Proceeds from borrowings may be used for general corporate purposes. Apache’s available borrowing capacity under this facility supports its commercial paper program, currently $3.5 billion. The commercial paper program, which is subject to market availability, facilitates Apache borrowing funds for up to 270 days at competitive interest rates. As of September 30, 2016, the Company had no debt outstanding under commercial paper, committed bank facilities, and uncommitted bank lines.</w:t>
      </w:r>
    </w:p>
    <w:p>
      <w:pPr>
        <w:spacing w:after="0" w:line="18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February 2016, the Company entered into a three-year letter of credit facility providing £900 million in commitments, with options to increase commitments to £1.075 billion and extend the term by one year. The facility is available for letters of credit and loans to cash collateralize letter of credit obligations to the extent letters of credit are unavailable under the facility. The facility’s representations and warranties, covenants, and events of default are substantially similar to those in the Company’s $3.5 billion revolving credit facility. Commissions are payable on outstanding letters of credit and borrowings bear interest (at a base rate or LIBOR), plus a margin. Letter of credit commissions, the interest margin, and the facility fee vary depending on the Company’s senior unsecured long-term debt rating. This facility is available for the Company’s letter of credit needs, particularly those which may arise in respect of abandonment obligations assumed in various North Sea acquisitions. As of September 30, 2016, a letter of credit for approximately £96 million was outstanding under this facility.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was in compliance with the terms of all credit facilities as of September 30,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08" w:right="239" w:bottom="1440" w:gutter="0" w:footer="0" w:header="0"/>
        </w:sectPr>
      </w:pPr>
    </w:p>
    <w:bookmarkStart w:id="50" w:name="page51"/>
    <w:bookmarkEnd w:id="50"/>
    <w:p>
      <w:pPr>
        <w:ind w:right="4160"/>
        <w:spacing w:after="0" w:line="378" w:lineRule="auto"/>
        <w:rPr>
          <w:sz w:val="20"/>
          <w:szCs w:val="20"/>
          <w:color w:val="auto"/>
        </w:rPr>
      </w:pPr>
      <w:r>
        <w:rPr>
          <w:rFonts w:ascii="Arial" w:cs="Arial" w:eastAsia="Arial" w:hAnsi="Arial"/>
          <w:sz w:val="18"/>
          <w:szCs w:val="18"/>
          <w:b w:val="1"/>
          <w:bCs w:val="1"/>
          <w:color w:val="auto"/>
        </w:rPr>
        <w:t xml:space="preserve">ITEM 3 – QUANTITATIVE AND QUALITATIVE DISCLOSURES ABOUT MARKET RISK </w:t>
      </w:r>
      <w:r>
        <w:rPr>
          <w:rFonts w:ascii="Arial" w:cs="Arial" w:eastAsia="Arial" w:hAnsi="Arial"/>
          <w:sz w:val="18"/>
          <w:szCs w:val="18"/>
          <w:b w:val="1"/>
          <w:bCs w:val="1"/>
          <w:u w:val="single" w:color="auto"/>
          <w:color w:val="auto"/>
        </w:rPr>
        <w:t>Commodity Risk</w:t>
      </w:r>
    </w:p>
    <w:p>
      <w:pPr>
        <w:jc w:val="both"/>
        <w:ind w:firstLine="432"/>
        <w:spacing w:after="0" w:line="257" w:lineRule="auto"/>
        <w:rPr>
          <w:sz w:val="20"/>
          <w:szCs w:val="20"/>
          <w:color w:val="auto"/>
        </w:rPr>
      </w:pPr>
      <w:r>
        <w:rPr>
          <w:rFonts w:ascii="Arial" w:cs="Arial" w:eastAsia="Arial" w:hAnsi="Arial"/>
          <w:sz w:val="18"/>
          <w:szCs w:val="18"/>
          <w:color w:val="auto"/>
        </w:rPr>
        <w:t>The Company’s revenues, earnings, cash flow, capital investments and, ultimately, future rate of growth are highly dependent on the prices we receive for our crude oil, natural gas, and NGLs, which have historically been very volatile because of unpredictable events such as economic growth or retraction, weather, political climate, and global supply and demand. Our average crude oil realizations have decreased 4 percent to $44.35 per barrel in the third quarter of 2016 from $46.30 per barrel in the comparable period of 2015. Our average natural gas price realizations have decreased 10 percent to $2.59 per Mcf in the third quarter of 2016 from $2.89 per Mcf in the comparable period of 2015.</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periodically enter into derivative positions on a portion of our projected oil and natural gas production through a variety of financial and physical arrangements intended to manage fluctuations in cash flows resulting from changes in commodity prices. Apache periodically uses futures contracts, swaps, and options to mitigate commodity price risk. Apache does not hold or issue derivative instruments for trading purposes. As of September 30, 2016, Apache had no open commodity derivative positions.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Risk</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cash flow stream relating to certain international operations is based on the U.S. dollar equivalent of cash flows measured in foreign currencies. In Canada, oil and gas prices and costs, such as equipment rentals and services, are generally denominated in Canadian dollars but heavily influenced by U.S. markets. Our North Sea production is sold under U.S. dollar contracts, and the majority of costs incurred are paid in British pounds. In Egypt, all oil and gas production is sold under U.S. dollar contracts, and the majority of the costs incurred are denominated in U.S. dollars. Revenue and disbursement transactions denominated in Canadian dollars and British pounds are converted to U.S. dollar equivalents based on average exchange rates during the period.</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 currency gains and losses also arise when monetary assets and monetary liabilities denominated in foreign currencies are translated at the end of each month. Currency gains and losses are included as either a component of “Other” under “Revenues and Other” or, as is the case when we re-measure our foreign tax liabilities, as a component of the Company’s provision for income tax expense on the statement of consolidated operations. A foreign currency net gain or loss of $118 million would result from a 10 percent weakening or strengthening, respectively, in the Canadian dollar and British pound as of September 30,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John J. Christmann IV, the Company’s Chief Executive Officer and President, in his capacity as principal executive officer, and Stephen J. Riney, the Company’s Executive Vice President and Chief Financial Officer, in his capacity as principal financial officer, evaluated the effectiveness of our disclosure controls and procedures as of September 30, 2016, the end of the period covered by this report. Based on that evaluation and as of the date of that evaluation, these officers concluded that the Company’s disclosure controls and procedures were effective, providing effective means to ensure that information we are required to disclose under applicable laws and regulations is recorded, processed, summarized and reported within the time periods specified in the SEC’s rules and forms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periodically review the design and effectiveness of our disclosure controls, including compliance with various laws and regulations that apply to our operations both inside and outside the United States. We make modifications to improve the design and effectiveness of our disclosure controls, and may take other corrective action, if our reviews identify deficiencies or weaknesses in our controls.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quarter ended June 30, 2016, Apache modified certain policies, procedures, and related internal controls that were impacted by the change in accounting principle from the full cost method to the successful efforts method of accounting. There was no other change in our internal controls over financial reporting during the period covered by this Quarterly Report on Form 10-Q that materially affected, or is reasonably likely to materially affect, our internal controls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Please refer to both Part I, Item 3 of the Company’s Annual Report on Form 10-K for the fiscal year ended December 31, 2015 (filed with the SEC on February 26, 2016) and Note 9—Commitments and Contingencies in the notes to the consolidated financial statements set forth in Part I, Item 1 of this Quarterly Report on Form 10-Q, for a description of material 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Please refer to Part I, Item 1A—Risk Factors of the Company’s Annual Report on Form 10-K for the fiscal year ended December 31, 2015, and Part I, Item 3—Quantitative and Qualitative Disclosures About Market Risk of this Quarterly Report on Form 10-Q.</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Apache’s Board of Directors has authorized the purchase of up to 40 million shares of the Company’s common stock. Shares may be purchased either in the open market or through privately negotiated transactions. The Company initiated the buyback program on June 10, 2013, and through December 31, 2015, had repurchased a total of 32.2 million shares at an average price of $88.96 per share. The Company is not obligated to acquire any specific number of shares and has not purchased any additional shares during 2016.</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2" w:right="239" w:bottom="1440" w:gutter="0" w:footer="0" w:header="0"/>
        </w:sectPr>
      </w:pPr>
    </w:p>
    <w:bookmarkStart w:id="52" w:name="page53"/>
    <w:bookmarkEnd w:id="52"/>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5"/>
              </w:rPr>
              <w:t>3.1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6"/>
              </w:rPr>
              <w:t>Restated Certificate of Incorporation of Registrant, dated September 19, 2013, as filed with the Secretary of State of Delaware on</w:t>
            </w: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w w:val="90"/>
              </w:rPr>
              <w:t>September 19, 2013 (incorporated by reference to Exhibit 3.2 to Registrant’s Current Report on Form 8-K filed September 20, 2013, SEC</w:t>
            </w: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rPr>
              <w:t>File No. 001-4300).</w:t>
            </w:r>
          </w:p>
        </w:tc>
      </w:tr>
      <w:tr>
        <w:trPr>
          <w:trHeight w:val="256"/>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5"/>
              </w:rPr>
              <w:t>3.2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2"/>
              </w:rPr>
              <w:t>Certificate of Amendment of Restated Certificate of Incorporation of Registrant, dated May 14, 2015, as filed with the Secretary of State</w:t>
            </w: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w w:val="92"/>
              </w:rPr>
              <w:t>of Delaware on May 14, 2015 (incorporated by reference to Exhibit 3.2 to Registrant’s Current Report on Form 8-K filed May 20, 2015,</w:t>
            </w: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rPr>
              <w:t>SEC File No. 001-4300).</w:t>
            </w:r>
          </w:p>
        </w:tc>
      </w:tr>
      <w:tr>
        <w:trPr>
          <w:trHeight w:val="256"/>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5"/>
              </w:rPr>
              <w:t>3.3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0"/>
              </w:rPr>
              <w:t>Bylaws of Registrant, as amended February 3, 2016 (incorporated by reference to Exhibit 3.1 to Registrant’s Current Report on Form 8-K</w:t>
            </w: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rPr>
              <w:t>filed February 9, 2016, SEC File No. 001-4300).</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Form of Restricted Stock Unit Award Agreement dated September 14, 2016.</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Certification (pursuant to Rule 13a-14(a) or Rule 15d-14(a) of the Exchange Act) by Principal Executive Officer.</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rPr>
              <w:t>*31.2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Certification (pursuant to Rule 13a-14(a) or Rule 15d-14(a) of the Exchange Act) by Principal Financial Officer.</w:t>
            </w:r>
          </w:p>
        </w:tc>
      </w:tr>
      <w:tr>
        <w:trPr>
          <w:trHeight w:val="270"/>
        </w:trPr>
        <w:tc>
          <w:tcPr>
            <w:tcW w:w="90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5"/>
              </w:rPr>
              <w:t>Section 1350 Certification (pursuant to Sarbanes-Oxley Section 906) by Principal Executive Officer and Principal Financial Officer.</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4"/>
              </w:rPr>
              <w:t>*101.INS</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Instance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4"/>
              </w:rPr>
              <w:t>*101.SCH</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Taxonomy Schema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8"/>
              </w:rPr>
              <w:t>*101.CAL</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Calculation Linkbase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7"/>
              </w:rPr>
              <w:t>*101.DEF</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*101.LAB</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Label Linkbase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*101.PRE</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XBRL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580"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APACHE CORPORATION</w:t>
      </w:r>
    </w:p>
    <w:p>
      <w:pPr>
        <w:spacing w:after="0" w:line="387" w:lineRule="exact"/>
        <w:rPr>
          <w:sz w:val="20"/>
          <w:szCs w:val="20"/>
          <w:color w:val="auto"/>
        </w:rPr>
      </w:pPr>
    </w:p>
    <w:p>
      <w:pPr>
        <w:ind w:left="40"/>
        <w:spacing w:after="0"/>
        <w:tabs>
          <w:tab w:leader="none" w:pos="820" w:val="left"/>
          <w:tab w:leader="none" w:pos="6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3, 2016</w:t>
      </w:r>
      <w:r>
        <w:rPr>
          <w:sz w:val="20"/>
          <w:szCs w:val="20"/>
          <w:color w:val="auto"/>
        </w:rPr>
        <w:tab/>
      </w:r>
      <w:r>
        <w:rPr>
          <w:rFonts w:ascii="Arial" w:cs="Arial" w:eastAsia="Arial" w:hAnsi="Arial"/>
          <w:sz w:val="16"/>
          <w:szCs w:val="16"/>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J. Riney</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820" w:val="left"/>
          <w:tab w:leader="none" w:pos="6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3, 2016</w:t>
      </w:r>
      <w:r>
        <w:rPr>
          <w:sz w:val="20"/>
          <w:szCs w:val="20"/>
          <w:color w:val="auto"/>
        </w:rPr>
        <w:tab/>
      </w:r>
      <w:r>
        <w:rPr>
          <w:rFonts w:ascii="Arial" w:cs="Arial" w:eastAsia="Arial" w:hAnsi="Arial"/>
          <w:sz w:val="17"/>
          <w:szCs w:val="17"/>
          <w:color w:val="auto"/>
        </w:rPr>
        <w:t>/s/ REBECCA A. HOYT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Rebecca A. Hoyt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 Chief Accounting Officer, and</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Controller</w:t>
      </w:r>
    </w:p>
    <w:p>
      <w:pPr>
        <w:spacing w:after="0" w:line="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SCHEDULE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Apache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Recipient Name:</w:t>
      </w:r>
    </w:p>
    <w:p>
      <w:pPr>
        <w:spacing w:after="0" w:line="233"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2"/>
          <w:szCs w:val="22"/>
          <w:color w:val="auto"/>
        </w:rPr>
        <w:t>Apache Corporation</w:t>
      </w:r>
    </w:p>
    <w:p>
      <w:pPr>
        <w:spacing w:after="0" w:line="233" w:lineRule="exact"/>
        <w:rPr>
          <w:sz w:val="20"/>
          <w:szCs w:val="20"/>
          <w:color w:val="auto"/>
        </w:rPr>
      </w:pPr>
    </w:p>
    <w:p>
      <w:pPr>
        <w:jc w:val="both"/>
        <w:ind w:left="2600" w:hanging="2599"/>
        <w:spacing w:after="0" w:line="263" w:lineRule="auto"/>
        <w:tabs>
          <w:tab w:leader="none" w:pos="2580" w:val="left"/>
        </w:tabs>
        <w:rPr>
          <w:sz w:val="20"/>
          <w:szCs w:val="20"/>
          <w:color w:val="auto"/>
        </w:rPr>
      </w:pPr>
      <w:r>
        <w:rPr>
          <w:rFonts w:ascii="Arial" w:cs="Arial" w:eastAsia="Arial" w:hAnsi="Arial"/>
          <w:sz w:val="21"/>
          <w:szCs w:val="21"/>
          <w:b w:val="1"/>
          <w:bCs w:val="1"/>
          <w:color w:val="auto"/>
        </w:rPr>
        <w:t>Notice:</w:t>
      </w:r>
      <w:r>
        <w:rPr>
          <w:sz w:val="20"/>
          <w:szCs w:val="20"/>
          <w:color w:val="auto"/>
        </w:rPr>
        <w:tab/>
      </w:r>
      <w:r>
        <w:rPr>
          <w:rFonts w:ascii="Arial" w:cs="Arial" w:eastAsia="Arial" w:hAnsi="Arial"/>
          <w:sz w:val="21"/>
          <w:szCs w:val="21"/>
          <w:color w:val="auto"/>
        </w:rPr>
        <w:t>A summary of the terms of your grant of Restricted Stock Units (“RSUs”) is set out in this notice (the “Grant Notice”) but subject always to the terms of the Apache Corporation 2016 Omnibus Compensation Plan (the “Plan”) and the Restricted Stock Unit Award Agreement (the “Agreement”). In the event of any inconsistency between the terms of this Grant Notice, the terms of the Plan and the Agreement, the terms of the Plan and the Agreement shall prevail.</w:t>
      </w:r>
    </w:p>
    <w:p>
      <w:pPr>
        <w:spacing w:after="0" w:line="182" w:lineRule="exact"/>
        <w:rPr>
          <w:sz w:val="20"/>
          <w:szCs w:val="20"/>
          <w:color w:val="auto"/>
        </w:rPr>
      </w:pPr>
    </w:p>
    <w:p>
      <w:pPr>
        <w:ind w:left="2600" w:right="20"/>
        <w:spacing w:after="0" w:line="263" w:lineRule="auto"/>
        <w:rPr>
          <w:sz w:val="20"/>
          <w:szCs w:val="20"/>
          <w:color w:val="auto"/>
        </w:rPr>
      </w:pPr>
      <w:r>
        <w:rPr>
          <w:rFonts w:ascii="Arial" w:cs="Arial" w:eastAsia="Arial" w:hAnsi="Arial"/>
          <w:sz w:val="22"/>
          <w:szCs w:val="22"/>
          <w:color w:val="auto"/>
        </w:rPr>
        <w:t>You have been awarded a grant of Apache Corporation RSUs in accordance with the terms of the Plan and the Agreement.</w:t>
      </w:r>
    </w:p>
    <w:p>
      <w:pPr>
        <w:spacing w:after="0" w:line="175" w:lineRule="exact"/>
        <w:rPr>
          <w:sz w:val="20"/>
          <w:szCs w:val="20"/>
          <w:color w:val="auto"/>
        </w:rPr>
      </w:pPr>
    </w:p>
    <w:p>
      <w:pPr>
        <w:ind w:left="2600"/>
        <w:spacing w:after="0" w:line="263" w:lineRule="auto"/>
        <w:rPr>
          <w:sz w:val="20"/>
          <w:szCs w:val="20"/>
          <w:color w:val="auto"/>
        </w:rPr>
      </w:pPr>
      <w:r>
        <w:rPr>
          <w:rFonts w:ascii="Arial" w:cs="Arial" w:eastAsia="Arial" w:hAnsi="Arial"/>
          <w:sz w:val="22"/>
          <w:szCs w:val="22"/>
          <w:color w:val="auto"/>
        </w:rPr>
        <w:t>Details of the RSUs which you are entitled to receive is provided to you in this Grant Notice and maintained on your account at netbenefits.fidelity.com</w:t>
      </w:r>
    </w:p>
    <w:p>
      <w:pPr>
        <w:sectPr>
          <w:pgSz w:w="11900" w:h="16838" w:orient="portrait"/>
          <w:cols w:equalWidth="0" w:num="1">
            <w:col w:w="11420"/>
          </w:cols>
          <w:pgMar w:left="240" w:top="585" w:right="2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Type of Award: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Restricted Stock Unit(s)</w:t>
      </w:r>
    </w:p>
    <w:p>
      <w:pPr>
        <w:spacing w:after="0" w:line="200" w:lineRule="exact"/>
        <w:rPr>
          <w:sz w:val="20"/>
          <w:szCs w:val="20"/>
          <w:color w:val="auto"/>
        </w:rPr>
      </w:pPr>
    </w:p>
    <w:p>
      <w:pPr>
        <w:sectPr>
          <w:pgSz w:w="11900" w:h="16838" w:orient="portrait"/>
          <w:cols w:equalWidth="0" w:num="2">
            <w:col w:w="1880" w:space="720"/>
            <w:col w:w="8820"/>
          </w:cols>
          <w:pgMar w:left="240" w:top="58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 Restricted Stock Unit (“RSU”) as defined in the Plan and meaning the right granted to the Recipient to receive one share of Stock for each RSU at the end of the specified Vesting Period.</w:t>
      </w:r>
    </w:p>
    <w:p>
      <w:pPr>
        <w:spacing w:after="0" w:line="99" w:lineRule="exact"/>
        <w:rPr>
          <w:sz w:val="20"/>
          <w:szCs w:val="20"/>
          <w:color w:val="auto"/>
        </w:rPr>
      </w:pPr>
    </w:p>
    <w:p>
      <w:pPr>
        <w:sectPr>
          <w:pgSz w:w="11900" w:h="16838" w:orient="portrait"/>
          <w:cols w:equalWidth="0" w:num="2">
            <w:col w:w="2060" w:space="540"/>
            <w:col w:w="8820"/>
          </w:cols>
          <w:pgMar w:left="240" w:top="585"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$0.625 par value common stock of the Company or as otherwise defined in the Plan.</w:t>
      </w:r>
    </w:p>
    <w:p>
      <w:pPr>
        <w:spacing w:after="0" w:line="200" w:lineRule="exact"/>
        <w:rPr>
          <w:sz w:val="20"/>
          <w:szCs w:val="20"/>
          <w:color w:val="auto"/>
        </w:rPr>
      </w:pPr>
    </w:p>
    <w:p>
      <w:pPr>
        <w:sectPr>
          <w:pgSz w:w="11900" w:h="16838" w:orient="portrait"/>
          <w:cols w:equalWidth="0" w:num="2">
            <w:col w:w="1880" w:space="720"/>
            <w:col w:w="8820"/>
          </w:cols>
          <w:pgMar w:left="240" w:top="58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A Grant related to ________ Restricted Stock Units</w:t>
      </w:r>
    </w:p>
    <w:p>
      <w:pPr>
        <w:spacing w:after="0" w:line="216" w:lineRule="exact"/>
        <w:rPr>
          <w:sz w:val="20"/>
          <w:szCs w:val="20"/>
          <w:color w:val="auto"/>
        </w:rPr>
      </w:pPr>
    </w:p>
    <w:p>
      <w:pPr>
        <w:sectPr>
          <w:pgSz w:w="11900" w:h="16838" w:orient="portrait"/>
          <w:cols w:equalWidth="0" w:num="2">
            <w:col w:w="1880" w:space="720"/>
            <w:col w:w="8820"/>
          </w:cols>
          <w:pgMar w:left="240" w:top="585"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09/14/16</w:t>
      </w:r>
    </w:p>
    <w:p>
      <w:pPr>
        <w:spacing w:after="0" w:line="200" w:lineRule="exact"/>
        <w:rPr>
          <w:sz w:val="20"/>
          <w:szCs w:val="20"/>
          <w:color w:val="auto"/>
        </w:rPr>
      </w:pPr>
    </w:p>
    <w:p>
      <w:pPr>
        <w:sectPr>
          <w:pgSz w:w="11900" w:h="16838" w:orient="portrait"/>
          <w:cols w:equalWidth="0" w:num="2">
            <w:col w:w="1140" w:space="540"/>
            <w:col w:w="9740"/>
          </w:cols>
          <w:pgMar w:left="240" w:top="585"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Conditions: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The Recipient may elect, at the time of the grant, to have his or her RSUs deferred into the Deferred Delivery Plan (the "DDP") when the RSUs vest, in which case the Recipient will receive the value of</w:t>
      </w:r>
    </w:p>
    <w:p>
      <w:pPr>
        <w:spacing w:after="0" w:line="200" w:lineRule="exact"/>
        <w:rPr>
          <w:sz w:val="20"/>
          <w:szCs w:val="20"/>
          <w:color w:val="auto"/>
        </w:rPr>
      </w:pPr>
    </w:p>
    <w:p>
      <w:pPr>
        <w:sectPr>
          <w:pgSz w:w="11900" w:h="16838" w:orient="portrait"/>
          <w:cols w:equalWidth="0" w:num="2">
            <w:col w:w="1880" w:space="720"/>
            <w:col w:w="8820"/>
          </w:cols>
          <w:pgMar w:left="240" w:top="585" w:right="23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5" w:right="239" w:bottom="1440" w:gutter="0" w:footer="0" w:header="0"/>
          <w:type w:val="continuous"/>
        </w:sectPr>
      </w:pPr>
    </w:p>
    <w:bookmarkStart w:id="55" w:name="page56"/>
    <w:bookmarkEnd w:id="55"/>
    <w:p>
      <w:pPr>
        <w:jc w:val="both"/>
        <w:ind w:left="1400"/>
        <w:spacing w:after="0" w:line="253" w:lineRule="auto"/>
        <w:rPr>
          <w:sz w:val="20"/>
          <w:szCs w:val="20"/>
          <w:color w:val="auto"/>
        </w:rPr>
      </w:pPr>
      <w:r>
        <w:rPr>
          <w:rFonts w:ascii="Arial" w:cs="Arial" w:eastAsia="Arial" w:hAnsi="Arial"/>
          <w:sz w:val="22"/>
          <w:szCs w:val="22"/>
          <w:color w:val="auto"/>
        </w:rPr>
        <w:t>the RSUs at the times specified pursuant to the DDP. For RSUs that are not deferred, once the RSU vests, the Recipient shall be paid the value of his or her RSUs in shares of Stock (net of shares withheld for applicable tax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591" w:right="239" w:bottom="1440" w:gutter="0" w:footer="0" w:header="0"/>
        </w:sectPr>
      </w:pPr>
    </w:p>
    <w:bookmarkStart w:id="56" w:name="page57"/>
    <w:bookmarkEnd w:id="56"/>
    <w:p>
      <w:pPr>
        <w:jc w:val="both"/>
        <w:ind w:left="2600" w:hanging="2592"/>
        <w:spacing w:after="0" w:line="253" w:lineRule="auto"/>
        <w:tabs>
          <w:tab w:leader="none" w:pos="2580" w:val="left"/>
        </w:tabs>
        <w:rPr>
          <w:sz w:val="20"/>
          <w:szCs w:val="20"/>
          <w:color w:val="auto"/>
        </w:rPr>
      </w:pPr>
      <w:r>
        <w:rPr>
          <w:rFonts w:ascii="Arial" w:cs="Arial" w:eastAsia="Arial" w:hAnsi="Arial"/>
          <w:sz w:val="22"/>
          <w:szCs w:val="22"/>
          <w:b w:val="1"/>
          <w:bCs w:val="1"/>
          <w:color w:val="auto"/>
        </w:rPr>
        <w:t>Vesting Period:</w:t>
      </w:r>
      <w:r>
        <w:rPr>
          <w:sz w:val="20"/>
          <w:szCs w:val="20"/>
          <w:color w:val="auto"/>
        </w:rPr>
        <w:tab/>
      </w:r>
      <w:r>
        <w:rPr>
          <w:rFonts w:ascii="Arial" w:cs="Arial" w:eastAsia="Arial" w:hAnsi="Arial"/>
          <w:sz w:val="22"/>
          <w:szCs w:val="22"/>
          <w:color w:val="auto"/>
        </w:rPr>
        <w:t>RSUs granted shall vest (i.e., restrictions shall lapse) in accordance with the following schedule (the "Vesting Period"), provided that the Recipient remains employed as an Eligible Person as of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2600"/>
        <w:spacing w:after="0" w:line="248" w:lineRule="auto"/>
        <w:rPr>
          <w:sz w:val="20"/>
          <w:szCs w:val="20"/>
          <w:color w:val="auto"/>
        </w:rPr>
      </w:pPr>
      <w:r>
        <w:rPr>
          <w:rFonts w:ascii="Arial" w:cs="Arial" w:eastAsia="Arial" w:hAnsi="Arial"/>
          <w:sz w:val="22"/>
          <w:szCs w:val="22"/>
          <w:color w:val="auto"/>
        </w:rPr>
        <w:t>Notwithstanding the foregoing, if the Recipient’s termination of employment from the Company and the Affiliates occurs by reason of his or her Retirement, the Recipient shall be deemed to continue to be employed as an Eligible Person for purposes of this Grant and shall continue to vest over the Vesting Period set forth above provided that the Recipient meets the Retirement Conditions set forth in section 5 of the Agreement.</w:t>
      </w:r>
    </w:p>
    <w:p>
      <w:pPr>
        <w:spacing w:after="0" w:line="192" w:lineRule="exact"/>
        <w:rPr>
          <w:sz w:val="20"/>
          <w:szCs w:val="20"/>
          <w:color w:val="auto"/>
        </w:rPr>
      </w:pPr>
    </w:p>
    <w:p>
      <w:pPr>
        <w:jc w:val="both"/>
        <w:ind w:left="2600"/>
        <w:spacing w:after="0" w:line="248" w:lineRule="auto"/>
        <w:rPr>
          <w:sz w:val="20"/>
          <w:szCs w:val="20"/>
          <w:color w:val="auto"/>
        </w:rPr>
      </w:pPr>
      <w:r>
        <w:rPr>
          <w:rFonts w:ascii="Arial" w:cs="Arial" w:eastAsia="Arial" w:hAnsi="Arial"/>
          <w:sz w:val="22"/>
          <w:szCs w:val="22"/>
          <w:color w:val="auto"/>
        </w:rPr>
        <w:t>Upon vesting (other than upon death or Disability), the applicable shares of Stock, subject to required tax withholding, shall be transferred by the Company to the Recipient within thirty (30) days of the vesting date, unless the Recipient had elected to defer such RSUs into the DDP, in which case the RSUs shall be transferred to the DDP on the vesting date and paid out according to the provisions of the DDP.</w:t>
      </w:r>
    </w:p>
    <w:p>
      <w:pPr>
        <w:spacing w:after="0" w:line="192" w:lineRule="exact"/>
        <w:rPr>
          <w:sz w:val="20"/>
          <w:szCs w:val="20"/>
          <w:color w:val="auto"/>
        </w:rPr>
      </w:pPr>
    </w:p>
    <w:p>
      <w:pPr>
        <w:jc w:val="both"/>
        <w:ind w:left="2600"/>
        <w:spacing w:after="0" w:line="294" w:lineRule="auto"/>
        <w:rPr>
          <w:sz w:val="20"/>
          <w:szCs w:val="20"/>
          <w:color w:val="auto"/>
        </w:rPr>
      </w:pPr>
      <w:r>
        <w:rPr>
          <w:rFonts w:ascii="Arial" w:cs="Arial" w:eastAsia="Arial" w:hAnsi="Arial"/>
          <w:sz w:val="19"/>
          <w:szCs w:val="19"/>
          <w:color w:val="auto"/>
        </w:rPr>
        <w:t>Vesting is accelerated to 100% upon the Recipient’s death or Disability while an Eligible Person (or, only in the case of death, while treated as an Eligible Person following Retirement as described above) during the Vesting Period. Upon vesting, the applicable shares of Stock, subject to required tax withholding, shall be transferred by the Company to the Recipient's designated beneficiary, legal representatives, heirs, or legatees, as applicable, in accordance with the terms of the Plan and this Agreement. The Recipient can name a beneficiary on a form approved by the Committee.</w:t>
      </w:r>
    </w:p>
    <w:p>
      <w:pPr>
        <w:spacing w:after="0" w:line="150" w:lineRule="exact"/>
        <w:rPr>
          <w:sz w:val="20"/>
          <w:szCs w:val="20"/>
          <w:color w:val="auto"/>
        </w:rPr>
      </w:pPr>
    </w:p>
    <w:p>
      <w:pPr>
        <w:jc w:val="both"/>
        <w:ind w:left="2600"/>
        <w:spacing w:after="0" w:line="246" w:lineRule="auto"/>
        <w:rPr>
          <w:sz w:val="20"/>
          <w:szCs w:val="20"/>
          <w:color w:val="auto"/>
        </w:rPr>
      </w:pPr>
      <w:r>
        <w:rPr>
          <w:rFonts w:ascii="Arial" w:cs="Arial" w:eastAsia="Arial" w:hAnsi="Arial"/>
          <w:sz w:val="22"/>
          <w:szCs w:val="22"/>
          <w:color w:val="auto"/>
        </w:rPr>
        <w:t>Vesting is accelerated to 100% upon the Recipient’s Involuntary Termination or Voluntary Termination with Cause occurring on or after a 409A Change of Control that occurs during the Vesting Period. With respect to a Recipient who continues to vest following his or her termination due to Retirement, vesting is accelerated to 100% upon a 409A Change of Control that occurs during the Vesting Period and on or after such termination due to Retirement. Upon such vesting, the applicable shares of Stock, subject to required tax withholding, shall be transferred by the Company to the Recipient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57" w:name="page58"/>
    <w:bookmarkEnd w:id="57"/>
    <w:p>
      <w:pPr>
        <w:jc w:val="both"/>
        <w:ind w:left="2600"/>
        <w:spacing w:after="0" w:line="253" w:lineRule="auto"/>
        <w:rPr>
          <w:sz w:val="20"/>
          <w:szCs w:val="20"/>
          <w:color w:val="auto"/>
        </w:rPr>
      </w:pPr>
      <w:r>
        <w:rPr>
          <w:rFonts w:ascii="Arial" w:cs="Arial" w:eastAsia="Arial" w:hAnsi="Arial"/>
          <w:sz w:val="22"/>
          <w:szCs w:val="22"/>
          <w:color w:val="auto"/>
        </w:rPr>
        <w:t>within thirty (30) days of the vesting date, unless the Recipient had elected to defer such RSUs into the DDP, in which case the RSUs shall be transferred to the DDP on the vesting date and paid out according to the provisions of the DDP.</w:t>
      </w:r>
    </w:p>
    <w:p>
      <w:pPr>
        <w:spacing w:after="0" w:line="180" w:lineRule="exact"/>
        <w:rPr>
          <w:sz w:val="20"/>
          <w:szCs w:val="20"/>
          <w:color w:val="auto"/>
        </w:rPr>
      </w:pPr>
    </w:p>
    <w:p>
      <w:pPr>
        <w:jc w:val="both"/>
        <w:ind w:left="2600" w:hanging="2599"/>
        <w:spacing w:after="0" w:line="253" w:lineRule="auto"/>
        <w:tabs>
          <w:tab w:leader="none" w:pos="2580" w:val="left"/>
        </w:tabs>
        <w:rPr>
          <w:sz w:val="20"/>
          <w:szCs w:val="20"/>
          <w:color w:val="auto"/>
        </w:rPr>
      </w:pPr>
      <w:r>
        <w:rPr>
          <w:rFonts w:ascii="Arial" w:cs="Arial" w:eastAsia="Arial" w:hAnsi="Arial"/>
          <w:sz w:val="22"/>
          <w:szCs w:val="22"/>
          <w:b w:val="1"/>
          <w:bCs w:val="1"/>
          <w:color w:val="auto"/>
        </w:rPr>
        <w:t>Withholding:</w:t>
      </w:r>
      <w:r>
        <w:rPr>
          <w:sz w:val="20"/>
          <w:szCs w:val="20"/>
          <w:color w:val="auto"/>
        </w:rPr>
        <w:tab/>
      </w:r>
      <w:r>
        <w:rPr>
          <w:rFonts w:ascii="Arial" w:cs="Arial" w:eastAsia="Arial" w:hAnsi="Arial"/>
          <w:sz w:val="22"/>
          <w:szCs w:val="22"/>
          <w:color w:val="auto"/>
        </w:rPr>
        <w:t>The Company and the Recipient will comply with all federal and state laws and regulations respecting the required withholding, deposit, and payment of any income, employment, or other taxes relating to the Grant.</w:t>
      </w:r>
    </w:p>
    <w:p>
      <w:pPr>
        <w:spacing w:after="0" w:line="186" w:lineRule="exact"/>
        <w:rPr>
          <w:sz w:val="20"/>
          <w:szCs w:val="20"/>
          <w:color w:val="auto"/>
        </w:rPr>
      </w:pPr>
    </w:p>
    <w:p>
      <w:pPr>
        <w:jc w:val="both"/>
        <w:ind w:left="2600" w:hanging="2599"/>
        <w:spacing w:after="0" w:line="247" w:lineRule="auto"/>
        <w:tabs>
          <w:tab w:leader="none" w:pos="2580" w:val="left"/>
        </w:tabs>
        <w:rPr>
          <w:sz w:val="20"/>
          <w:szCs w:val="20"/>
          <w:color w:val="auto"/>
        </w:rPr>
      </w:pPr>
      <w:r>
        <w:rPr>
          <w:rFonts w:ascii="Arial" w:cs="Arial" w:eastAsia="Arial" w:hAnsi="Arial"/>
          <w:sz w:val="22"/>
          <w:szCs w:val="22"/>
          <w:b w:val="1"/>
          <w:bCs w:val="1"/>
          <w:color w:val="auto"/>
        </w:rPr>
        <w:t>Acceptance:</w:t>
      </w:r>
      <w:r>
        <w:rPr>
          <w:sz w:val="20"/>
          <w:szCs w:val="20"/>
          <w:color w:val="auto"/>
        </w:rPr>
        <w:tab/>
      </w:r>
      <w:r>
        <w:rPr>
          <w:rFonts w:ascii="Arial" w:cs="Arial" w:eastAsia="Arial" w:hAnsi="Arial"/>
          <w:sz w:val="22"/>
          <w:szCs w:val="22"/>
          <w:color w:val="auto"/>
        </w:rPr>
        <w:t>Please complete the on-line grant acceptance as promptly as possible to accept or reject your Grant. You can access this through your account at netbenefits.fidelity.com. By accepting your Grant, you will have agreed to the terms and conditions set forth in the Agreement, including, but not limited to, the non-compete and non-disparagement provisions set forth in sections 5 and 6 of the Agreement, and the terms and conditions of the Plan. If you do not accept your Grant you will be unable to receive your RSUs.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Apache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Restricted Stock Unit Award Agreement (the “Agreement”) relating to a grant of Restricted Stock Units (as defined in the definition section of the Apache Corporation 2016 Omnibus Compensation Plan (the “Plan”)) (the “Grant”), dated as of the Grant Date set forth in the Notice of Award under the Agreement attached as Schedule A hereto (the “Grant Notice”), is made between Apache Corporation (together with its Affiliates, the “Company”) and each Recipient. The Grant Notice is included in and made part of this Agreement.</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this Agreement and each Grant Notice, unless the context otherwise requires, words and expressions shall have the meanings given to them in the Plan except as herein defined.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or “</w:t>
      </w:r>
      <w:r>
        <w:rPr>
          <w:rFonts w:ascii="Arial" w:cs="Arial" w:eastAsia="Arial" w:hAnsi="Arial"/>
          <w:sz w:val="22"/>
          <w:szCs w:val="22"/>
          <w:u w:val="single" w:color="auto"/>
          <w:color w:val="auto"/>
        </w:rPr>
        <w:t>Disabled</w:t>
      </w:r>
      <w:r>
        <w:rPr>
          <w:rFonts w:ascii="Arial" w:cs="Arial" w:eastAsia="Arial" w:hAnsi="Arial"/>
          <w:sz w:val="22"/>
          <w:szCs w:val="22"/>
          <w:color w:val="auto"/>
        </w:rPr>
        <w:t>” means the Recipient is unable to engage in any substantial gainful activity by reason of any medically determinable physical or mental impairment which can be expected to result in death or which has lasted or can be expected to last for a continuous period of not less than 12 months. Recipient agrees that a final and binding determination of “Disability” will be made by the Company’s representative under the Company’s group long-term disability plan or any successor thereto or, if there is no such representative and there is a dispute as to the determination of “Disability,” it will be decided in a court of law in Harris County, Texas.</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Notice</w:t>
      </w:r>
      <w:r>
        <w:rPr>
          <w:rFonts w:ascii="Arial" w:cs="Arial" w:eastAsia="Arial" w:hAnsi="Arial"/>
          <w:sz w:val="22"/>
          <w:szCs w:val="22"/>
          <w:color w:val="auto"/>
        </w:rPr>
        <w:t>” means the separate notice given to each Recipient specifying the number of RSUs granted to the Recipient (the “</w:t>
      </w:r>
      <w:r>
        <w:rPr>
          <w:rFonts w:ascii="Arial" w:cs="Arial" w:eastAsia="Arial" w:hAnsi="Arial"/>
          <w:sz w:val="22"/>
          <w:szCs w:val="22"/>
          <w:u w:val="single" w:color="auto"/>
          <w:color w:val="auto"/>
        </w:rPr>
        <w:t>Grant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the fair market value of a share of the Stock as determined by the Committee by the reasonable application of such reasonable valuation method, consistently applied, as the Committee deems appropriate; provided, however, that if the Committee has not made such determination, such fair market value shall be the per share closing price of the Stock as reported on The New York Stock Exchange, Inc. Composite Transactions Reporting System ("Composite Tape") for a particular date or, if the Stock is not so listed on such date, as reported on NASDAQ or on such other exchange or electronic trading system as, on the date in question, reports the largest number of traded shares of stock; provided further, however, that if there are no Stock transactions on such date, the Fair Market Value shall be determined as of the immediately preceding date on which there were Stock transactions.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Termination</w:t>
      </w:r>
      <w:r>
        <w:rPr>
          <w:rFonts w:ascii="Arial" w:cs="Arial" w:eastAsia="Arial" w:hAnsi="Arial"/>
          <w:sz w:val="22"/>
          <w:szCs w:val="22"/>
          <w:color w:val="auto"/>
        </w:rPr>
        <w:t>” means the termination of employment of the Recipient by the Company or its successor for any reason on or after a 409A Change of Control; provided, that the termination does not result from an act of the Recipient that constitutes common-law fraud, a felony, or a gross malfeasance of duty.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Amount</w:t>
      </w:r>
      <w:r>
        <w:rPr>
          <w:rFonts w:ascii="Arial" w:cs="Arial" w:eastAsia="Arial" w:hAnsi="Arial"/>
          <w:sz w:val="22"/>
          <w:szCs w:val="22"/>
          <w:color w:val="auto"/>
        </w:rPr>
        <w:t>" means the vested portion of the Grant expressed as shares of Stock underlying the RSUs.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5" w:right="239" w:bottom="1440" w:gutter="0" w:footer="0" w:header="0"/>
        </w:sectPr>
      </w:pPr>
    </w:p>
    <w:bookmarkStart w:id="59" w:name="page60"/>
    <w:bookmarkEnd w:id="59"/>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an Eligible Person designated by the Committee at the Grant Date to receive one or more Grants under the Plan.</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with respect to a Recipient and for purposes of this Agreement, the date the Recipient terminates employment with the Company after (i) attaining age 65 and (ii) earning at least 15 Years of Service.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Years of Service</w:t>
      </w:r>
      <w:r>
        <w:rPr>
          <w:rFonts w:ascii="Arial" w:cs="Arial" w:eastAsia="Arial" w:hAnsi="Arial"/>
          <w:sz w:val="22"/>
          <w:szCs w:val="22"/>
          <w:color w:val="auto"/>
        </w:rPr>
        <w:t>” means the total number of months from the Recipient’s date of hire by the Company to the date of termination of employment divided by 12.</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Termination with Cause</w:t>
      </w:r>
      <w:r>
        <w:rPr>
          <w:rFonts w:ascii="Arial" w:cs="Arial" w:eastAsia="Arial" w:hAnsi="Arial"/>
          <w:sz w:val="22"/>
          <w:szCs w:val="22"/>
          <w:color w:val="auto"/>
        </w:rPr>
        <w:t>” occurs upon a Recipient’s separation from service of his own volition and one or more of the following conditions occurs without the Recipient’s consent on or after a 409A Change of Control:</w:t>
      </w:r>
    </w:p>
    <w:p>
      <w:pPr>
        <w:spacing w:after="0" w:line="175" w:lineRule="exact"/>
        <w:rPr>
          <w:sz w:val="20"/>
          <w:szCs w:val="20"/>
          <w:color w:val="auto"/>
        </w:rPr>
      </w:pPr>
    </w:p>
    <w:p>
      <w:pPr>
        <w:ind w:left="1960" w:hanging="1304"/>
        <w:spacing w:after="0" w:line="251"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There is a material diminution in the Recipient’s base compensation, compared to his rate of base compensation on the date of the 409A Change of Control.</w:t>
      </w:r>
    </w:p>
    <w:p>
      <w:pPr>
        <w:spacing w:after="0" w:line="2" w:lineRule="exact"/>
        <w:rPr>
          <w:rFonts w:ascii="Arial" w:cs="Arial" w:eastAsia="Arial" w:hAnsi="Arial"/>
          <w:sz w:val="18"/>
          <w:szCs w:val="18"/>
          <w:color w:val="auto"/>
        </w:rPr>
      </w:pPr>
    </w:p>
    <w:p>
      <w:pPr>
        <w:ind w:left="1960" w:hanging="1304"/>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There is a material diminution in the Recipient’s authority, duties or responsibilities.</w:t>
      </w:r>
    </w:p>
    <w:p>
      <w:pPr>
        <w:spacing w:after="0" w:line="3" w:lineRule="exact"/>
        <w:rPr>
          <w:rFonts w:ascii="Arial" w:cs="Arial" w:eastAsia="Arial" w:hAnsi="Arial"/>
          <w:sz w:val="18"/>
          <w:szCs w:val="18"/>
          <w:color w:val="auto"/>
        </w:rPr>
      </w:pPr>
    </w:p>
    <w:p>
      <w:pPr>
        <w:jc w:val="both"/>
        <w:ind w:left="1960" w:hanging="1304"/>
        <w:spacing w:after="0" w:line="243"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There is a material diminution in the authority, duties or responsibilities of the Recipient’s supervisor, such as a requirement that the Recipient (or his supervisor) report to a corporate officer or employee instead of reporting directly to the board of directors.</w:t>
      </w:r>
    </w:p>
    <w:p>
      <w:pPr>
        <w:spacing w:after="0" w:line="1" w:lineRule="exact"/>
        <w:rPr>
          <w:rFonts w:ascii="Arial" w:cs="Arial" w:eastAsia="Arial" w:hAnsi="Arial"/>
          <w:sz w:val="18"/>
          <w:szCs w:val="18"/>
          <w:color w:val="auto"/>
        </w:rPr>
      </w:pPr>
    </w:p>
    <w:p>
      <w:pPr>
        <w:ind w:left="1960" w:hanging="1304"/>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There is a material diminution in the budget over which the Recipient retains authority.</w:t>
      </w:r>
    </w:p>
    <w:p>
      <w:pPr>
        <w:spacing w:after="0" w:line="3" w:lineRule="exact"/>
        <w:rPr>
          <w:rFonts w:ascii="Arial" w:cs="Arial" w:eastAsia="Arial" w:hAnsi="Arial"/>
          <w:sz w:val="18"/>
          <w:szCs w:val="18"/>
          <w:color w:val="auto"/>
        </w:rPr>
      </w:pPr>
    </w:p>
    <w:p>
      <w:pPr>
        <w:jc w:val="both"/>
        <w:ind w:left="1960" w:hanging="1304"/>
        <w:spacing w:after="0" w:line="245"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22"/>
          <w:szCs w:val="22"/>
          <w:color w:val="auto"/>
        </w:rPr>
        <w:t>There is a material change in the geographic location at which the Recipient must perform his service, including, for example the assignment of the Recipient to a regular workplace that is more than 50 miles from his regular workplace on the date of the 409A Change of Control.</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Recipient must notify the Company of the existence of one or more adverse conditions specified in clauses (a) through</w:t>
      </w:r>
    </w:p>
    <w:p>
      <w:pPr>
        <w:spacing w:after="0" w:line="56" w:lineRule="exact"/>
        <w:rPr>
          <w:sz w:val="20"/>
          <w:szCs w:val="20"/>
          <w:color w:val="auto"/>
        </w:rPr>
      </w:pPr>
    </w:p>
    <w:p>
      <w:pPr>
        <w:jc w:val="both"/>
        <w:ind w:left="660" w:hanging="4"/>
        <w:spacing w:after="0" w:line="257" w:lineRule="auto"/>
        <w:tabs>
          <w:tab w:leader="none" w:pos="958" w:val="left"/>
        </w:tabs>
        <w:numPr>
          <w:ilvl w:val="0"/>
          <w:numId w:val="26"/>
        </w:numPr>
        <w:rPr>
          <w:rFonts w:ascii="Arial" w:cs="Arial" w:eastAsia="Arial" w:hAnsi="Arial"/>
          <w:sz w:val="21"/>
          <w:szCs w:val="21"/>
          <w:color w:val="auto"/>
        </w:rPr>
      </w:pPr>
      <w:r>
        <w:rPr>
          <w:rFonts w:ascii="Arial" w:cs="Arial" w:eastAsia="Arial" w:hAnsi="Arial"/>
          <w:sz w:val="21"/>
          <w:szCs w:val="21"/>
          <w:color w:val="auto"/>
        </w:rPr>
        <w:t>above within 90 days of the initial existence of the adverse condition. The notice must be provided in writing to Apache Corporation’s Executive Vice President, Human Resources, or his or her delegate. The notice may be provided by personal delivery or it may be sent by email, inter-office mail, regular mail (whether or not certified), fax, or any similar method. Apache Corporation’s Executive Vice President, Human Resources, or his or her delegate shall acknowledge receipt of the notice within 5 business days; the acknowledgement shall be sent to the Recipient by certified mail. Notwithstanding the foregoing provisions of this definition, if the Company remedies the adverse condition within 30 days of being notified of the adverse condition, no Voluntary Termination with Cause shall occur.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u w:val="single" w:color="auto"/>
          <w:color w:val="auto"/>
        </w:rPr>
        <w:t>Terms</w:t>
      </w:r>
    </w:p>
    <w:p>
      <w:pPr>
        <w:spacing w:after="0" w:line="226" w:lineRule="exact"/>
        <w:rPr>
          <w:sz w:val="20"/>
          <w:szCs w:val="20"/>
          <w:color w:val="auto"/>
        </w:rPr>
      </w:pPr>
    </w:p>
    <w:p>
      <w:pPr>
        <w:jc w:val="both"/>
        <w:ind w:firstLine="656"/>
        <w:spacing w:after="0" w:line="251" w:lineRule="auto"/>
        <w:tabs>
          <w:tab w:leader="none" w:pos="111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Grant of RSUs</w:t>
      </w:r>
      <w:r>
        <w:rPr>
          <w:rFonts w:ascii="Arial" w:cs="Arial" w:eastAsia="Arial" w:hAnsi="Arial"/>
          <w:sz w:val="22"/>
          <w:szCs w:val="22"/>
          <w:color w:val="auto"/>
        </w:rPr>
        <w:t>. Subject to the provisions of this Agreement and the provisions of the Plan and Grant Notice, the Company shall grant to the Recipient, pursuant to the Plan, a right to receive the number of RSUs set forth in the Recipient’s Grant Notice. The Grant shall give the Recipient the right, upon vesting, to an equal number of shares of $0.625 par value common stock of the Company (“Stock”). At the time of the Grant, the Recipient may elect to defer all or any portion of the RSUs in the Deferred Delivery Plan (the “DDP”).</w:t>
      </w:r>
    </w:p>
    <w:p>
      <w:pPr>
        <w:spacing w:after="0" w:line="189" w:lineRule="exact"/>
        <w:rPr>
          <w:rFonts w:ascii="Arial" w:cs="Arial" w:eastAsia="Arial" w:hAnsi="Arial"/>
          <w:sz w:val="22"/>
          <w:szCs w:val="22"/>
          <w:color w:val="auto"/>
        </w:rPr>
      </w:pPr>
    </w:p>
    <w:p>
      <w:pPr>
        <w:jc w:val="both"/>
        <w:ind w:firstLine="656"/>
        <w:spacing w:after="0" w:line="294" w:lineRule="auto"/>
        <w:tabs>
          <w:tab w:leader="none" w:pos="109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Vesting and Payment of Stock</w:t>
      </w:r>
      <w:r>
        <w:rPr>
          <w:rFonts w:ascii="Arial" w:cs="Arial" w:eastAsia="Arial" w:hAnsi="Arial"/>
          <w:sz w:val="19"/>
          <w:szCs w:val="19"/>
          <w:color w:val="auto"/>
        </w:rPr>
        <w:t>. Subject to the provisions of sections 3 and 4 of this Agreement, the entitlement to receive the number of shares of Stock pursuant to the RSUs comprising the Grant Amount shall vest in accordance with the schedule set forth in the Grant Notice (the "Vesting Period"); provided that the Recipient remains employed as an Eligible Person on such applicable vesting dates. Unless the Recipient elected to defer the RSU into the DDP, such Stock, subject to applicable withholding, shall be transferred by the Company to the Recipient within thirty (30) days of the vesting date (other than upon death or Disability). To the extent that the Recipient elected to defer the RSUs into the DDP and sections 3 and 4 do not apply, when the RSUs vest, they shall be transferred to the DDP and paid thereafter to the Recipient as specified under the terms of the DDP.</w:t>
      </w:r>
    </w:p>
    <w:p>
      <w:pPr>
        <w:spacing w:after="0" w:line="152" w:lineRule="exact"/>
        <w:rPr>
          <w:rFonts w:ascii="Arial" w:cs="Arial" w:eastAsia="Arial" w:hAnsi="Arial"/>
          <w:sz w:val="19"/>
          <w:szCs w:val="19"/>
          <w:color w:val="auto"/>
        </w:rPr>
      </w:pPr>
    </w:p>
    <w:p>
      <w:pPr>
        <w:jc w:val="both"/>
        <w:ind w:firstLine="656"/>
        <w:spacing w:after="0" w:line="260" w:lineRule="auto"/>
        <w:tabs>
          <w:tab w:leader="none" w:pos="100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Retirement, Death, or Disability</w:t>
      </w:r>
      <w:r>
        <w:rPr>
          <w:rFonts w:ascii="Arial" w:cs="Arial" w:eastAsia="Arial" w:hAnsi="Arial"/>
          <w:sz w:val="22"/>
          <w:szCs w:val="22"/>
          <w:color w:val="auto"/>
        </w:rPr>
        <w:t>. Except as set forth below in this section 3 and in section 4 of this Agreement, each Grant shall be subject to the condition that the Recipient has remained an Eligible Person from the award of the Grant of RSUs until the applicable vesting date as follows:</w:t>
      </w:r>
    </w:p>
    <w:p>
      <w:pPr>
        <w:spacing w:after="0" w:line="177" w:lineRule="exact"/>
        <w:rPr>
          <w:sz w:val="20"/>
          <w:szCs w:val="20"/>
          <w:color w:val="auto"/>
        </w:rPr>
      </w:pPr>
    </w:p>
    <w:p>
      <w:pPr>
        <w:jc w:val="both"/>
        <w:ind w:firstLine="656"/>
        <w:spacing w:after="0" w:line="278" w:lineRule="auto"/>
        <w:tabs>
          <w:tab w:leader="none" w:pos="1149" w:val="left"/>
        </w:tabs>
        <w:numPr>
          <w:ilvl w:val="1"/>
          <w:numId w:val="28"/>
        </w:numPr>
        <w:rPr>
          <w:rFonts w:ascii="Arial" w:cs="Arial" w:eastAsia="Arial" w:hAnsi="Arial"/>
          <w:sz w:val="21"/>
          <w:szCs w:val="21"/>
          <w:color w:val="auto"/>
        </w:rPr>
      </w:pPr>
      <w:r>
        <w:rPr>
          <w:rFonts w:ascii="Arial" w:cs="Arial" w:eastAsia="Arial" w:hAnsi="Arial"/>
          <w:sz w:val="21"/>
          <w:szCs w:val="21"/>
          <w:color w:val="auto"/>
        </w:rPr>
        <w:t>If the Recipient voluntarily leaves the employment of the Company (other than for reason of Retirement), or if the employment of the Recipient is terminated by the Company for any reason or no reason, any RSUs granted to the Recipient pursuant to the Grant Notice not previously vested shall thereafter be void and forfeited for all purposes.</w:t>
      </w:r>
    </w:p>
    <w:p>
      <w:pPr>
        <w:spacing w:after="0" w:line="160" w:lineRule="exact"/>
        <w:rPr>
          <w:rFonts w:ascii="Arial" w:cs="Arial" w:eastAsia="Arial" w:hAnsi="Arial"/>
          <w:sz w:val="21"/>
          <w:szCs w:val="21"/>
          <w:color w:val="auto"/>
        </w:rPr>
      </w:pPr>
    </w:p>
    <w:p>
      <w:pPr>
        <w:jc w:val="both"/>
        <w:ind w:firstLine="656"/>
        <w:spacing w:after="0" w:line="251" w:lineRule="auto"/>
        <w:tabs>
          <w:tab w:leader="none" w:pos="1121" w:val="left"/>
        </w:tabs>
        <w:numPr>
          <w:ilvl w:val="1"/>
          <w:numId w:val="28"/>
        </w:numPr>
        <w:rPr>
          <w:rFonts w:ascii="Arial" w:cs="Arial" w:eastAsia="Arial" w:hAnsi="Arial"/>
          <w:sz w:val="22"/>
          <w:szCs w:val="22"/>
          <w:color w:val="auto"/>
        </w:rPr>
      </w:pPr>
      <w:r>
        <w:rPr>
          <w:rFonts w:ascii="Arial" w:cs="Arial" w:eastAsia="Arial" w:hAnsi="Arial"/>
          <w:sz w:val="22"/>
          <w:szCs w:val="22"/>
          <w:color w:val="auto"/>
        </w:rPr>
        <w:t>If the Recipient leaves the employment of the Company by reason of Retirement, any RSUs granted to the Recipient pursuant to the Grant Notice not previously vested shall continue to vest following the Recipient’s termination of employment by reason of Retirement as if the Recipient remained an Eligible Person in the employ of the Company, provided that such Recipient shall be entitled to continue vesting only if such Recipient satisfies the Retirement Conditions set forth in section 5 below (except in the case of death).</w:t>
      </w:r>
    </w:p>
    <w:p>
      <w:pPr>
        <w:spacing w:after="0" w:line="189" w:lineRule="exact"/>
        <w:rPr>
          <w:rFonts w:ascii="Arial" w:cs="Arial" w:eastAsia="Arial" w:hAnsi="Arial"/>
          <w:sz w:val="22"/>
          <w:szCs w:val="22"/>
          <w:color w:val="auto"/>
        </w:rPr>
      </w:pPr>
    </w:p>
    <w:p>
      <w:pPr>
        <w:jc w:val="both"/>
        <w:ind w:firstLine="656"/>
        <w:spacing w:after="0" w:line="288" w:lineRule="auto"/>
        <w:tabs>
          <w:tab w:leader="none" w:pos="1190"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Recipient shall become 100% vested in all RSUs under the Grant Notice on the date the Recipient dies while employed by the Company, or on the date the Recipient is no longer employed by the Company by reason of Disability, or, only in the case of death, while continuing to vest pursuant to section 3(b) of this Agreement. Payment shall be made as soon as administratively practicable, but in no event (i) in the case of death, shall the payment occur later than the last day of the calendar year following the calendar year in which such death occurs or (ii) in the case of Disability, shall the payment occur later than thirty</w:t>
      </w:r>
    </w:p>
    <w:p>
      <w:pPr>
        <w:spacing w:after="0" w:line="3" w:lineRule="exact"/>
        <w:rPr>
          <w:rFonts w:ascii="Arial" w:cs="Arial" w:eastAsia="Arial" w:hAnsi="Arial"/>
          <w:sz w:val="19"/>
          <w:szCs w:val="19"/>
          <w:color w:val="auto"/>
        </w:rPr>
      </w:pPr>
    </w:p>
    <w:p>
      <w:pPr>
        <w:ind w:firstLine="8"/>
        <w:spacing w:after="0" w:line="270" w:lineRule="auto"/>
        <w:tabs>
          <w:tab w:leader="none" w:pos="415" w:val="left"/>
        </w:tabs>
        <w:numPr>
          <w:ilvl w:val="0"/>
          <w:numId w:val="29"/>
        </w:numPr>
        <w:rPr>
          <w:rFonts w:ascii="Arial" w:cs="Arial" w:eastAsia="Arial" w:hAnsi="Arial"/>
          <w:sz w:val="21"/>
          <w:szCs w:val="21"/>
          <w:color w:val="auto"/>
        </w:rPr>
      </w:pPr>
      <w:r>
        <w:rPr>
          <w:rFonts w:ascii="Arial" w:cs="Arial" w:eastAsia="Arial" w:hAnsi="Arial"/>
          <w:sz w:val="21"/>
          <w:szCs w:val="21"/>
          <w:color w:val="auto"/>
        </w:rPr>
        <w:t>days following the date the Recipient is determined to be Disabled and is no longer employed by the Company. If clause (ii) is applicable and the period from the date on which the Recipient is determined to be Disabled and is no longer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5" w:right="2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2"/>
          <w:szCs w:val="22"/>
          <w:color w:val="auto"/>
        </w:rPr>
        <w:t>employed by the Company to the date under clause (ii) spans two consecutive calendar years, payment shall be made in the second calendar year of such consecutive calendar years. Such payment shall be made to the Recipient’s designated beneficiary, legal representatives, heirs, or legatees, as applicable. Each Recipient may designate a beneficiary on a form approved by the Committee.</w:t>
      </w:r>
    </w:p>
    <w:p>
      <w:pPr>
        <w:spacing w:after="0" w:line="188" w:lineRule="exact"/>
        <w:rPr>
          <w:sz w:val="20"/>
          <w:szCs w:val="20"/>
          <w:color w:val="auto"/>
        </w:rPr>
      </w:pPr>
    </w:p>
    <w:p>
      <w:pPr>
        <w:jc w:val="both"/>
        <w:ind w:firstLine="656"/>
        <w:spacing w:after="0" w:line="288" w:lineRule="auto"/>
        <w:tabs>
          <w:tab w:leader="none" w:pos="1004"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Pursuant to Section 13.1(d) of the Plan, the following provisions of this section 4 of the Agreement shall supersede Sections 13.1(a), (b) and (c) of the Plan. Without any further action by the Committee or the Board, in the event of a Recipient’s Involuntary Termination or Voluntary Termination with Cause occurring on or after a Change of Control of the Company that constitutes, with respect to the Company, a “change of ownership or effective control of the corporation, or in the ownership of a substantial portion of the assets of the corporation” within the meaning of Section 409A(a)(2)(A)(v) of the Internal Revenue Code of 1986, as amended (the “Code”) and Treasury Regulations Section 1.409A-3(i)(5) (a “409A Change of Control”) during the Vesting Period, the Recipient shall become 100% fully vested in the unvested RSUs granted to the Recipient pursuant to the Grant Notice as of the date of his Involuntary Termination or Voluntary Termination with Cause. Further, in the event of a 409A Change of Control of the Company following the Recipient’s termination of employment by reason of Retirement while the Recipient is continuing to vest in the RSUs pursuant to section 3(b) of this Agreement, the Recipient shall become 100% fully vested in the unvested RSUs granted to the Recipient pursuant to the Grant Notice as of the date of the 409A Change of Control. Subject to section 12(d) of this Agreement, payment shall occur within thirty (30) days following the date of such Involuntary Termination or Voluntary Termination with Cause (or, if the Recipient is continuing to vest pursuant to section 3(b) of this Agreement, the date of the 409A Change of Control).</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656"/>
        <w:spacing w:after="0" w:line="260" w:lineRule="auto"/>
        <w:tabs>
          <w:tab w:leader="none" w:pos="1085"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Conditions to Post-Retirement Vesting</w:t>
      </w:r>
      <w:r>
        <w:rPr>
          <w:rFonts w:ascii="Arial" w:cs="Arial" w:eastAsia="Arial" w:hAnsi="Arial"/>
          <w:sz w:val="22"/>
          <w:szCs w:val="22"/>
          <w:color w:val="auto"/>
        </w:rPr>
        <w:t>. If the Recipient has attained age 65 and has completed at least 15 Years of Service and such Recipient terminates employment with the Company and the Affiliates by reason of Retirement, it is agreed by the Company and the Recipient that:</w:t>
      </w:r>
    </w:p>
    <w:p>
      <w:pPr>
        <w:spacing w:after="0" w:line="177" w:lineRule="exact"/>
        <w:rPr>
          <w:sz w:val="20"/>
          <w:szCs w:val="20"/>
          <w:color w:val="auto"/>
        </w:rPr>
      </w:pPr>
    </w:p>
    <w:p>
      <w:pPr>
        <w:jc w:val="both"/>
        <w:ind w:firstLine="656"/>
        <w:spacing w:after="0" w:line="290" w:lineRule="auto"/>
        <w:tabs>
          <w:tab w:leader="none" w:pos="1136"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subject to the provisions of this section 5(a) and sections 5(b) and 5(c), such Recipient shall continue to vest in the unvested RSUs following the date of his or her termination by reason of Retirement as if the Recipient continued in employment as an Eligible Person provided that the Grant Date of the unvested RSUs is at least three (3) months prior to such termination date and the Recipient has provided not less than three (3) months’ advance written notice prior to such termination date to Apache Corporation’s Executive Vice President, Human Resources, or his or her delegate, and to his or her direct manager, regarding the Recipient's intent to terminate employment for reason of Retirement;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 Recipient who is at least age 65 and has completed at least 15 Years of Service need not provide such three (3) months’ advance written notice of his or her intent to terminate employment by reason of Retirement if the Company elects to require such Recipient to, or (as part of a reduction in force or otherwise in writing in exchange for a written release) offers such Recipient the opportunity to, terminate employment with the Company by reason of Retirement; and it is further agreed that</w:t>
      </w:r>
    </w:p>
    <w:p>
      <w:pPr>
        <w:spacing w:after="0" w:line="155" w:lineRule="exact"/>
        <w:rPr>
          <w:rFonts w:ascii="Arial" w:cs="Arial" w:eastAsia="Arial" w:hAnsi="Arial"/>
          <w:sz w:val="19"/>
          <w:szCs w:val="19"/>
          <w:color w:val="auto"/>
        </w:rPr>
      </w:pPr>
    </w:p>
    <w:p>
      <w:pPr>
        <w:ind w:firstLine="656"/>
        <w:spacing w:after="0" w:line="276" w:lineRule="auto"/>
        <w:tabs>
          <w:tab w:leader="none" w:pos="1202"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consideration for the continued vesting treatment afforded to the Recipient under section 5(a), Recipient shall, during the continuing Vesting Period after Retirement (the "Continued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62" w:name="page63"/>
    <w:bookmarkEnd w:id="62"/>
    <w:p>
      <w:pPr>
        <w:jc w:val="both"/>
        <w:spacing w:after="0" w:line="287" w:lineRule="auto"/>
        <w:rPr>
          <w:sz w:val="20"/>
          <w:szCs w:val="20"/>
          <w:color w:val="auto"/>
        </w:rPr>
      </w:pPr>
      <w:r>
        <w:rPr>
          <w:rFonts w:ascii="Arial" w:cs="Arial" w:eastAsia="Arial" w:hAnsi="Arial"/>
          <w:sz w:val="19"/>
          <w:szCs w:val="19"/>
          <w:color w:val="auto"/>
        </w:rPr>
        <w:t xml:space="preserve">Vesting Period"), refrain from becoming employed by, or consulting with, or becoming substantially involved in the business of, any business that competes with the Company or its Affiliate in the business of exploration or production of oil or natural gas within the geographic area in which the Recipient is working or has worked for the Company or its Affiliate, and/or for which the Recipient is or was responsible, at the time of termination of employment or the immediately preceding three-year period (a "Competitive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Recipient may purchase and hold for investment purposes less than five percent (5%) of the shares of any Competitive Business whose shares are regularly traded on a national securities exchange or inter-dealer quotation system,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Recipient may provide services solely as a director of any Competitive Business whose shares are regularly traded on a national securities exchange or inter-dealer quotation system if, during the Continued Vesting Period, (i) the Recipient only attends board and board committee meetings, votes on recommendations of management, and discharges his/her fiduciary obligations under the law and (ii) the Recipient is not involved in, and does not advise or consult on, the marketing, government relations, customer relations, or the day-to-day management, supervision, or operations of such Competitive Business; and it is further agreed that</w:t>
      </w:r>
    </w:p>
    <w:p>
      <w:pPr>
        <w:spacing w:after="0" w:line="200" w:lineRule="exact"/>
        <w:rPr>
          <w:sz w:val="20"/>
          <w:szCs w:val="20"/>
          <w:color w:val="auto"/>
        </w:rPr>
      </w:pPr>
    </w:p>
    <w:p>
      <w:pPr>
        <w:spacing w:after="0" w:line="221" w:lineRule="exact"/>
        <w:rPr>
          <w:sz w:val="20"/>
          <w:szCs w:val="20"/>
          <w:color w:val="auto"/>
        </w:rPr>
      </w:pPr>
    </w:p>
    <w:p>
      <w:pPr>
        <w:jc w:val="both"/>
        <w:ind w:firstLine="656"/>
        <w:spacing w:after="0" w:line="262" w:lineRule="auto"/>
        <w:tabs>
          <w:tab w:leader="none" w:pos="119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in consideration for the continued vesting treatment afforded to the Recipient under section 5(a), Recipient shall, during the Continued Vesting Period, refrain from making, or causing or assisting any other person to make, any oral or written communication to any third party about the Company, any Affiliate and/or any of the employees, officers or directors of the Company or any Affiliate which impugns or attacks, or is otherwise critical of, the reputation, business or character of such entity or person; or that discloses private or confidential information about their business affairs; or that constitutes an intrusion into their seclusion or private lives; or that gives rise to unreasonable publicity about their private lives; or that places them in a false light before the public; or that constitutes a misappropriation of their name or likeness.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foregoing provisions of this section 5 of the Agreement, in the event that the Recipient fails to satisfy any of the conditions set forth in sections 5(a), (b) and (c) above, the Recipient shall not be entitled to vest in any unvested RSUs after the date of Retirement and the unvested RSUs subject to this Agreement shall be forfeited.</w:t>
      </w:r>
    </w:p>
    <w:p>
      <w:pPr>
        <w:spacing w:after="0" w:line="186" w:lineRule="exact"/>
        <w:rPr>
          <w:sz w:val="20"/>
          <w:szCs w:val="20"/>
          <w:color w:val="auto"/>
        </w:rPr>
      </w:pPr>
    </w:p>
    <w:p>
      <w:pPr>
        <w:jc w:val="both"/>
        <w:ind w:firstLine="656"/>
        <w:spacing w:after="0" w:line="289" w:lineRule="auto"/>
        <w:tabs>
          <w:tab w:leader="none" w:pos="108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Prohibited Activity</w:t>
      </w:r>
      <w:r>
        <w:rPr>
          <w:rFonts w:ascii="Arial" w:cs="Arial" w:eastAsia="Arial" w:hAnsi="Arial"/>
          <w:sz w:val="19"/>
          <w:szCs w:val="19"/>
          <w:color w:val="auto"/>
        </w:rPr>
        <w:t>. In consideration for this Grant and except as permitted under section 5(b) above, the Recipient agrees not to engage in any “Prohibited Activity” while employed by the Company or within three years after the date of the Recipient’s termination of employment. A “Prohibited Activity” will be deemed to have occurred, as determined by the Committee in its sole and absolute discretion, if the Recipient (i) divulges any non-public, confidential or proprietary information of the Company, but excluding information that (a) becomes generally available to the public other than as a result of the Recipient’s public use, disclosure, or fault, or (b) becomes available to the Recipient on a non-confidential basis after the Recipient’s employment termination date from a source other than the Company prior to the public use or disclosure by the Recipient, provided that such source is not bound by a confidentiality agreement or otherwise prohibited from transmitting the information by contractual, legal or fiduciary obligation; (ii) directly or indirectly, consults with or becomes affiliated with, participate or engage in, or becomes employed by any business that is competitive with the Company, wherever from time to time conducted throughout the world, including situations where the Recipient solicits or participates in or assists in any way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21"/>
          <w:szCs w:val="21"/>
          <w:color w:val="auto"/>
        </w:rPr>
        <w:t>in the solicitation or recruitment, directly or indirectly, of any employees of the Company; or (iii) engages in publishing any oral or written statements about the Company, and/or any of its directors, officers, or employees that are disparaging, slanderous, libelous, or defamatory; or that disclose private or confidential information about their business affairs; or that constitute an intrusion into their seclusion or private lives; or that give rise to unreasonable publicity about their private lives; or that place them in a false light before the public; or that constitute a misappropriation of their name or likeness.</w:t>
      </w:r>
    </w:p>
    <w:p>
      <w:pPr>
        <w:spacing w:after="0" w:line="176" w:lineRule="exact"/>
        <w:rPr>
          <w:sz w:val="20"/>
          <w:szCs w:val="20"/>
          <w:color w:val="auto"/>
        </w:rPr>
      </w:pPr>
    </w:p>
    <w:p>
      <w:pPr>
        <w:jc w:val="both"/>
        <w:ind w:firstLine="656"/>
        <w:spacing w:after="0" w:line="290" w:lineRule="auto"/>
        <w:tabs>
          <w:tab w:leader="none" w:pos="101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Payment and Tax Withholding</w:t>
      </w:r>
      <w:r>
        <w:rPr>
          <w:rFonts w:ascii="Arial" w:cs="Arial" w:eastAsia="Arial" w:hAnsi="Arial"/>
          <w:sz w:val="19"/>
          <w:szCs w:val="19"/>
          <w:color w:val="auto"/>
        </w:rPr>
        <w:t>. Upon receipt of any entitlement to Stock under this Agreement and, if applicable, upon the Recipient’s attainment of eligibility to terminate employment by reason of Retirement pursuant to section 3(b), the Recipient shall make appropriate arrangements with the Company to provide for the amount of minimum tax and social security withholding, if any, required by law, including without limitation Sections 3102 and 3402 or any successor section(s) of the Internal Revenue Code and applicable state and local income and other tax laws. Upon receipt of entitlement to Stock under this Agreement, each payment of the Payout Amount shall be made in shares of Stock, determined by the Committee, such that the withheld number of shares shall be sufficient to cover the withholding amount required by this section (including any amount to cover benefit tax charges arising thereon). The payment of a Payout Amount shall be based on the Fair Market Value of the shares of Stock on the applicable date of vesting to which such tax withholding relates. Where appropriate, shares shall be withheld by the Company to satisfy applicable tax withholding requirements rather than paid directly to the Recipient.</w:t>
      </w:r>
    </w:p>
    <w:p>
      <w:pPr>
        <w:spacing w:after="0" w:line="155" w:lineRule="exact"/>
        <w:rPr>
          <w:rFonts w:ascii="Arial" w:cs="Arial" w:eastAsia="Arial" w:hAnsi="Arial"/>
          <w:sz w:val="19"/>
          <w:szCs w:val="19"/>
          <w:color w:val="auto"/>
        </w:rPr>
      </w:pPr>
    </w:p>
    <w:p>
      <w:pPr>
        <w:jc w:val="both"/>
        <w:ind w:firstLine="656"/>
        <w:spacing w:after="0" w:line="307" w:lineRule="auto"/>
        <w:tabs>
          <w:tab w:leader="none" w:pos="99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 Ownership Rights Prior to Issuance of Stock</w:t>
      </w:r>
      <w:r>
        <w:rPr>
          <w:rFonts w:ascii="Arial" w:cs="Arial" w:eastAsia="Arial" w:hAnsi="Arial"/>
          <w:sz w:val="19"/>
          <w:szCs w:val="19"/>
          <w:color w:val="auto"/>
        </w:rPr>
        <w:t>. Neither the Recipient nor any other person shall become the beneficial owner of the Stock underlying the Grant, nor have any rights of a shareholder (including, without limitation, dividend and voting rights) with respect to any such Stock, unless and until and after such Stock has been actually issued to the Recipient and transferred on the books and records of the Company or its agent in accordance with the terms of the Plan and this Agreement.</w:t>
      </w:r>
    </w:p>
    <w:p>
      <w:pPr>
        <w:spacing w:after="0" w:line="138" w:lineRule="exact"/>
        <w:rPr>
          <w:rFonts w:ascii="Arial" w:cs="Arial" w:eastAsia="Arial" w:hAnsi="Arial"/>
          <w:sz w:val="19"/>
          <w:szCs w:val="19"/>
          <w:color w:val="auto"/>
        </w:rPr>
      </w:pPr>
    </w:p>
    <w:p>
      <w:pPr>
        <w:jc w:val="both"/>
        <w:ind w:firstLine="656"/>
        <w:spacing w:after="0" w:line="260" w:lineRule="auto"/>
        <w:tabs>
          <w:tab w:leader="none" w:pos="109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Non-Transferability of Grant</w:t>
      </w:r>
      <w:r>
        <w:rPr>
          <w:rFonts w:ascii="Arial" w:cs="Arial" w:eastAsia="Arial" w:hAnsi="Arial"/>
          <w:sz w:val="22"/>
          <w:szCs w:val="22"/>
          <w:color w:val="auto"/>
        </w:rPr>
        <w:t>. A Grant shall not be transferable otherwise than by testamentary will or the laws of descent and distribution, or in accordance with a valid beneficiary designation on a form approved by the Committee, subject to the conditions and exceptions set forth in Section 15.2 of the Plan.</w:t>
      </w:r>
    </w:p>
    <w:p>
      <w:pPr>
        <w:spacing w:after="0" w:line="177" w:lineRule="exact"/>
        <w:rPr>
          <w:rFonts w:ascii="Arial" w:cs="Arial" w:eastAsia="Arial" w:hAnsi="Arial"/>
          <w:sz w:val="22"/>
          <w:szCs w:val="22"/>
          <w:color w:val="auto"/>
        </w:rPr>
      </w:pPr>
    </w:p>
    <w:p>
      <w:pPr>
        <w:jc w:val="both"/>
        <w:ind w:firstLine="656"/>
        <w:spacing w:after="0" w:line="294" w:lineRule="auto"/>
        <w:tabs>
          <w:tab w:leader="none" w:pos="111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w:t>
      </w:r>
      <w:r>
        <w:rPr>
          <w:rFonts w:ascii="Arial" w:cs="Arial" w:eastAsia="Arial" w:hAnsi="Arial"/>
          <w:sz w:val="19"/>
          <w:szCs w:val="19"/>
          <w:color w:val="auto"/>
        </w:rPr>
        <w:t>. Neither the RSUs or Stock issued pursuant to a Grant nor any terms contained in this Agreement shall confer upon the Recipient any express or implied right to be retained in the employment or service of the Company for any period, nor restrict in any way the right of the Company, which right is hereby expressly reserved, to terminate the Recipient’s employment or service at any time for any reason or no reason. The Recipient acknowledges and agrees that any right to receive RSUs or Stock pursuant to a Grant is earned only by continuing as an employee of the Company at the will of the Company, or satisfaction of any other applicable terms and conditions contained in the Plan and this Agreement, and not through the act of being hired, being granted the Grant, or acquiring RSUs or Stock pursuant to the Grant hereunder.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64" w:name="page65"/>
    <w:bookmarkEnd w:id="64"/>
    <w:p>
      <w:pPr>
        <w:jc w:val="both"/>
        <w:ind w:firstLine="656"/>
        <w:spacing w:after="0" w:line="292" w:lineRule="auto"/>
        <w:tabs>
          <w:tab w:leader="none" w:pos="126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The Plan</w:t>
      </w:r>
      <w:r>
        <w:rPr>
          <w:rFonts w:ascii="Arial" w:cs="Arial" w:eastAsia="Arial" w:hAnsi="Arial"/>
          <w:sz w:val="19"/>
          <w:szCs w:val="19"/>
          <w:color w:val="auto"/>
        </w:rPr>
        <w:t>. In consideration for this Grant, the Recipient agrees to comply with the terms of the Plan and this Agreement. This Agreement is subject to all the terms, provisions and conditions of the Plan, which are incorporated herein by reference, and to such regulations as may from time to time be adopted by the Committee. Unless defined herein, capitalized terms are used herein as defined in the Plan. In the event of any conflict between the provisions of the Plan and this Agreement, the provisions of the Plan shall control, and this Agreement shall be deemed to be modified accordingly. The Plan and the prospectus describing the Plan can be found on the Company’s HR intranet and the Plan document can be found on Fidelity’s website (netbenefits.fidelity.com). A paper copy of the Plan and the prospectus shall be provided to the recipient upon the Recipient’s written request to the Company at 2000 Post Oak Blvd., Suite 100, Houston, Texas 77056-4400, Attention: Corporate Secretary.</w:t>
      </w:r>
    </w:p>
    <w:p>
      <w:pPr>
        <w:spacing w:after="0" w:line="155" w:lineRule="exact"/>
        <w:rPr>
          <w:rFonts w:ascii="Arial" w:cs="Arial" w:eastAsia="Arial" w:hAnsi="Arial"/>
          <w:sz w:val="19"/>
          <w:szCs w:val="19"/>
          <w:color w:val="auto"/>
        </w:rPr>
      </w:pPr>
    </w:p>
    <w:p>
      <w:pPr>
        <w:ind w:left="1100" w:hanging="444"/>
        <w:spacing w:after="0"/>
        <w:tabs>
          <w:tab w:leader="none" w:pos="110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Compliance with Laws and Regulations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91" w:lineRule="auto"/>
        <w:tabs>
          <w:tab w:leader="none" w:pos="1082"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Grant and any obligation of the Company to deliver RSUs or Stock hereunder shall be subject in all respects to (i) all applicable laws, rules and regulations and (ii) any registration, qualification, approvals or other requirements imposed by any government or regulatory agency or body which the Committee shall, in its discretion, determine to be necessary or applicable. Moreover, the Company shall not deliver any certificates for Stock to the Recipient or any other person pursuant to this Agreement if doing so would be contrary to applicable law. If at any time the Company determines, in its discretion, that the listing, registration or qualification of Stock upon any national securities exchange or under any applicable law, or the consent or approval of any governmental regulatory body, is necessary or desirable, the Company shall not be required to deliver any certificates for Stock to the Recipient or any other person pursuant to this Agreement unless and until such listing, registration, qualification, consent or approval has been effected or obtained, or otherwise provided for, free of any conditions not acceptable to the Company.</w:t>
      </w:r>
    </w:p>
    <w:p>
      <w:pPr>
        <w:spacing w:after="0" w:line="154" w:lineRule="exact"/>
        <w:rPr>
          <w:rFonts w:ascii="Arial" w:cs="Arial" w:eastAsia="Arial" w:hAnsi="Arial"/>
          <w:sz w:val="19"/>
          <w:szCs w:val="19"/>
          <w:color w:val="auto"/>
        </w:rPr>
      </w:pPr>
    </w:p>
    <w:p>
      <w:pPr>
        <w:jc w:val="both"/>
        <w:ind w:firstLine="656"/>
        <w:spacing w:after="0" w:line="300" w:lineRule="auto"/>
        <w:tabs>
          <w:tab w:leader="none" w:pos="1175" w:val="left"/>
        </w:tabs>
        <w:numPr>
          <w:ilvl w:val="0"/>
          <w:numId w:val="36"/>
        </w:numPr>
        <w:rPr>
          <w:rFonts w:ascii="Arial" w:cs="Arial" w:eastAsia="Arial" w:hAnsi="Arial"/>
          <w:sz w:val="19"/>
          <w:szCs w:val="19"/>
          <w:color w:val="auto"/>
        </w:rPr>
      </w:pPr>
      <w:r>
        <w:rPr>
          <w:rFonts w:ascii="Arial" w:cs="Arial" w:eastAsia="Arial" w:hAnsi="Arial"/>
          <w:sz w:val="19"/>
          <w:szCs w:val="19"/>
          <w:color w:val="auto"/>
        </w:rPr>
        <w:t>It is intended that the issuance of any Stock received in respect of the Grant shall have been registered under the Securities Act of 1933 (“Securities Act”). If the Recipient is an “affiliate” of the Company, as that term is defined in Rule 144 under the Securities Act (“Rule 144”), the Recipient may not sell the Stock received except in compliance with Rule 144. Certificates representing Stock issued to an “affiliate” of the Company may bear a legend setting forth such restrictions on the disposition or transfer of the Stock as the Company deems appropriate to comply with Federal and state securities laws.</w:t>
      </w:r>
    </w:p>
    <w:p>
      <w:pPr>
        <w:spacing w:after="0" w:line="147" w:lineRule="exact"/>
        <w:rPr>
          <w:rFonts w:ascii="Arial" w:cs="Arial" w:eastAsia="Arial" w:hAnsi="Arial"/>
          <w:sz w:val="19"/>
          <w:szCs w:val="19"/>
          <w:color w:val="auto"/>
        </w:rPr>
      </w:pPr>
    </w:p>
    <w:p>
      <w:pPr>
        <w:jc w:val="both"/>
        <w:ind w:firstLine="656"/>
        <w:spacing w:after="0" w:line="292" w:lineRule="auto"/>
        <w:tabs>
          <w:tab w:leader="none" w:pos="112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at any time, a registration statement with respect to the issuance of the Stock is not effective under the Securities Act, and/or there is no current prospectus in effect under the Securities Act with respect to the Stock, the Recipient shall execute, prior to the delivery of any Stock to the Recipient by the Company pursuant to this Agreement, an agreement (in such form as the Company may specify) in which the Recipient represents and warrants that the Recipient is purchasing or acquiring the Stock acquired under this Agreement for the Recipient’s own account, for investment only and not with a view to the resale or distribution thereof, and represents and agrees that any subsequent offer for sale or distribution of any kind of such Stock shall be made only pursuant to either (i) a registration statement on an appropriate form under the Securities Act, which registration statement has become effective and is current with regard to the Stock being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65" w:name="page66"/>
    <w:bookmarkEnd w:id="65"/>
    <w:p>
      <w:pPr>
        <w:jc w:val="both"/>
        <w:spacing w:after="0" w:line="312" w:lineRule="auto"/>
        <w:rPr>
          <w:sz w:val="20"/>
          <w:szCs w:val="20"/>
          <w:color w:val="auto"/>
        </w:rPr>
      </w:pPr>
      <w:r>
        <w:rPr>
          <w:rFonts w:ascii="Arial" w:cs="Arial" w:eastAsia="Arial" w:hAnsi="Arial"/>
          <w:sz w:val="19"/>
          <w:szCs w:val="19"/>
          <w:color w:val="auto"/>
        </w:rPr>
        <w:t>offered or sold, or (ii) a specific exemption from the registration requirements of the Securities Act, but in claiming such exemption the Recipient shall, prior to any offer for sale of such Stock, obtain a prior favorable written opinion, in form and substance satisfactory to the Company, from counsel for or approved by the Company, as to the applicability of such exemption thereto.</w:t>
      </w:r>
    </w:p>
    <w:p>
      <w:pPr>
        <w:spacing w:after="0" w:line="134" w:lineRule="exact"/>
        <w:rPr>
          <w:sz w:val="20"/>
          <w:szCs w:val="20"/>
          <w:color w:val="auto"/>
        </w:rPr>
      </w:pPr>
    </w:p>
    <w:p>
      <w:pPr>
        <w:jc w:val="both"/>
        <w:ind w:firstLine="656"/>
        <w:spacing w:after="0" w:line="287" w:lineRule="auto"/>
        <w:tabs>
          <w:tab w:leader="none" w:pos="1121"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Grant is intended to comply with, or be exempt from, the applicable requirements of Section 409A of the Code and the rules and regulations issued thereunder and shall be administered accordingly. Notwithstanding anything in this Agreement to the contrary, if the RSUs constitute “deferred compensation” under Section 409A of the Code and any RSUs become payable pursuant to the Recipient’s termination of employment, settlement of the RSUs shall be delayed for a period of six months after the Recipient’s termination of employment if the Recipient is a “specified employee” as defined under Code Section 409A(a)(2)(B)(i) and if required pursuant to Section 409A of the Code. If settlement of the RSU is delayed, the RSUs shall be settled on the first day of the first calendar month following the end of the six-month delay period. If the Recipient dies during the six-month delay, the RSUs shall be settled and paid to the Recipient’s designated beneficiary, legal representatives, heirs or legatees, as applicable, as soon as practicable after the date of death. Notwithstanding any provisions to the contrary herein, payments made with respect to this Grant may only be made in a manner and upon an event permitted by Section 409A of the Code, and all payments to be made upon a termination of employment hereunder may only be made upon a “separation from service”, as such term is defined in Section 11.1 of the Plan. Recipient shall not have any right to determine a date of payment of any amount under this Agreement. This Agreement may be amended without the consent of the Recipient in any respect deemed by the Board or the Committee to be necessary in order to preserve compliance with Section 409A of the Code. If the Grant and this Agreement is subject to Section 409A of the Code and the rules and regulations issued thereunder, then the vesting date shall be the “designated payment date” or “specified date” under Treasury Regulation 1.409A-3(d).</w:t>
      </w:r>
    </w:p>
    <w:p>
      <w:pPr>
        <w:spacing w:after="0" w:line="200" w:lineRule="exact"/>
        <w:rPr>
          <w:sz w:val="20"/>
          <w:szCs w:val="20"/>
          <w:color w:val="auto"/>
        </w:rPr>
      </w:pPr>
    </w:p>
    <w:p>
      <w:pPr>
        <w:spacing w:after="0" w:line="216" w:lineRule="exact"/>
        <w:rPr>
          <w:sz w:val="20"/>
          <w:szCs w:val="20"/>
          <w:color w:val="auto"/>
        </w:rPr>
      </w:pPr>
    </w:p>
    <w:p>
      <w:pPr>
        <w:jc w:val="both"/>
        <w:ind w:firstLine="656"/>
        <w:spacing w:after="0" w:line="254" w:lineRule="auto"/>
        <w:tabs>
          <w:tab w:leader="none" w:pos="109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Unless otherwise provided in this Agreement, all notices by the Recipient or the Recipient’s assignees shall be addressed to the Administrative Agent, Fidelity, through the Recipient’s account at netbenefits.fidelity.com, or such other address as the Company may from time to time specify. All notices to the Recipient shall be addressed to the Recipient at the Recipient’s address in the Company’s records.</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20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Other Plans</w:t>
      </w:r>
      <w:r>
        <w:rPr>
          <w:rFonts w:ascii="Arial" w:cs="Arial" w:eastAsia="Arial" w:hAnsi="Arial"/>
          <w:sz w:val="22"/>
          <w:szCs w:val="22"/>
          <w:color w:val="auto"/>
        </w:rPr>
        <w:t>. The Recipient acknowledges that any income derived from the Grant shall not affect the Recipient’s participation in, or benefits under, any other benefit plan or other contract or arrangement maintained by the Company or any Affiliate.</w:t>
      </w:r>
    </w:p>
    <w:p>
      <w:pPr>
        <w:spacing w:after="0" w:line="177" w:lineRule="exact"/>
        <w:rPr>
          <w:rFonts w:ascii="Arial" w:cs="Arial" w:eastAsia="Arial" w:hAnsi="Arial"/>
          <w:sz w:val="22"/>
          <w:szCs w:val="22"/>
          <w:color w:val="auto"/>
        </w:rPr>
      </w:pPr>
    </w:p>
    <w:p>
      <w:pPr>
        <w:jc w:val="both"/>
        <w:ind w:firstLine="656"/>
        <w:spacing w:after="0" w:line="264" w:lineRule="auto"/>
        <w:tabs>
          <w:tab w:leader="none" w:pos="1125"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Terms of Employment</w:t>
      </w:r>
      <w:r>
        <w:rPr>
          <w:rFonts w:ascii="Arial" w:cs="Arial" w:eastAsia="Arial" w:hAnsi="Arial"/>
          <w:sz w:val="21"/>
          <w:szCs w:val="21"/>
          <w:color w:val="auto"/>
        </w:rPr>
        <w:t>. The Plan is a discretionary plan. The Recipient hereby acknowledges that neither the Plan nor this Agreement forms part of his terms of employment and nothing in the Plan may be construed as imposing on the Company or any Affiliate a contractual obligation to offer participation in the Plan to any employee of the Company or any Affiliate. The Company or any Affiliate is under no obligation to grant further Stock to any Recipient under the Plan. The Recipient hereby acknowledges that if he ceases to be an employee of the Company or any Affiliate for any reason or no reason, he shall not be entitled by way of compensation for loss of office or otherwise howsoever to any sum.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66" w:name="page67"/>
    <w:bookmarkEnd w:id="66"/>
    <w:p>
      <w:pPr>
        <w:jc w:val="both"/>
        <w:ind w:firstLine="656"/>
        <w:spacing w:after="0" w:line="260" w:lineRule="auto"/>
        <w:tabs>
          <w:tab w:leader="none" w:pos="123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Data Protection</w:t>
      </w:r>
      <w:r>
        <w:rPr>
          <w:rFonts w:ascii="Arial" w:cs="Arial" w:eastAsia="Arial" w:hAnsi="Arial"/>
          <w:sz w:val="22"/>
          <w:szCs w:val="22"/>
          <w:color w:val="auto"/>
        </w:rPr>
        <w:t>. By accepting this Agreement (whether by electronic means or otherwise), the Recipient hereby consents to the holding and processing of personal data provided by him to the Company for all purposes necessary for the operation of the Plan. These include, but are not limited to:</w:t>
      </w:r>
    </w:p>
    <w:p>
      <w:pPr>
        <w:spacing w:after="0" w:line="6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administering and maintaining Recipient records;</w:t>
      </w:r>
    </w:p>
    <w:p>
      <w:pPr>
        <w:spacing w:after="0" w:line="125" w:lineRule="exact"/>
        <w:rPr>
          <w:rFonts w:ascii="Arial" w:cs="Arial" w:eastAsia="Arial" w:hAnsi="Arial"/>
          <w:sz w:val="22"/>
          <w:szCs w:val="22"/>
          <w:color w:val="auto"/>
        </w:rPr>
      </w:pPr>
    </w:p>
    <w:p>
      <w:pPr>
        <w:ind w:left="1080" w:hanging="424"/>
        <w:spacing w:after="0"/>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125" w:lineRule="exact"/>
        <w:rPr>
          <w:rFonts w:ascii="Arial" w:cs="Arial" w:eastAsia="Arial" w:hAnsi="Arial"/>
          <w:sz w:val="22"/>
          <w:szCs w:val="22"/>
          <w:color w:val="auto"/>
        </w:rPr>
      </w:pPr>
    </w:p>
    <w:p>
      <w:pPr>
        <w:ind w:left="1080" w:hanging="424"/>
        <w:spacing w:after="0"/>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Recipient works.</w:t>
      </w:r>
    </w:p>
    <w:p>
      <w:pPr>
        <w:spacing w:after="0" w:line="233" w:lineRule="exact"/>
        <w:rPr>
          <w:sz w:val="20"/>
          <w:szCs w:val="20"/>
          <w:color w:val="auto"/>
        </w:rPr>
      </w:pPr>
    </w:p>
    <w:p>
      <w:pPr>
        <w:jc w:val="both"/>
        <w:ind w:firstLine="656"/>
        <w:spacing w:after="0" w:line="320" w:lineRule="auto"/>
        <w:tabs>
          <w:tab w:leader="none" w:pos="1179"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invalid or unenforceable, the remainder of this Agreement shall nevertheless remain in full force and effect, and if any provision is held invalid or unenforceable with respect to particular circumstances, it shall nevertheless remain in full force and effect in all other circumstances, to the fullest extent permitted by 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Christmann IV, certify that:</w:t>
      </w:r>
    </w:p>
    <w:p>
      <w:pPr>
        <w:spacing w:after="0" w:line="171" w:lineRule="exact"/>
        <w:rPr>
          <w:sz w:val="20"/>
          <w:szCs w:val="20"/>
          <w:color w:val="auto"/>
        </w:rPr>
      </w:pPr>
    </w:p>
    <w:p>
      <w:pPr>
        <w:ind w:left="260" w:hanging="225"/>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Corporation;</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J. Christmann IV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J. Riney, certify that:</w:t>
      </w:r>
    </w:p>
    <w:p>
      <w:pPr>
        <w:spacing w:after="0" w:line="171" w:lineRule="exact"/>
        <w:rPr>
          <w:sz w:val="20"/>
          <w:szCs w:val="20"/>
          <w:color w:val="auto"/>
        </w:rPr>
      </w:pPr>
    </w:p>
    <w:p>
      <w:pPr>
        <w:ind w:left="260" w:hanging="225"/>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Corporation;</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Riney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1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 John J. Christmann IV, certify pursuant to 18 U.S.C. Section 1350, as adopted pursuant to Section 906 of the Sarbanes-Oxley Act of 2002, that, to my knowledge, the quarterly report on Form 10-Q of Apache Corporation for the quarterly period ending September 30, 2016,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John J. Christmann IV</w:t>
      </w:r>
    </w:p>
    <w:p>
      <w:pPr>
        <w:spacing w:after="0" w:line="86" w:lineRule="exact"/>
        <w:rPr>
          <w:sz w:val="20"/>
          <w:szCs w:val="20"/>
          <w:color w:val="auto"/>
        </w:rPr>
      </w:pPr>
    </w:p>
    <w:p>
      <w:pPr>
        <w:sectPr>
          <w:pgSz w:w="11900" w:h="16838" w:orient="portrait"/>
          <w:cols w:equalWidth="0" w:num="2">
            <w:col w:w="300" w:space="660"/>
            <w:col w:w="1046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 and President</w:t>
      </w:r>
    </w:p>
    <w:p>
      <w:pPr>
        <w:spacing w:after="0" w:line="86" w:lineRule="exact"/>
        <w:rPr>
          <w:sz w:val="20"/>
          <w:szCs w:val="20"/>
          <w:color w:val="auto"/>
        </w:rPr>
      </w:pPr>
    </w:p>
    <w:p>
      <w:pPr>
        <w:sectPr>
          <w:pgSz w:w="11900" w:h="16838" w:orient="portrait"/>
          <w:cols w:equalWidth="0" w:num="2">
            <w:col w:w="420" w:space="540"/>
            <w:col w:w="10460"/>
          </w:cols>
          <w:pgMar w:left="240" w:top="580" w:right="23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0"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25"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I, Stephen J. Riney, certify pursuant to 18 U.S.C. Section 1350, as adopted pursuant to Section 906 of the Sarbanes-Oxley Act of 2002, that, to my knowledge, the quarterly report on Form 10-Q of Apache Corporation for the quarterly period ending September 30, 2016,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Stephen J. Riney</w:t>
      </w:r>
    </w:p>
    <w:p>
      <w:pPr>
        <w:spacing w:after="0" w:line="97" w:lineRule="exact"/>
        <w:rPr>
          <w:sz w:val="20"/>
          <w:szCs w:val="20"/>
          <w:color w:val="auto"/>
        </w:rPr>
      </w:pPr>
    </w:p>
    <w:p>
      <w:pPr>
        <w:sectPr>
          <w:pgSz w:w="11900" w:h="16838" w:orient="portrait"/>
          <w:cols w:equalWidth="0" w:num="2">
            <w:col w:w="300" w:space="660"/>
            <w:col w:w="1046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ectPr>
          <w:pgSz w:w="11900" w:h="16838" w:orient="portrait"/>
          <w:cols w:equalWidth="0" w:num="2">
            <w:col w:w="420" w:space="540"/>
            <w:col w:w="10460"/>
          </w:cols>
          <w:pgMar w:left="240" w:top="580" w:right="239" w:bottom="1440" w:gutter="0" w:footer="0" w:header="0"/>
          <w:type w:val="continuous"/>
        </w:sectPr>
      </w:pPr>
    </w:p>
    <w:p>
      <w:pPr>
        <w:ind w:left="9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80"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2016</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1."/>
      <w:numFmt w:val="decimal"/>
      <w:start w:val="5"/>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2"/>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1)"/>
      <w:numFmt w:val="decimal"/>
      <w:start w:val="3"/>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5"/>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lvl w:ilvl="1">
      <w:lvlJc w:val="left"/>
      <w:lvlText w:val="(%2)"/>
      <w:numFmt w:val="lowerLetter"/>
      <w:start w:val="1"/>
    </w:lvl>
  </w:abstractNum>
  <w:abstractNum w:abstractNumId="28">
    <w:nsid w:val="5072367"/>
    <w:multiLevelType w:val="hybridMultilevel"/>
    <w:lvl w:ilvl="0">
      <w:lvlJc w:val="left"/>
      <w:lvlText w:val="(%1)"/>
      <w:numFmt w:val="decimal"/>
      <w:start w:val="30"/>
    </w:lvl>
    <w:lvl w:ilvl="1">
      <w:lvlJc w:val="left"/>
      <w:lvlText w:val="%2"/>
      <w:numFmt w:val="lowerLetter"/>
      <w:start w:val="1"/>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1."/>
      <w:numFmt w:val="decimal"/>
      <w:start w:val="6"/>
    </w:lvl>
  </w:abstractNum>
  <w:abstractNum w:abstractNumId="33">
    <w:nsid w:val="2463B9EA"/>
    <w:multiLevelType w:val="hybridMultilevel"/>
    <w:lvl w:ilvl="0">
      <w:lvlJc w:val="left"/>
      <w:lvlText w:val="%1."/>
      <w:numFmt w:val="decimal"/>
      <w:start w:val="7"/>
    </w:lvl>
  </w:abstractNum>
  <w:abstractNum w:abstractNumId="34">
    <w:nsid w:val="5E884ADC"/>
    <w:multiLevelType w:val="hybridMultilevel"/>
    <w:lvl w:ilvl="0">
      <w:lvlJc w:val="left"/>
      <w:lvlText w:val="%1."/>
      <w:numFmt w:val="decimal"/>
      <w:start w:val="1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4"/>
    </w:lvl>
  </w:abstractNum>
  <w:abstractNum w:abstractNumId="37">
    <w:nsid w:val="580BD78F"/>
    <w:multiLevelType w:val="hybridMultilevel"/>
    <w:lvl w:ilvl="0">
      <w:lvlJc w:val="left"/>
      <w:lvlText w:val="%1."/>
      <w:numFmt w:val="decimal"/>
      <w:start w:val="13"/>
    </w:lvl>
  </w:abstractNum>
  <w:abstractNum w:abstractNumId="38">
    <w:nsid w:val="153EA438"/>
    <w:multiLevelType w:val="hybridMultilevel"/>
    <w:lvl w:ilvl="0">
      <w:lvlJc w:val="left"/>
      <w:lvlText w:val="%1."/>
      <w:numFmt w:val="decimal"/>
      <w:start w:val="16"/>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decimal"/>
      <w:start w:val="17"/>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2019-12-29T08:59:04Z</dcterms:created>
  <dcterms:modified xsi:type="dcterms:W3CDTF">2019-12-29T08:59:04Z</dcterms:modified>
</cp:coreProperties>
</file>