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APACHE OFFSHORE INVESTMENT PARTNERSHIP</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41-1464066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Post Oak Central, 2000 Post Oak Boulevard, Suite 100, Houston, Texas 77056-4400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160" w:type="dxa"/>
            <w:vAlign w:val="bottom"/>
          </w:tcPr>
          <w:p>
            <w:pPr>
              <w:ind w:left="140"/>
              <w:spacing w:after="0"/>
              <w:rPr>
                <w:sz w:val="20"/>
                <w:szCs w:val="20"/>
                <w:color w:val="auto"/>
              </w:rPr>
            </w:pPr>
            <w:r>
              <w:rPr>
                <w:rFonts w:ascii="Arial" w:cs="Arial" w:eastAsia="Arial" w:hAnsi="Arial"/>
                <w:sz w:val="18"/>
                <w:szCs w:val="18"/>
                <w:color w:val="auto"/>
                <w:w w:val="92"/>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1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r>
        <w:trPr>
          <w:trHeight w:val="439"/>
        </w:trPr>
        <w:tc>
          <w:tcPr>
            <w:tcW w:w="8720" w:type="dxa"/>
            <w:vAlign w:val="bottom"/>
            <w:gridSpan w:val="2"/>
          </w:tcPr>
          <w:p>
            <w:pPr>
              <w:spacing w:after="0"/>
              <w:rPr>
                <w:sz w:val="20"/>
                <w:szCs w:val="20"/>
                <w:color w:val="auto"/>
              </w:rPr>
            </w:pPr>
            <w:r>
              <w:rPr>
                <w:rFonts w:ascii="Arial" w:cs="Arial" w:eastAsia="Arial" w:hAnsi="Arial"/>
                <w:sz w:val="18"/>
                <w:szCs w:val="18"/>
                <w:color w:val="auto"/>
              </w:rPr>
              <w:t>Number of registrant’s units outstanding as of September 30, 2015</w:t>
            </w:r>
          </w:p>
        </w:tc>
        <w:tc>
          <w:tcPr>
            <w:tcW w:w="21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1,022</w:t>
            </w: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Quarter</w:t>
            </w:r>
          </w:p>
        </w:tc>
        <w:tc>
          <w:tcPr>
            <w:tcW w:w="100" w:type="dxa"/>
            <w:vAlign w:val="bottom"/>
          </w:tcPr>
          <w:p>
            <w:pPr>
              <w:spacing w:after="0"/>
              <w:rPr>
                <w:sz w:val="14"/>
                <w:szCs w:val="14"/>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Oil and gas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427,111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807,361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1,413,994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2,278,123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344,475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807,370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1,331,381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2,278,167</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130,429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161,331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364,315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Asset retirement obligation accretion</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32,910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29,413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97,440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192,007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228,287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613,421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Gathering and transportation costs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33,744</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102,151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92,250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276,750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481,340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540,937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1,454,077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1,676,372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(136,865)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266,433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(122,696)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601,795</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ALLOCATED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Managing Partner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Investing Partners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(134,584)</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183,094</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(168,952)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396,113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(136,865)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266,433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(122,696)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601,795</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INVESTING PARTNER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INVESTING PARTNER UNITS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For the Nine Months</w:t>
      </w:r>
    </w:p>
    <w:p>
      <w:pPr>
        <w:ind w:left="9660"/>
        <w:spacing w:after="0" w:line="236" w:lineRule="auto"/>
        <w:rPr>
          <w:sz w:val="20"/>
          <w:szCs w:val="20"/>
          <w:color w:val="auto"/>
        </w:rPr>
      </w:pPr>
      <w:r>
        <w:rPr>
          <w:rFonts w:ascii="Arial" w:cs="Arial" w:eastAsia="Arial" w:hAnsi="Arial"/>
          <w:sz w:val="14"/>
          <w:szCs w:val="14"/>
          <w:b w:val="1"/>
          <w:bCs w:val="1"/>
          <w:color w:val="auto"/>
        </w:rPr>
        <w:t>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(122,696)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364,315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 retirement obligation accretion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accrued receivables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Increase (decrease) in receivable from/payable to Apache Corporation</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other payables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Increase (decrease) in accrued operating expenses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asset retirement obligations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(209,635)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Additions to oil and gas properties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Managing Partner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(191,247)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5,275,503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4,320,218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5,417,304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5,003,159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3760"/>
              <w:spacing w:after="0" w:line="196" w:lineRule="exact"/>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5,417,304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Accrued revenues receivable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240,689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 from Apache Corporation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5,657,993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OIL AND GAS PROPERTIES, on the basis of full cost accounting: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Proved properties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194,807,397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194,691,102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 Accumulated depreciation, depletion and amortization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(187,141,964)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(186,777,649)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7,665,433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13,323,426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2460"/>
              <w:spacing w:after="0"/>
              <w:rPr>
                <w:sz w:val="20"/>
                <w:szCs w:val="20"/>
                <w:color w:val="auto"/>
              </w:rPr>
            </w:pPr>
            <w:r>
              <w:rPr>
                <w:rFonts w:ascii="Arial" w:cs="Arial" w:eastAsia="Arial" w:hAnsi="Arial"/>
                <w:sz w:val="18"/>
                <w:szCs w:val="18"/>
                <w:color w:val="auto"/>
              </w:rPr>
              <w:t>LIABILITIES AND PARTNERS’ CAPITAL</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Payable to Apache Corporation</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21,714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 retirement obligation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334,701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Other payables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82,640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Accrued development costs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619,398</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ASSET RETIREMENT OBLIGATION</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1,836,404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Managing Partner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401,301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Partners (1,021.5 units outstanding)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10,389,863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10,558,815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10,791,164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10,973,177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13,323,426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Apache Offshore Investment Partnership, a Delaware general partnership (the Investment Partnership), was formed on October 31, 1983, consisting of Apache Corporation, a Delaware corporation (Apache or the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accompanying financial statements include the accounts of both the Investment Partnership and the Operating Partnership. The term “Partnership”, as used herein, refers to the Investment Partnership or the Operating Partnership, as the case may be.</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financial statements have been prepared by the Partnership, without audit, pursuant to the rules and regulations of the Securities and Exchange Commission (SEC). They reflect all adjustments that are, in the opinion of management, necessary for a fair statement of the results for the interim periods, on a basis consistent with the annual audited financial statements. All such adjustments are of a normal, recurring nature. Certain information, accounting policies, and footnote disclosures normally included in financial statements prepared in accordance with accounting principles generally accepted in the United States (U.S. GAAP) have been omitted pursuant to such rules and regulations, although the Partnership believes that the disclosures are adequate to make the information presented not misleading. These financial statements should be read in conjunction with the Partnership’s Annual Report on Form 10-K for the fiscal year ended December 31, 2014, which contains a summary of the Partnership’s significant accounting policies and other disclosures.</w:t>
      </w:r>
    </w:p>
    <w:p>
      <w:pPr>
        <w:spacing w:after="0" w:line="3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September 30, 2015, the Partnership’s significant accounting policies are consistent with those discussed in Note 2 of its consolidated financial statements contained in the Annual Report on Form 10-K for the fiscal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with regard to these financial statements include the estimate of proved oil and gas reserves and related present value estimates of future net cash flow therefrom and asset retirement obligations. Actual results could differ from those estimates.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On July 9, 2015, the FASB announced a delay in the effective date of the revenue standard by one year. The deferral results in the new revenue standard becoming effective for annual and interim periods beginning after December 15, 2017. The standard is required to be adopted using either the full retrospective approach, with all prior periods presented adjusted, or the modified retrospective approach, with a cumulative adjustment to retained earnings on the opening balance sheet. The Partnership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RECEIVABLE FROM / PAYABLE TO APACHE CORPORATION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receivable from/payable to Apache represents the net result of the Investing Partners’ revenue received and expenditures paid in the current month. Generally, cash in this amount will be paid by Apache to the Partnership or transferred to Apache in the month after the Partnership’s transactions are processed and the net results of operations are determined.</w:t>
      </w:r>
    </w:p>
    <w:p>
      <w:pPr>
        <w:spacing w:after="0" w:line="3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PRESENTMENT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provided in the Partnership Agreement, as amended (the “Amended Partnership Agreement”), a first right of presentment valuation was computed during the first quarter of 2015. The per-unit value was determined to be $9,765 based on the valuation date of December 31, 2014. A second right of presentment valuation was computed during October 2015 and the per-unit value was determined to be $9,831 based on a valuation date of June 30, 2015. The Partnership did not repurchase any Investing Partner Units (Units) during the first nine months of 2015, and is not expected to purchase any Units in the fourth quarter of 2015. The per-unit right of presentment value computed during the first quarter of 2014 was determined to be $16,020 based on the valuation date of December 31, 2013, and the second per-unit right of presentment in 2014 was $16,260 based on a valuation date of June 30, 2014. The Partnership did not repurchase any Units during the first nine months of 2014. Pursuant to the Amended Partnership Agreement, the Partnership has no obligation to purchase any Units presented to the extent it determines that it has insufficient funds for such purchases.</w:t>
      </w:r>
    </w:p>
    <w:p>
      <w:pPr>
        <w:spacing w:after="0" w:line="31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describes the changes to the Partnership’s asset retirement obligation liability for the first nine months of 2015:</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at December 31, 2014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Accretion expense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97,440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Revisions in estimated liabilities</w:t>
            </w:r>
          </w:p>
        </w:tc>
        <w:tc>
          <w:tcPr>
            <w:tcW w:w="16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at September 30,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Less current portion</w:t>
            </w:r>
          </w:p>
        </w:tc>
        <w:tc>
          <w:tcPr>
            <w:tcW w:w="1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(334,701)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long-term</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1,836,404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Certain assets and liabilities are reported at fair value on a recurring basis in the Partnership’s consolidated balance sheet. As of September 30, 2015, and December 31, 2014, the carrying amounts of the Partnership’s current assets and current liabilities approximated fair value because of the short-term nature or maturity of these instruments.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Partnership did not use derivative financial instruments or otherwise engage in hedging activities during the nine months ended September 30, 2015, and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This discussion relates to Apache Offshore Investment Partnership (the Partnership) and should be read in conjunction with the Partnership’s consolidated financial statements and accompanying notes included under Part I, Item 1, “Financial Statements” of this Quarterly Report on Form 10-Q, as well as its consolidated financial statements, accompanying notes and related Management’s Discussion and Analysis of Financial Condition and Results of Operations, included in the Partnership’s Annual Report on Form 10-K for the fiscal year ended December 31, 2014.</w:t>
      </w:r>
    </w:p>
    <w:p>
      <w:pPr>
        <w:spacing w:after="0" w:line="17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Partnership’s business is participation in oil and gas exploration, development and production activities on federal lease tracts in the Gulf of Mexico, offshore Louisiana and Texas.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Overview</w:t>
      </w:r>
    </w:p>
    <w:p>
      <w:pPr>
        <w:spacing w:after="0" w:line="121" w:lineRule="exact"/>
        <w:rPr>
          <w:sz w:val="20"/>
          <w:szCs w:val="20"/>
          <w:color w:val="auto"/>
        </w:rPr>
      </w:pPr>
    </w:p>
    <w:p>
      <w:pPr>
        <w:ind w:right="440" w:firstLine="456"/>
        <w:spacing w:after="0" w:line="276" w:lineRule="auto"/>
        <w:rPr>
          <w:sz w:val="20"/>
          <w:szCs w:val="20"/>
          <w:color w:val="auto"/>
        </w:rPr>
      </w:pPr>
      <w:r>
        <w:rPr>
          <w:rFonts w:ascii="Arial" w:cs="Arial" w:eastAsia="Arial" w:hAnsi="Arial"/>
          <w:sz w:val="17"/>
          <w:szCs w:val="17"/>
          <w:color w:val="auto"/>
        </w:rPr>
        <w:t>The Partnership reported a net loss of $136,865 ($132 per Limited Partner Unit) for the third quarter of 2015 compared to net income of $266,433 ($179 per Limited Partner Unit) in the third quarter of 2014. Earnings for the current quarter were reduced by $82,640 for an anticipated gas balancing settlement with the operator of North Padre Island 969 for gas volumes delivered to the Partnership in excess of its ownership interest entitlement. The operator of the North Padre field is expected to commence abandonment operations on the field later in 2015. Lower oil and gas prices in 2015 also contributed to the decrease in earnings and net income per Investing Partner Unit from 2014.</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nine months ending September 30, 2015, the Partnership reported a loss of $122,696 ($165 per Unit) compared to net income of $601,795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($388 per Unit) for the nine months ending September 30, 2014. The decline in earnings and net income per Investing Partner Unit from 2014 reflected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of lower oil and gas prices in 2015 and the gas balancing provision recognized in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Total revenues decreased 57 percent from the third quarter of 2014 to the third quarter of 2015 on lower oil and gas prices and the North Padre Island gas balancing provision noted above, while year-to-date revenues in 2015 decreased 42 percent from the first nine months of 2014 primarily on lower prices.</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Partnership’s oil, gas and natural gas liquids (NGL) production volume and price information is summarized in the following table (gas volumes are presented in thousand cubic feet (Mcf) per day):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920" w:type="dxa"/>
            <w:vAlign w:val="bottom"/>
            <w:gridSpan w:val="9"/>
          </w:tcPr>
          <w:p>
            <w:pPr>
              <w:jc w:val="right"/>
              <w:ind w:right="410"/>
              <w:spacing w:after="0"/>
              <w:rPr>
                <w:sz w:val="20"/>
                <w:szCs w:val="20"/>
                <w:color w:val="auto"/>
              </w:rPr>
            </w:pPr>
            <w:r>
              <w:rPr>
                <w:rFonts w:ascii="Arial" w:cs="Arial" w:eastAsia="Arial" w:hAnsi="Arial"/>
                <w:sz w:val="14"/>
                <w:szCs w:val="14"/>
                <w:b w:val="1"/>
                <w:bCs w:val="1"/>
                <w:color w:val="auto"/>
                <w:w w:val="96"/>
              </w:rPr>
              <w:t>For the Quarter Ended September 30,</w:t>
            </w:r>
          </w:p>
        </w:tc>
        <w:tc>
          <w:tcPr>
            <w:tcW w:w="3060" w:type="dxa"/>
            <w:vAlign w:val="bottom"/>
            <w:gridSpan w:val="9"/>
          </w:tcPr>
          <w:p>
            <w:pPr>
              <w:jc w:val="right"/>
              <w:ind w:right="250"/>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Increase</w:t>
            </w: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Increase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7"/>
              </w:rPr>
              <w:t>(Decrease)</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Gas volume – Mcf per day</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Average gas price – per Mcf</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Oil volume – barrels per day</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Average oil price – per barrel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104.28</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55.76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106.01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NGL volume – barrels per day</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75 %</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Average NGL price – per barrel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15.97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45.01</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18.15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40.90</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Sales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Reflecting lower oil prices in 2015, the Partnership’s crude oil sales for the third quarter of 2015 totaled $335,088 compared to $680,467 of crude oil sales in the third quarter of 2014. The Partnership’s average realized price in the third quarter of 2015 decreased $53.25 per barrel from the third quarter of 2014, reducing sales by $345,379. Crude oil volumes held even at 71 barrels per day as recompletions at South Timbalier 295 offset the impact of depletion.</w:t>
      </w:r>
    </w:p>
    <w:p>
      <w:pPr>
        <w:spacing w:after="0" w:line="14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Natural gas sales in the third quarter of 2015 totaled $71,682 down 23 percent from the amount realized in 2014. The Partnership’s average realized natural gas price for the quarter decreased $1.21 per Mcf, or 29 percent, from the third quarter of 2014, reducing sales by $27,103 from a year ago. Natural gas volumes increased 9 percent from the third quarter of 2014, increasing sales by $6,076. Increased production from recompletions at South Timbalier 295 more than offset productions declines at Ship Shoal 258/259 and North Padre Island 969.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7" w:name="page8"/>
    <w:bookmarkEnd w:id="7"/>
    <w:p>
      <w:pPr>
        <w:ind w:right="2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third quarter of 2015, the Partnership sold 14 barrels per day of natural gas liquids, up from the third quarter of 2014 with the increased production at South Timbalier 295. The Partnership’s average NGL price for the current quarter decreased 65 percent from a year ago to $15.97 per barrel.</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Crude oil sales for the nine months of 2015 totaled $1.1 million, down 39 percent from the same period in 2014. The Partnership’s average realized oil price for the first nine months of 2015 decreased 47 percent from the first nine months of 2014, dropping to $55.76 per barrel in 2015. The Partnership’s crude oil volumes increased from 63 barrels per day during the first nine months of 2014 to 73 barrels per day during the same period of 2015 as a result of recompletions at South Timbalier 295.</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Natural gas sales for the first nine months of 2015 decreased 36 percent from a year ago, dropping to $236,594 in the current period from $369,879 during the first nine months of 2014. The Partnership’s average realized gas prices decreased from $4.91 per Mcf in the first nine months of 2014 to $2.88 per Mcf in 2015, reducing sales by $152,857. A 25 Mcf per day, or 9 percent increase in natural gas volumes during the first nine months of 2015 from the same period a year ago increased sales by $19,572. The Partnership’s increase in gas production in 2015 reflected the recompletions at South Timbalier 295.</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Partnership sold 14 barrels per day of natural gas liquids in the first nine months of 2015, up from 9 barrels per day in the first nine months of 2014. The increase reflected higher processed volumes at South Timbalier 295 in 2015. NGL prices for the first nine months decreased 56 percent from a year ago, dropping to $18.15 per barrel in 2015.</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and pipeline interruptions in the Gulf of Mexico, the Partnership’s production during the remainder of 2015 and beyond may be subject to more volatility than those companies with a larger or more diversified property portfolio.</w:t>
      </w:r>
    </w:p>
    <w:p>
      <w:pPr>
        <w:spacing w:after="0" w:line="15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October 4, 2015, Ship Shoal 258/259 was shut-in so that the pipeline company that transports the natural gas and oil from the field could perform maintenance on their system. Approximately four days into the work, the pipeline company experienced an explosion and fire at one of their onshore natural gas facilities. While the Partnership does not anticipate incurring any cost related to repairing the pipeline’s facility, the incident will likely cause the Partnership’s production from the field to be shut-in for an indefinite period of time. The Partnership’s sales from Ship Shoal 258/259 at the end of the third quarter of 2015 averaged approximately 100 Mcf per day of natural gas and a small amount of liquids.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Partnership’s depreciation, depletion and amortization (DD&amp;A) rate, expressed as a percentage of oil and gas sales, was approximately 31 percent for the third quarter of 2015 and 20 percent for the third quarter of 2014. DD&amp;A, expressed as a percentage of oil and gas sales, for the first nine months of 2015 and 2014 was 26 percent and 20 percent, respectively. The increase in the rate as a percentage of oil and gas sales in 2015 reflected the impact of declining oil and gas prices. The dollar amount of DD&amp;A expense for the first nine months of 2015 decreased from the comparable periods a year ago as a result of lower oil and gas sales in 2015.</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Under the full cost method of accounting, the Partnership is required to review the carrying value of its proved oil and gas properties each quarter. Under these rules, capitalized costs of oil and gas properties, net of accumulated DD&amp;A, may not exceed the present value of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If commodity prices do not recover significantly from current levels, the Partnership may be required to recognize a non-cash write-down of the carrying value of its oil and gas properties in the fourth quarter of 2015. The Partnership’s full cost ceiling limitation at the end of the current quarter was calculated using a historical 12-month pricing average that included oil prices from the fourth quarter of 2014. These prices were significantly higher than current commodity futures prices.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 w:name="page9"/>
    <w:bookmarkEnd w:id="8"/>
    <w:p>
      <w:pPr>
        <w:jc w:val="both"/>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Partnership recognized $32,910 in asset retirement obligation accretion for the third quarter of 2015 compared to $29,413 for the third quarter of 2014. For the nine months ending September 30, 2015, and 2014, the Partnership recognized asset retirement obligation accretion of $97,440 and $93,782, respectively.</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Lease operating expenses (LOE) for the third quarter of 2015 of $192,007 decreased 16 percent from the third quarter of 2014 on lower repair costs and the reduced cost resulting from shutting-in North Padre Island 969 and Matagorda Island 681/682. LOE for the first nine months of 2015 was down 20 percent from the same period a year ago, decreasing to $613,421 in the first nine months of 2015. The decline in costs for the first nine months reflected lower repair costs in 2015, and lower costs from the shut-in of North Padre Island 969 and Matagorda Island 681/682. The operators of the properties are delaying discretionary repair work and other costs in light of reduced oil and gas prices and cash flow.</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third quarter of 2015, gathering and transportation costs for the delivery of oil and gas totaled $33,744. Gathering and transportation costs during the first nine months of 2015 totaled $102,151 compared to $77,281 for the first nine months of 2014. This increase of 32 percent from the same period in 2014 was primarily a result of higher oil, gas, and NGL volumes from South Timbalier 295 in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Partnership’s primary capital resource is net cash provided by operating activities, which totaled $0.2 million for the first nine months of 2015, down from $0.9 million in the comparable period in 2014 as a result of lower oil and gas prices which negatively impacted the Partnership’s 2015 earnings and higher cash outlays for abandonment activities in 2015.</w:t>
      </w:r>
    </w:p>
    <w:p>
      <w:pPr>
        <w:spacing w:after="0" w:line="18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At September 30, 2015, the Partnership had approximately $5.4 million in cash and cash equivalents, up from approximately $5.3 million at December 31, 2014. The Partnership’s goal is to maintain cash and cash equivalents at least sufficient to cover the undiscounted value of its future asset retirement obligation liability. The Partnership also plans to reserve funds for repairs which may disrupt the Partnership’s production and for future recompletion operations.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instability, the foreign supply of oil and natural gas, the price of foreign imports, the level of consumer demand, and the price and availability of alternative fuels.</w:t>
      </w:r>
    </w:p>
    <w:p>
      <w:pPr>
        <w:spacing w:after="0" w:line="18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non-participation in acquisition or exploration activities by the Partnership. Based on production estimates from independent engineers and current market conditions, the Partnership forecasts it will be able to meet its liquidity needs for routine operations in the foreseeable future. The Partnership will reduce capital expenditures and distributions to partners as cash from operating activities declines.</w:t>
      </w:r>
    </w:p>
    <w:p>
      <w:pPr>
        <w:spacing w:after="0" w:line="16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ongoing basis, the Partnership reviews the possible sale of lower value properties prior to incurring associated dismantlement and abandonment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Commitments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there is discretion, the Partnership allocates available capital to investment in the Partnership’s properties so as to maximize production and resultant cash flow. The Partnership had no outstanding debt or lease commitments at September 30, 2015. The Partnership did not have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ind w:right="5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contractual obligations as of September 30, 2015, other than the liability for dismantlement and abandonment costs of its oil and gas properties. The Partnership has recorded a separate liability for the present value of this asset retirement obligation as discussed in the notes to the financial statements included in the Partnership’s latest annual report on Form 10-K.</w:t>
      </w:r>
    </w:p>
    <w:p>
      <w:pPr>
        <w:spacing w:after="0" w:line="181"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During the first nine months of 2015 the Partnership had cash outlays for capital expenditures of $17,552 for additions to oil and gas properties as it participated in two recompletion projects at South Timbalier 295 during the period. The Partnership’s cash outlays for capital expenditures during the first nine months of 2014 were minimal as the Partnership did not participate in any new drilling or recompletion projects during the first nine months of 2014.</w:t>
      </w:r>
    </w:p>
    <w:p>
      <w:pPr>
        <w:spacing w:after="0" w:line="269" w:lineRule="auto"/>
        <w:rPr>
          <w:sz w:val="20"/>
          <w:szCs w:val="20"/>
          <w:color w:val="auto"/>
        </w:rPr>
      </w:pPr>
      <w:r>
        <w:rPr>
          <w:rFonts w:ascii="Arial" w:cs="Arial" w:eastAsia="Arial" w:hAnsi="Arial"/>
          <w:sz w:val="17"/>
          <w:szCs w:val="17"/>
          <w:color w:val="auto"/>
        </w:rPr>
        <w:t>During the first nine months of 2015, the Partnership made cash outlays of $209,635 on abandonment costs, while funding $163,594 on abandonment projects during the first nine months of 2014. Based on information supplied by the operators of the properties, the Partnership anticipates capital expenditures of less than $0.1 million during the remainder of 2015 as no new drilling projects are currently planned for 2015. Capital estimates may change based on realized prices, changes by the operator to the development plan, pipeline construction or modifications, or changes in government regulations. The operator of Matagorda Island 681/682 has indicated that abandonment of the field is expected to be largely completed by the end of 2015, and the Partnership’s share of the total cost is estimated at approximately $0.3 million. Abandonment operations for North Padre Island 969 are currently expected to be performed over the next two years and cost the Partnership approximately $0.7 million.</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Because of declining oil and gas prices during the first nine months of 2015 and the need to reserve cash for future asset retirement obligations, no distributions were made to Investing Partners during the first nine months of 2015. The Partnership also made no distribution to Investing Partners during the first nine months of 2014 as a result of the large amount of plugging costs funded by the Partnership during 2014.</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The Partnership will review available cash balances, any development or abandonment plans submitted by the operators of the Partnership’s properties, and the factors noted above to determine whether there are sufficient funds to make a distribution to Investing Partners during the first half of 2016.</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provided in the Partnership Agreement, as amended (the “Amended Partnership Agreement”), a first right of presentment valuation was computed during the first quarter of 2015. The per-unit value was determined to be $9,765 based on the valuation date of December 31, 2014. A second right of presentment valuation was computed during October 2015 and the per-unit value was determined to be $9,831 based on a valuation date of June 30, 2015. The Partnership did not repurchase any Investing Partner Units (Units) during the first nine months of 2015, and is not expected to purchase any Units in the fourth quarter of 2015. The per-unit right of presentment value computed during the first quarter of 2014 was determined to be $16,020 based on the valuation date of December 31, 2013, and the second per-unit right of presentment in 2014 was $16,260 based on a valuation date of June 30, 2014. The Partnership did not repurchase any Units during the first nine months of 2014. Pursuant to the Amended Partnership Agreement, the Partnership has no obligation to purchase any Units presented to the extent it determines that it has insufficient funds for such purchases.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ind w:right="3860"/>
        <w:spacing w:after="0" w:line="37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3 – QUANTITATIVE AND QUALITATIVE DISCLOSURES ABOUT MARKET RISK </w:t>
      </w:r>
      <w:r>
        <w:rPr>
          <w:rFonts w:ascii="Arial" w:cs="Arial" w:eastAsia="Arial" w:hAnsi="Arial"/>
          <w:sz w:val="18"/>
          <w:szCs w:val="18"/>
          <w:b w:val="1"/>
          <w:bCs w:val="1"/>
          <w:u w:val="single" w:color="auto"/>
          <w:color w:val="auto"/>
        </w:rPr>
        <w:t>Commodity Risk</w:t>
      </w:r>
    </w:p>
    <w:p>
      <w:pPr>
        <w:ind w:right="20" w:firstLine="456"/>
        <w:spacing w:after="0" w:line="257" w:lineRule="auto"/>
        <w:rPr>
          <w:sz w:val="20"/>
          <w:szCs w:val="20"/>
          <w:color w:val="auto"/>
        </w:rPr>
      </w:pPr>
      <w:r>
        <w:rPr>
          <w:rFonts w:ascii="Arial" w:cs="Arial" w:eastAsia="Arial" w:hAnsi="Arial"/>
          <w:sz w:val="18"/>
          <w:szCs w:val="18"/>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the Partnership’s crude oil, natural gas, and NGLs have historically been and continue to be very volatile because of unpredictable events such as economic growth or retraction, weather, political climate, and global supply and demand. The Partnership did not use derivative financial instruments or otherwise engage in hedging activities during the first nine months of 2015 or 2014.</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information set forth under “Commodity Risk” in Item 7A of the Partnership’s Form 10-K for the year ended December 31, 2014, is incorporated by reference. Information about market risks for the current quarter is not materially different.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 and Risk</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2014, and other data in our possession or available from third parties. In addition, forward-looking statements generally can be identified by the use of forward-looking terminology such as “may,” “will,” “expect,” “intend,” “project,” “estimate,” “anticipate,”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7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terrorism and cyber-attacks;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130" w:lineRule="exact"/>
        <w:rPr>
          <w:rFonts w:ascii="Arial" w:cs="Arial" w:eastAsia="Arial" w:hAnsi="Arial"/>
          <w:sz w:val="18"/>
          <w:szCs w:val="18"/>
          <w:color w:val="auto"/>
        </w:rPr>
      </w:pPr>
    </w:p>
    <w:p>
      <w:pPr>
        <w:ind w:left="5620" w:right="2140" w:hanging="5045"/>
        <w:spacing w:after="0" w:line="449" w:lineRule="auto"/>
        <w:tabs>
          <w:tab w:leader="none" w:pos="8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 10</w:t>
      </w:r>
    </w:p>
    <w:p>
      <w:pPr>
        <w:sectPr>
          <w:pgSz w:w="11900" w:h="16838" w:orient="portrait"/>
          <w:cols w:equalWidth="0" w:num="1">
            <w:col w:w="11360"/>
          </w:cols>
          <w:pgMar w:left="240" w:top="270" w:right="299" w:bottom="1440" w:gutter="0" w:footer="0" w:header="0"/>
        </w:sectPr>
      </w:pPr>
    </w:p>
    <w:bookmarkStart w:id="11" w:name="page12"/>
    <w:bookmarkEnd w:id="11"/>
    <w:p>
      <w:pPr>
        <w:jc w:val="both"/>
        <w:ind w:left="900" w:right="24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factors disclosed under Items 1 and 2 – “Business and Properties — Estimated Proved Reserves and Future Net Cash Flows,” Item 1A – “Risk Factors,” Item 7 – “Management’s Discussion and Analysis of Financial Condition and Results of Operations,” Item 7A – “Quantitative and Qualitative Disclosures About Market Risk,” and elsewhere in our most recently filed Form 10-K.</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 –</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John J. Christmann,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September 30, 2015,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was no change in our internal controls over financial reporting during the period covered by this quarterly report on Form 10-Q that materially affected, or is reasonably likely to materially affect, our internal controls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17" w:lineRule="exact"/>
        <w:rPr>
          <w:sz w:val="20"/>
          <w:szCs w:val="20"/>
          <w:color w:val="auto"/>
        </w:rPr>
      </w:pPr>
    </w:p>
    <w:p>
      <w:pPr>
        <w:ind w:left="1140" w:right="580"/>
        <w:spacing w:after="0" w:line="277" w:lineRule="auto"/>
        <w:rPr>
          <w:sz w:val="20"/>
          <w:szCs w:val="20"/>
          <w:color w:val="auto"/>
        </w:rPr>
      </w:pPr>
      <w:r>
        <w:rPr>
          <w:rFonts w:ascii="Arial" w:cs="Arial" w:eastAsia="Arial" w:hAnsi="Arial"/>
          <w:sz w:val="18"/>
          <w:szCs w:val="18"/>
          <w:color w:val="auto"/>
        </w:rPr>
        <w:t>During the nine months ended September 30, 2015, there were no material changes from the risk factors as previously disclosed in the Partnership’s Form 10-K for the year ended December 31, 2014.</w:t>
      </w:r>
    </w:p>
    <w:p>
      <w:pPr>
        <w:spacing w:after="0" w:line="3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IN SECURITIES AND USE OF PROCEEDS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7"/>
          <w:szCs w:val="17"/>
          <w:color w:val="auto"/>
        </w:rPr>
        <w:t>EXHIBITS</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10140" w:type="dxa"/>
            <w:vAlign w:val="bottom"/>
          </w:tcPr>
          <w:p>
            <w:pPr>
              <w:ind w:left="320"/>
              <w:spacing w:after="0"/>
              <w:rPr>
                <w:sz w:val="20"/>
                <w:szCs w:val="20"/>
                <w:color w:val="auto"/>
              </w:rPr>
            </w:pPr>
            <w:r>
              <w:rPr>
                <w:rFonts w:ascii="Arial" w:cs="Arial" w:eastAsia="Arial" w:hAnsi="Arial"/>
                <w:sz w:val="18"/>
                <w:szCs w:val="18"/>
                <w:color w:val="auto"/>
                <w:w w:val="95"/>
              </w:rPr>
              <w:t>Partnership Agreement of Apache Offshore Investment Partnership (incorporated by reference to Exhibit (3)(i) to Form 10 filed by</w:t>
            </w:r>
          </w:p>
        </w:tc>
      </w:tr>
      <w:tr>
        <w:trPr>
          <w:trHeight w:val="230"/>
        </w:trPr>
        <w:tc>
          <w:tcPr>
            <w:tcW w:w="118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Partnership with the Commission on April 30, 1985, Commission File No. 0-13546).</w:t>
            </w:r>
          </w:p>
        </w:tc>
      </w:tr>
      <w:tr>
        <w:trPr>
          <w:trHeight w:val="310"/>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*3.2</w:t>
            </w:r>
          </w:p>
        </w:tc>
        <w:tc>
          <w:tcPr>
            <w:tcW w:w="10140" w:type="dxa"/>
            <w:vAlign w:val="bottom"/>
          </w:tcPr>
          <w:p>
            <w:pPr>
              <w:ind w:left="320"/>
              <w:spacing w:after="0"/>
              <w:rPr>
                <w:sz w:val="20"/>
                <w:szCs w:val="20"/>
                <w:color w:val="auto"/>
              </w:rPr>
            </w:pPr>
            <w:r>
              <w:rPr>
                <w:rFonts w:ascii="Arial" w:cs="Arial" w:eastAsia="Arial" w:hAnsi="Arial"/>
                <w:sz w:val="18"/>
                <w:szCs w:val="18"/>
                <w:color w:val="auto"/>
                <w:w w:val="90"/>
              </w:rPr>
              <w:t>Amendment No. 1, dated February 11, 1994, to the Partnership Agreement of Apache Offshore Investment Partnership (incorporated by</w:t>
            </w:r>
          </w:p>
        </w:tc>
      </w:tr>
      <w:tr>
        <w:trPr>
          <w:trHeight w:val="216"/>
        </w:trPr>
        <w:tc>
          <w:tcPr>
            <w:tcW w:w="118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reference to Exhibit 3.3 to Partnership’s Annual Report on Form 10-K for the year ended December 31, 1993, Commission File No. 0-</w:t>
            </w:r>
          </w:p>
        </w:tc>
      </w:tr>
      <w:tr>
        <w:trPr>
          <w:trHeight w:val="230"/>
        </w:trPr>
        <w:tc>
          <w:tcPr>
            <w:tcW w:w="118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13546).</w:t>
            </w:r>
          </w:p>
        </w:tc>
      </w:tr>
      <w:tr>
        <w:trPr>
          <w:trHeight w:val="310"/>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*3.3</w:t>
            </w: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Limited Partnership Agreement of Apache Offshore Petroleum Limited Partnership (incorporated by reference to Exhibit (3)(ii) to Form</w:t>
            </w:r>
          </w:p>
        </w:tc>
      </w:tr>
      <w:tr>
        <w:trPr>
          <w:trHeight w:val="230"/>
        </w:trPr>
        <w:tc>
          <w:tcPr>
            <w:tcW w:w="118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10 filed by Partnership with the Commission on April 30, 1985, Commission File No. 0-13546).</w:t>
            </w:r>
          </w:p>
        </w:tc>
      </w:tr>
      <w:tr>
        <w:trPr>
          <w:trHeight w:val="324"/>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10140" w:type="dxa"/>
            <w:vAlign w:val="bottom"/>
          </w:tcPr>
          <w:p>
            <w:pPr>
              <w:ind w:left="320"/>
              <w:spacing w:after="0"/>
              <w:rPr>
                <w:sz w:val="20"/>
                <w:szCs w:val="20"/>
                <w:color w:val="auto"/>
              </w:rPr>
            </w:pPr>
            <w:r>
              <w:rPr>
                <w:rFonts w:ascii="Arial" w:cs="Arial" w:eastAsia="Arial" w:hAnsi="Arial"/>
                <w:sz w:val="18"/>
                <w:szCs w:val="18"/>
                <w:color w:val="auto"/>
              </w:rPr>
              <w:t>Certification (pursuant to Rule 13a-14(a) or Rule 15d-14(a) of the Exchange Act) by Principal Executive Officer</w:t>
            </w:r>
          </w:p>
        </w:tc>
      </w:tr>
      <w:tr>
        <w:trPr>
          <w:trHeight w:val="324"/>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10140" w:type="dxa"/>
            <w:vAlign w:val="bottom"/>
          </w:tcPr>
          <w:p>
            <w:pPr>
              <w:ind w:left="320"/>
              <w:spacing w:after="0"/>
              <w:rPr>
                <w:sz w:val="20"/>
                <w:szCs w:val="20"/>
                <w:color w:val="auto"/>
              </w:rPr>
            </w:pPr>
            <w:r>
              <w:rPr>
                <w:rFonts w:ascii="Arial" w:cs="Arial" w:eastAsia="Arial" w:hAnsi="Arial"/>
                <w:sz w:val="18"/>
                <w:szCs w:val="18"/>
                <w:color w:val="auto"/>
              </w:rPr>
              <w:t>Certification (pursuant to Rule 13a-14(a) or Rule 15d-14(a) of the Exchange Act) by Principal Financial Officer</w:t>
            </w:r>
          </w:p>
        </w:tc>
      </w:tr>
      <w:tr>
        <w:trPr>
          <w:trHeight w:val="324"/>
        </w:trPr>
        <w:tc>
          <w:tcPr>
            <w:tcW w:w="118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10140" w:type="dxa"/>
            <w:vAlign w:val="bottom"/>
          </w:tcPr>
          <w:p>
            <w:pPr>
              <w:ind w:left="320"/>
              <w:spacing w:after="0"/>
              <w:rPr>
                <w:sz w:val="20"/>
                <w:szCs w:val="20"/>
                <w:color w:val="auto"/>
              </w:rPr>
            </w:pPr>
            <w:r>
              <w:rPr>
                <w:rFonts w:ascii="Arial" w:cs="Arial" w:eastAsia="Arial" w:hAnsi="Arial"/>
                <w:sz w:val="18"/>
                <w:szCs w:val="18"/>
                <w:color w:val="auto"/>
                <w:w w:val="95"/>
              </w:rPr>
              <w:t>Section 1350 Certification (pursuant to Sarbanes-Oxley Section 906) by Principal Executive Officer and Principal Financial Officer</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320"/>
              <w:spacing w:after="0"/>
              <w:rPr>
                <w:sz w:val="20"/>
                <w:szCs w:val="20"/>
                <w:color w:val="auto"/>
              </w:rPr>
            </w:pPr>
            <w:r>
              <w:rPr>
                <w:rFonts w:ascii="Arial" w:cs="Arial" w:eastAsia="Arial" w:hAnsi="Arial"/>
                <w:sz w:val="18"/>
                <w:szCs w:val="18"/>
                <w:color w:val="auto"/>
              </w:rPr>
              <w:t>XBRLTaxonomy Schema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320"/>
              <w:spacing w:after="0"/>
              <w:rPr>
                <w:sz w:val="20"/>
                <w:szCs w:val="20"/>
                <w:color w:val="auto"/>
              </w:rPr>
            </w:pPr>
            <w:r>
              <w:rPr>
                <w:rFonts w:ascii="Arial" w:cs="Arial" w:eastAsia="Arial" w:hAnsi="Arial"/>
                <w:sz w:val="18"/>
                <w:szCs w:val="18"/>
                <w:color w:val="auto"/>
              </w:rPr>
              <w:t>XBRLCalculation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320"/>
              <w:spacing w:after="0"/>
              <w:rPr>
                <w:sz w:val="20"/>
                <w:szCs w:val="20"/>
                <w:color w:val="auto"/>
              </w:rPr>
            </w:pPr>
            <w:r>
              <w:rPr>
                <w:rFonts w:ascii="Arial" w:cs="Arial" w:eastAsia="Arial" w:hAnsi="Arial"/>
                <w:sz w:val="18"/>
                <w:szCs w:val="18"/>
                <w:color w:val="auto"/>
              </w:rPr>
              <w:t>XBRLLabel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320"/>
              <w:spacing w:after="0"/>
              <w:rPr>
                <w:sz w:val="20"/>
                <w:szCs w:val="20"/>
                <w:color w:val="auto"/>
              </w:rPr>
            </w:pPr>
            <w:r>
              <w:rPr>
                <w:rFonts w:ascii="Arial" w:cs="Arial" w:eastAsia="Arial" w:hAnsi="Arial"/>
                <w:sz w:val="18"/>
                <w:szCs w:val="18"/>
                <w:color w:val="auto"/>
              </w:rPr>
              <w:t>XBRLPresentation Linkbase Document.</w:t>
            </w:r>
          </w:p>
        </w:tc>
      </w:tr>
    </w:tbl>
    <w:p>
      <w:pPr>
        <w:spacing w:after="0" w:line="229" w:lineRule="exact"/>
        <w:rPr>
          <w:sz w:val="20"/>
          <w:szCs w:val="20"/>
          <w:color w:val="auto"/>
        </w:rPr>
      </w:pPr>
    </w:p>
    <w:p>
      <w:pPr>
        <w:ind w:right="8460" w:firstLine="8"/>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herein. ** Filed herewith.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4" w:right="339" w:bottom="1440" w:gutter="0" w:footer="0" w:header="0"/>
        </w:sectPr>
      </w:pPr>
    </w:p>
    <w:bookmarkStart w:id="13" w:name="page14"/>
    <w:bookmarkEnd w:id="1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40"/>
          </w:cols>
          <w:pgMar w:left="240" w:top="27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APACHE OFFSHORE INVESTMENT PARTNERSHIP</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Apache Corporation, Managing Partner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3422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Stephen J. Riney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Executive Vice President and Chief Financial Officer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financial officer) of Apache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Managing Partner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Rebecca A.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3422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Rebecca A. Hoyt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Controller (principal accounting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 Apache Corporation, Managing Partner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4900" w:space="720"/>
            <w:col w:w="5120"/>
          </w:cols>
          <w:pgMar w:left="240" w:top="270" w:right="9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J. Christmann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5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J. Christmann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Apache Corporation, Managing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J. Riney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of Apache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Apache Corporation, Managing Partner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 John J. Christmann, certify pursuant to 18 U.S.C. Section 1350, as adopted pursuant to Section 906 of the Sarbanes-Oxley Act of 2002, that, to my knowledge, the quarterly report on Form 10-Q of Apache Offshore Investment Partnership for the quarterly period ending September 30,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John J. Christmann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John J. Christmann</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 (principal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 Apache Corporation, Managing Partner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5, 2015</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 Stephen J. Riney, certify pursuant to 18 U.S.C. Section 1350, as adopted pursuant to Section 906 of the Sarbanes-Oxley Act of 2002, that, to my knowledge, the quarterly report on Form 10-Q of Apache Offshore Investment Partnership for the quarterly period ending September 30,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Stephen J. Riney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 of Apache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2019-12-05T21:47:53Z</dcterms:created>
  <dcterms:modified xsi:type="dcterms:W3CDTF">2019-12-05T21:47:53Z</dcterms:modified>
</cp:coreProperties>
</file>