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-20320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0-13546</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APACHE OFFSHORE INVESTMENT PARTNERSHIP</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147" w:lineRule="exact"/>
        <w:rPr>
          <w:sz w:val="24"/>
          <w:szCs w:val="24"/>
          <w:color w:val="auto"/>
        </w:rPr>
      </w:pPr>
    </w:p>
    <w:tbl>
      <w:tblPr>
        <w:tblLayout w:type="fixed"/>
        <w:tblInd w:w="1920" w:type="dxa"/>
        <w:tblCellMar>
          <w:top w:w="0" w:type="dxa"/>
          <w:left w:w="0" w:type="dxa"/>
          <w:bottom w:w="0" w:type="dxa"/>
          <w:right w:w="0" w:type="dxa"/>
        </w:tblCellMar>
      </w:tblPr>
      <w:tr>
        <w:trPr>
          <w:trHeight w:val="186"/>
        </w:trPr>
        <w:tc>
          <w:tcPr>
            <w:tcW w:w="3980" w:type="dxa"/>
            <w:vAlign w:val="bottom"/>
          </w:tcPr>
          <w:p>
            <w:pPr>
              <w:jc w:val="center"/>
              <w:ind w:right="200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center"/>
              <w:ind w:left="2028"/>
              <w:spacing w:after="0"/>
              <w:rPr>
                <w:sz w:val="20"/>
                <w:szCs w:val="20"/>
                <w:color w:val="auto"/>
              </w:rPr>
            </w:pPr>
            <w:r>
              <w:rPr>
                <w:rFonts w:ascii="Arial" w:cs="Arial" w:eastAsia="Arial" w:hAnsi="Arial"/>
                <w:sz w:val="14"/>
                <w:szCs w:val="14"/>
                <w:b w:val="1"/>
                <w:bCs w:val="1"/>
                <w:color w:val="auto"/>
                <w:w w:val="93"/>
              </w:rPr>
              <w:t>41-1464066</w:t>
            </w:r>
          </w:p>
        </w:tc>
      </w:tr>
      <w:tr>
        <w:trPr>
          <w:trHeight w:val="165"/>
        </w:trPr>
        <w:tc>
          <w:tcPr>
            <w:tcW w:w="3980" w:type="dxa"/>
            <w:vAlign w:val="bottom"/>
          </w:tcPr>
          <w:p>
            <w:pPr>
              <w:jc w:val="center"/>
              <w:ind w:right="2028"/>
              <w:spacing w:after="0"/>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8"/>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8"/>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19"/>
        <w:spacing w:after="0"/>
        <w:rPr>
          <w:sz w:val="20"/>
          <w:szCs w:val="20"/>
          <w:color w:val="auto"/>
        </w:rPr>
      </w:pPr>
      <w:r>
        <w:rPr>
          <w:rFonts w:ascii="Arial" w:cs="Arial" w:eastAsia="Arial" w:hAnsi="Arial"/>
          <w:sz w:val="14"/>
          <w:szCs w:val="14"/>
          <w:b w:val="1"/>
          <w:bCs w:val="1"/>
          <w:color w:val="auto"/>
        </w:rPr>
        <w:t>One Post Oak Central, 2000 Post Oak Boulevard, Suite 100, Houston, Texas 77056-4400</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296-6000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Partnership Units</w:t>
      </w:r>
    </w:p>
    <w:p>
      <w:pPr>
        <w:sectPr>
          <w:pgSz w:w="11900" w:h="16838" w:orient="portrait"/>
          <w:cols w:equalWidth="0" w:num="1">
            <w:col w:w="11400"/>
          </w:cols>
          <w:pgMar w:left="240" w:top="535" w:right="259" w:bottom="1440" w:gutter="0" w:footer="0" w:header="0"/>
        </w:sectPr>
      </w:pPr>
    </w:p>
    <w:p>
      <w:pPr>
        <w:spacing w:after="0" w:line="225"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of 1933.</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190" w:lineRule="exact"/>
        <w:rPr>
          <w:sz w:val="24"/>
          <w:szCs w:val="24"/>
          <w:color w:val="auto"/>
        </w:rPr>
      </w:pPr>
    </w:p>
    <w:p>
      <w:pPr>
        <w:sectPr>
          <w:pgSz w:w="11900" w:h="16838" w:orient="portrait"/>
          <w:cols w:equalWidth="0" w:num="4">
            <w:col w:w="7680" w:space="180"/>
            <w:col w:w="200" w:space="80"/>
            <w:col w:w="120" w:space="160"/>
            <w:col w:w="2980"/>
          </w:cols>
          <w:pgMar w:left="240" w:top="535" w:right="25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200" w:lineRule="exact"/>
        <w:rPr>
          <w:sz w:val="24"/>
          <w:szCs w:val="24"/>
          <w:color w:val="auto"/>
        </w:rPr>
      </w:pPr>
    </w:p>
    <w:p>
      <w:pPr>
        <w:sectPr>
          <w:pgSz w:w="11900" w:h="16838" w:orient="portrait"/>
          <w:cols w:equalWidth="0" w:num="4">
            <w:col w:w="7320" w:space="180"/>
            <w:col w:w="220" w:space="60"/>
            <w:col w:w="140" w:space="140"/>
            <w:col w:w="3340"/>
          </w:cols>
          <w:pgMar w:left="240" w:top="535" w:right="259" w:bottom="1440" w:gutter="0" w:footer="0" w:header="0"/>
          <w:type w:val="continuous"/>
        </w:sectPr>
      </w:pPr>
    </w:p>
    <w:p>
      <w:pPr>
        <w:spacing w:after="0" w:line="17" w:lineRule="exact"/>
        <w:rPr>
          <w:sz w:val="24"/>
          <w:szCs w:val="24"/>
          <w:color w:val="auto"/>
        </w:rPr>
      </w:pPr>
    </w:p>
    <w:p>
      <w:pPr>
        <w:ind w:right="14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460" w:firstLine="432"/>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200" w:firstLine="432"/>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60"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535" w:right="259" w:bottom="1440" w:gutter="0" w:footer="0" w:header="0"/>
          <w:type w:val="continuous"/>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4">
            <w:col w:w="1940" w:space="720"/>
            <w:col w:w="6140" w:space="720"/>
            <w:col w:w="1020" w:space="720"/>
            <w:col w:w="140"/>
          </w:cols>
          <w:pgMar w:left="240" w:top="535" w:right="25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41" w:lineRule="exact"/>
        <w:rPr>
          <w:sz w:val="24"/>
          <w:szCs w:val="24"/>
          <w:color w:val="auto"/>
        </w:rPr>
      </w:pPr>
    </w:p>
    <w:p>
      <w:pPr>
        <w:sectPr>
          <w:pgSz w:w="11900" w:h="16838" w:orient="portrait"/>
          <w:cols w:equalWidth="0" w:num="4">
            <w:col w:w="1940" w:space="720"/>
            <w:col w:w="5540" w:space="720"/>
            <w:col w:w="1680" w:space="720"/>
            <w:col w:w="80"/>
          </w:cols>
          <w:pgMar w:left="240" w:top="535" w:right="259" w:bottom="1440" w:gutter="0" w:footer="0" w:header="0"/>
          <w:type w:val="continuous"/>
        </w:sectPr>
      </w:pPr>
    </w:p>
    <w:p>
      <w:pPr>
        <w:spacing w:after="0" w:line="28"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163" w:lineRule="exact"/>
        <w:rPr>
          <w:sz w:val="24"/>
          <w:szCs w:val="24"/>
          <w:color w:val="auto"/>
        </w:rPr>
      </w:pPr>
    </w:p>
    <w:p>
      <w:pPr>
        <w:sectPr>
          <w:pgSz w:w="11900" w:h="16838" w:orient="portrait"/>
          <w:cols w:equalWidth="0" w:num="3">
            <w:col w:w="7220" w:space="80"/>
            <w:col w:w="120" w:space="160"/>
            <w:col w:w="3820"/>
          </w:cols>
          <w:pgMar w:left="240" w:top="535" w:right="2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Aggregate market value of the voting and non-voting common equity held by non-affiliates of registrant as of June 30,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5,898,618</w:t>
      </w:r>
    </w:p>
    <w:p>
      <w:pPr>
        <w:spacing w:after="0" w:line="76" w:lineRule="exact"/>
        <w:rPr>
          <w:sz w:val="24"/>
          <w:szCs w:val="24"/>
          <w:color w:val="auto"/>
        </w:rPr>
      </w:pPr>
    </w:p>
    <w:p>
      <w:pPr>
        <w:sectPr>
          <w:pgSz w:w="11900" w:h="16838" w:orient="portrait"/>
          <w:cols w:equalWidth="0" w:num="3">
            <w:col w:w="9260" w:space="720"/>
            <w:col w:w="60" w:space="700"/>
            <w:col w:w="660"/>
          </w:cols>
          <w:pgMar w:left="240" w:top="535" w:right="25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00"/>
          </w:cols>
          <w:pgMar w:left="240" w:top="535" w:right="25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3"/>
          <w:szCs w:val="13"/>
          <w:color w:val="auto"/>
        </w:rPr>
        <w:t>Portions of Apache Corporation’s proxy statement relating to its 2017 annual meeting of stockholders have been incorporated by reference into Part III hereof.</w:t>
      </w:r>
    </w:p>
    <w:p>
      <w:pPr>
        <w:sectPr>
          <w:pgSz w:w="11900" w:h="16838" w:orient="portrait"/>
          <w:cols w:equalWidth="0" w:num="1">
            <w:col w:w="11400"/>
          </w:cols>
          <w:pgMar w:left="240" w:top="53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20" w:type="dxa"/>
            <w:vAlign w:val="bottom"/>
            <w:gridSpan w:val="4"/>
          </w:tcPr>
          <w:p>
            <w:pPr>
              <w:jc w:val="center"/>
              <w:ind w:right="4108"/>
              <w:spacing w:after="0"/>
              <w:rPr>
                <w:sz w:val="20"/>
                <w:szCs w:val="20"/>
                <w:color w:val="auto"/>
              </w:rPr>
            </w:pPr>
            <w:r>
              <w:rPr>
                <w:rFonts w:ascii="Arial" w:cs="Arial" w:eastAsia="Arial" w:hAnsi="Arial"/>
                <w:sz w:val="18"/>
                <w:szCs w:val="18"/>
                <w:b w:val="1"/>
                <w:bCs w:val="1"/>
                <w:color w:val="auto"/>
                <w:w w:val="98"/>
              </w:rPr>
              <w:t>TABLE OF CONTENTS</w:t>
            </w:r>
          </w:p>
        </w:tc>
      </w:tr>
      <w:tr>
        <w:trPr>
          <w:trHeight w:val="432"/>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4"/>
          </w:tcPr>
          <w:p>
            <w:pPr>
              <w:jc w:val="center"/>
              <w:ind w:right="4128"/>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Page</w:t>
            </w:r>
          </w:p>
        </w:tc>
      </w:tr>
      <w:tr>
        <w:trPr>
          <w:trHeight w:val="189"/>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Borders>
              <w:bottom w:val="single" w:sz="8" w:color="0000EE"/>
            </w:tcBorders>
          </w:tcPr>
          <w:p>
            <w:pPr>
              <w:jc w:val="cente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34"/>
        </w:trPr>
        <w:tc>
          <w:tcPr>
            <w:tcW w:w="820" w:type="dxa"/>
            <w:vAlign w:val="bottom"/>
          </w:tcPr>
          <w:p>
            <w:pPr>
              <w:ind w:lef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BUSINESS</w:t>
              </w:r>
            </w:hyperlink>
          </w:p>
        </w:tc>
        <w:tc>
          <w:tcPr>
            <w:tcW w:w="2500" w:type="dxa"/>
            <w:vAlign w:val="bottom"/>
            <w:gridSpan w:val="6"/>
          </w:tcPr>
          <w:p>
            <w:pPr>
              <w:spacing w:after="0"/>
              <w:rPr>
                <w:sz w:val="24"/>
                <w:szCs w:val="24"/>
                <w:color w:val="auto"/>
              </w:rPr>
            </w:pPr>
          </w:p>
        </w:tc>
        <w:tc>
          <w:tcPr>
            <w:tcW w:w="7220" w:type="dxa"/>
            <w:vAlign w:val="bottom"/>
            <w:gridSpan w:val="4"/>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1A.</w:t>
            </w:r>
          </w:p>
        </w:tc>
        <w:tc>
          <w:tcPr>
            <w:tcW w:w="20" w:type="dxa"/>
            <w:vAlign w:val="bottom"/>
          </w:tcPr>
          <w:p>
            <w:pPr>
              <w:spacing w:after="0"/>
              <w:rPr>
                <w:sz w:val="21"/>
                <w:szCs w:val="21"/>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2100" w:type="dxa"/>
            <w:vAlign w:val="bottom"/>
            <w:gridSpan w:val="4"/>
          </w:tcPr>
          <w:p>
            <w:pPr>
              <w:spacing w:after="0"/>
              <w:rPr>
                <w:sz w:val="21"/>
                <w:szCs w:val="21"/>
                <w:color w:val="auto"/>
              </w:rPr>
            </w:pPr>
          </w:p>
        </w:tc>
        <w:tc>
          <w:tcPr>
            <w:tcW w:w="7220" w:type="dxa"/>
            <w:vAlign w:val="bottom"/>
            <w:gridSpan w:val="4"/>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1B.</w:t>
            </w:r>
          </w:p>
        </w:tc>
        <w:tc>
          <w:tcPr>
            <w:tcW w:w="20" w:type="dxa"/>
            <w:vAlign w:val="bottom"/>
          </w:tcPr>
          <w:p>
            <w:pPr>
              <w:spacing w:after="0"/>
              <w:rPr>
                <w:sz w:val="21"/>
                <w:szCs w:val="21"/>
                <w:color w:val="auto"/>
              </w:rPr>
            </w:pPr>
          </w:p>
        </w:tc>
        <w:tc>
          <w:tcPr>
            <w:tcW w:w="336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UNRESOLVED STAFF COMMENTS</w:t>
              </w:r>
            </w:hyperlink>
          </w:p>
        </w:tc>
        <w:tc>
          <w:tcPr>
            <w:tcW w:w="7220" w:type="dxa"/>
            <w:vAlign w:val="bottom"/>
            <w:gridSpan w:val="4"/>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7</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PROPERTIES</w:t>
              </w:r>
            </w:hyperlink>
          </w:p>
        </w:tc>
        <w:tc>
          <w:tcPr>
            <w:tcW w:w="1760" w:type="dxa"/>
            <w:vAlign w:val="bottom"/>
            <w:tcBorders>
              <w:top w:val="single" w:sz="8" w:color="0000EE"/>
            </w:tcBorders>
            <w:gridSpan w:val="4"/>
          </w:tcPr>
          <w:p>
            <w:pPr>
              <w:spacing w:after="0"/>
              <w:rPr>
                <w:sz w:val="21"/>
                <w:szCs w:val="21"/>
                <w:color w:val="auto"/>
              </w:rPr>
            </w:pPr>
          </w:p>
        </w:tc>
        <w:tc>
          <w:tcPr>
            <w:tcW w:w="540" w:type="dxa"/>
            <w:vAlign w:val="bottom"/>
          </w:tcPr>
          <w:p>
            <w:pPr>
              <w:spacing w:after="0"/>
              <w:rPr>
                <w:sz w:val="21"/>
                <w:szCs w:val="21"/>
                <w:color w:val="auto"/>
              </w:rPr>
            </w:pPr>
          </w:p>
        </w:tc>
        <w:tc>
          <w:tcPr>
            <w:tcW w:w="7220" w:type="dxa"/>
            <w:vAlign w:val="bottom"/>
            <w:gridSpan w:val="4"/>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7</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33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7220" w:type="dxa"/>
            <w:vAlign w:val="bottom"/>
            <w:gridSpan w:val="4"/>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10</w:t>
              </w:r>
            </w:hyperlink>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33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7220" w:type="dxa"/>
            <w:vAlign w:val="bottom"/>
            <w:gridSpan w:val="4"/>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10</w:t>
              </w:r>
            </w:hyperlink>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PART II</w:t>
        </w:r>
      </w:hyperlink>
    </w:p>
    <w:p>
      <w:pPr>
        <w:spacing w:after="0" w:line="337" w:lineRule="exact"/>
        <w:rPr>
          <w:sz w:val="20"/>
          <w:szCs w:val="20"/>
          <w:color w:val="auto"/>
        </w:rPr>
      </w:pPr>
    </w:p>
    <w:p>
      <w:pPr>
        <w:ind w:left="840" w:hanging="805"/>
        <w:spacing w:after="0"/>
        <w:tabs>
          <w:tab w:leader="none" w:pos="840" w:val="left"/>
        </w:tabs>
        <w:numPr>
          <w:ilvl w:val="0"/>
          <w:numId w:val="3"/>
        </w:numPr>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MARKET FOR REGISTRANT’S COMMON EQUITY, RELATED STOCKHOLDER MATTERS AND ISSUER PURCHASES OF</w:t>
        </w:r>
      </w:hyperlink>
    </w:p>
    <w:tbl>
      <w:tblPr>
        <w:tblLayout w:type="fixed"/>
        <w:tblInd w:w="40" w:type="dxa"/>
        <w:tblCellMar>
          <w:top w:w="0" w:type="dxa"/>
          <w:left w:w="0" w:type="dxa"/>
          <w:bottom w:w="0" w:type="dxa"/>
          <w:right w:w="0" w:type="dxa"/>
        </w:tblCellMar>
      </w:tblPr>
      <w:tr>
        <w:trPr>
          <w:trHeight w:val="199"/>
        </w:trPr>
        <w:tc>
          <w:tcPr>
            <w:tcW w:w="800" w:type="dxa"/>
            <w:vAlign w:val="bottom"/>
          </w:tcPr>
          <w:p>
            <w:pPr>
              <w:spacing w:after="0"/>
              <w:rPr>
                <w:sz w:val="17"/>
                <w:szCs w:val="17"/>
                <w:color w:val="auto"/>
              </w:rPr>
            </w:pPr>
          </w:p>
        </w:tc>
        <w:tc>
          <w:tcPr>
            <w:tcW w:w="9740" w:type="dxa"/>
            <w:vAlign w:val="bottom"/>
            <w:gridSpan w:val="13"/>
          </w:tcPr>
          <w:p>
            <w:pPr>
              <w:spacing w:after="0" w:line="199" w:lineRule="exact"/>
              <w:rPr>
                <w:rFonts w:ascii="Arial" w:cs="Arial" w:eastAsia="Arial" w:hAnsi="Arial"/>
                <w:sz w:val="18"/>
                <w:szCs w:val="18"/>
                <w:color w:val="0000EE"/>
              </w:rPr>
            </w:pPr>
            <w:hyperlink w:anchor="page14">
              <w:r>
                <w:rPr>
                  <w:rFonts w:ascii="Arial" w:cs="Arial" w:eastAsia="Arial" w:hAnsi="Arial"/>
                  <w:sz w:val="18"/>
                  <w:szCs w:val="18"/>
                  <w:color w:val="0000EE"/>
                </w:rPr>
                <w:t>EQUITY SECURITIES</w:t>
              </w:r>
            </w:hyperlink>
          </w:p>
        </w:tc>
        <w:tc>
          <w:tcPr>
            <w:tcW w:w="820" w:type="dxa"/>
            <w:vAlign w:val="bottom"/>
          </w:tcPr>
          <w:p>
            <w:pPr>
              <w:jc w:val="right"/>
              <w:spacing w:after="0" w:line="199" w:lineRule="exact"/>
              <w:rPr>
                <w:rFonts w:ascii="Arial" w:cs="Arial" w:eastAsia="Arial" w:hAnsi="Arial"/>
                <w:sz w:val="18"/>
                <w:szCs w:val="18"/>
                <w:color w:val="auto"/>
              </w:rPr>
            </w:pPr>
            <w:hyperlink w:anchor="page14">
              <w:r>
                <w:rPr>
                  <w:rFonts w:ascii="Arial" w:cs="Arial" w:eastAsia="Arial" w:hAnsi="Arial"/>
                  <w:sz w:val="18"/>
                  <w:szCs w:val="18"/>
                  <w:color w:val="auto"/>
                </w:rPr>
                <w:t>11</w:t>
              </w:r>
            </w:hyperlink>
          </w:p>
        </w:tc>
      </w:tr>
      <w:tr>
        <w:trPr>
          <w:trHeight w:val="20"/>
        </w:trPr>
        <w:tc>
          <w:tcPr>
            <w:tcW w:w="80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6.</w:t>
            </w:r>
          </w:p>
        </w:tc>
        <w:tc>
          <w:tcPr>
            <w:tcW w:w="244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SELECTED FINANCIAL DATA</w:t>
              </w:r>
            </w:hyperlink>
          </w:p>
        </w:tc>
        <w:tc>
          <w:tcPr>
            <w:tcW w:w="7300" w:type="dxa"/>
            <w:vAlign w:val="bottom"/>
            <w:gridSpan w:val="10"/>
          </w:tcPr>
          <w:p>
            <w:pPr>
              <w:spacing w:after="0"/>
              <w:rPr>
                <w:sz w:val="21"/>
                <w:szCs w:val="21"/>
                <w:color w:val="auto"/>
              </w:rPr>
            </w:pPr>
          </w:p>
        </w:tc>
        <w:tc>
          <w:tcPr>
            <w:tcW w:w="82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11</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7.</w:t>
            </w:r>
          </w:p>
        </w:tc>
        <w:tc>
          <w:tcPr>
            <w:tcW w:w="974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11</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7A.</w:t>
            </w:r>
          </w:p>
        </w:tc>
        <w:tc>
          <w:tcPr>
            <w:tcW w:w="8920" w:type="dxa"/>
            <w:vAlign w:val="bottom"/>
            <w:tcBorders>
              <w:top w:val="single" w:sz="8" w:color="0000EE"/>
            </w:tcBorders>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820" w:type="dxa"/>
            <w:vAlign w:val="bottom"/>
            <w:gridSpan w:val="2"/>
          </w:tcPr>
          <w:p>
            <w:pPr>
              <w:spacing w:after="0"/>
              <w:rPr>
                <w:sz w:val="21"/>
                <w:szCs w:val="21"/>
                <w:color w:val="auto"/>
              </w:rPr>
            </w:pPr>
          </w:p>
        </w:tc>
        <w:tc>
          <w:tcPr>
            <w:tcW w:w="8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18</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8.</w:t>
            </w:r>
          </w:p>
        </w:tc>
        <w:tc>
          <w:tcPr>
            <w:tcW w:w="6140" w:type="dxa"/>
            <w:vAlign w:val="bottom"/>
            <w:tcBorders>
              <w:top w:val="single" w:sz="8" w:color="0000EE"/>
            </w:tcBorders>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FINANCIAL STATEMENTS AND SUPPLEMENTARY DATA</w:t>
              </w:r>
            </w:hyperlink>
          </w:p>
        </w:tc>
        <w:tc>
          <w:tcPr>
            <w:tcW w:w="3600" w:type="dxa"/>
            <w:vAlign w:val="bottom"/>
            <w:gridSpan w:val="3"/>
          </w:tcPr>
          <w:p>
            <w:pPr>
              <w:spacing w:after="0"/>
              <w:rPr>
                <w:sz w:val="21"/>
                <w:szCs w:val="21"/>
                <w:color w:val="auto"/>
              </w:rPr>
            </w:pPr>
          </w:p>
        </w:tc>
        <w:tc>
          <w:tcPr>
            <w:tcW w:w="8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r>
      <w:tr>
        <w:trPr>
          <w:trHeight w:val="20"/>
        </w:trPr>
        <w:tc>
          <w:tcPr>
            <w:tcW w:w="8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w:t>
            </w:r>
          </w:p>
        </w:tc>
        <w:tc>
          <w:tcPr>
            <w:tcW w:w="974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CHANGES IN AND DISAGREEMENTS WITH ACCOUNTANTS ON ACCOUNTING AND FINANCIAL DISCLOSURE</w:t>
              </w:r>
            </w:hyperlink>
          </w:p>
        </w:tc>
        <w:tc>
          <w:tcPr>
            <w:tcW w:w="8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9A.</w:t>
            </w:r>
          </w:p>
        </w:tc>
        <w:tc>
          <w:tcPr>
            <w:tcW w:w="9100" w:type="dxa"/>
            <w:vAlign w:val="bottom"/>
            <w:tcBorders>
              <w:top w:val="single" w:sz="8" w:color="0000EE"/>
            </w:tcBorders>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640" w:type="dxa"/>
            <w:vAlign w:val="bottom"/>
          </w:tcPr>
          <w:p>
            <w:pPr>
              <w:spacing w:after="0"/>
              <w:rPr>
                <w:sz w:val="21"/>
                <w:szCs w:val="21"/>
                <w:color w:val="auto"/>
              </w:rPr>
            </w:pPr>
          </w:p>
        </w:tc>
        <w:tc>
          <w:tcPr>
            <w:tcW w:w="8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9B.</w:t>
            </w:r>
          </w:p>
        </w:tc>
        <w:tc>
          <w:tcPr>
            <w:tcW w:w="260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140" w:type="dxa"/>
            <w:vAlign w:val="bottom"/>
            <w:gridSpan w:val="8"/>
          </w:tcPr>
          <w:p>
            <w:pPr>
              <w:spacing w:after="0"/>
              <w:rPr>
                <w:sz w:val="21"/>
                <w:szCs w:val="21"/>
                <w:color w:val="auto"/>
              </w:rPr>
            </w:pPr>
          </w:p>
        </w:tc>
        <w:tc>
          <w:tcPr>
            <w:tcW w:w="8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520"/>
        </w:trPr>
        <w:tc>
          <w:tcPr>
            <w:tcW w:w="800" w:type="dxa"/>
            <w:vAlign w:val="bottom"/>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40" w:type="dxa"/>
            <w:vAlign w:val="bottom"/>
            <w:gridSpan w:val="8"/>
          </w:tcPr>
          <w:p>
            <w:pPr>
              <w:ind w:left="1920"/>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III</w:t>
              </w:r>
            </w:hyperlink>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10.</w:t>
            </w:r>
          </w:p>
        </w:tc>
        <w:tc>
          <w:tcPr>
            <w:tcW w:w="974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8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11.</w:t>
            </w:r>
          </w:p>
        </w:tc>
        <w:tc>
          <w:tcPr>
            <w:tcW w:w="2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EXECUTIVE COMPENSATION</w:t>
              </w:r>
            </w:hyperlink>
          </w:p>
        </w:tc>
        <w:tc>
          <w:tcPr>
            <w:tcW w:w="3340" w:type="dxa"/>
            <w:vAlign w:val="bottom"/>
            <w:tcBorders>
              <w:top w:val="single" w:sz="8" w:color="0000EE"/>
            </w:tcBorders>
            <w:gridSpan w:val="5"/>
          </w:tcPr>
          <w:p>
            <w:pPr>
              <w:spacing w:after="0"/>
              <w:rPr>
                <w:sz w:val="21"/>
                <w:szCs w:val="21"/>
                <w:color w:val="auto"/>
              </w:rPr>
            </w:pPr>
          </w:p>
        </w:tc>
        <w:tc>
          <w:tcPr>
            <w:tcW w:w="3940" w:type="dxa"/>
            <w:vAlign w:val="bottom"/>
            <w:gridSpan w:val="4"/>
          </w:tcPr>
          <w:p>
            <w:pPr>
              <w:spacing w:after="0"/>
              <w:rPr>
                <w:sz w:val="21"/>
                <w:szCs w:val="21"/>
                <w:color w:val="auto"/>
              </w:rPr>
            </w:pPr>
          </w:p>
        </w:tc>
        <w:tc>
          <w:tcPr>
            <w:tcW w:w="8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bl>
    <w:p>
      <w:pPr>
        <w:spacing w:after="0" w:line="67" w:lineRule="exact"/>
        <w:rPr>
          <w:sz w:val="20"/>
          <w:szCs w:val="20"/>
          <w:color w:val="auto"/>
        </w:rPr>
      </w:pPr>
    </w:p>
    <w:p>
      <w:pPr>
        <w:ind w:left="840" w:hanging="805"/>
        <w:spacing w:after="0"/>
        <w:tabs>
          <w:tab w:leader="none" w:pos="840" w:val="left"/>
        </w:tabs>
        <w:numPr>
          <w:ilvl w:val="0"/>
          <w:numId w:val="4"/>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SECURITY OWNERSHIP OF CERTAIN BENEFICIAL OWNERS AND MANAGEMENT AND RELATED SECURITY HOLDER</w:t>
        </w:r>
      </w:hyperlink>
    </w:p>
    <w:tbl>
      <w:tblPr>
        <w:tblLayout w:type="fixed"/>
        <w:tblInd w:w="40" w:type="dxa"/>
        <w:tblCellMar>
          <w:top w:w="0" w:type="dxa"/>
          <w:left w:w="0" w:type="dxa"/>
          <w:bottom w:w="0" w:type="dxa"/>
          <w:right w:w="0" w:type="dxa"/>
        </w:tblCellMar>
      </w:tblPr>
      <w:tr>
        <w:trPr>
          <w:trHeight w:val="199"/>
        </w:trPr>
        <w:tc>
          <w:tcPr>
            <w:tcW w:w="800" w:type="dxa"/>
            <w:vAlign w:val="bottom"/>
          </w:tcPr>
          <w:p>
            <w:pPr>
              <w:spacing w:after="0"/>
              <w:rPr>
                <w:sz w:val="17"/>
                <w:szCs w:val="17"/>
                <w:color w:val="auto"/>
              </w:rPr>
            </w:pPr>
          </w:p>
        </w:tc>
        <w:tc>
          <w:tcPr>
            <w:tcW w:w="9020" w:type="dxa"/>
            <w:vAlign w:val="bottom"/>
            <w:gridSpan w:val="8"/>
          </w:tcPr>
          <w:p>
            <w:pPr>
              <w:spacing w:after="0" w:line="199" w:lineRule="exact"/>
              <w:rPr>
                <w:rFonts w:ascii="Arial" w:cs="Arial" w:eastAsia="Arial" w:hAnsi="Arial"/>
                <w:sz w:val="18"/>
                <w:szCs w:val="18"/>
                <w:color w:val="0000EE"/>
              </w:rPr>
            </w:pPr>
            <w:hyperlink w:anchor="page41">
              <w:r>
                <w:rPr>
                  <w:rFonts w:ascii="Arial" w:cs="Arial" w:eastAsia="Arial" w:hAnsi="Arial"/>
                  <w:sz w:val="18"/>
                  <w:szCs w:val="18"/>
                  <w:color w:val="0000EE"/>
                </w:rPr>
                <w:t>MATTERS</w:t>
              </w:r>
            </w:hyperlink>
          </w:p>
        </w:tc>
        <w:tc>
          <w:tcPr>
            <w:tcW w:w="1540" w:type="dxa"/>
            <w:vAlign w:val="bottom"/>
          </w:tcPr>
          <w:p>
            <w:pPr>
              <w:jc w:val="right"/>
              <w:spacing w:after="0" w:line="199" w:lineRule="exact"/>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0"/>
        </w:trPr>
        <w:tc>
          <w:tcPr>
            <w:tcW w:w="8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13.</w:t>
            </w:r>
          </w:p>
        </w:tc>
        <w:tc>
          <w:tcPr>
            <w:tcW w:w="902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15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250"/>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14.</w:t>
            </w:r>
          </w:p>
        </w:tc>
        <w:tc>
          <w:tcPr>
            <w:tcW w:w="7660" w:type="dxa"/>
            <w:vAlign w:val="bottom"/>
            <w:tcBorders>
              <w:top w:val="single" w:sz="8" w:color="0000EE"/>
            </w:tcBorders>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1360" w:type="dxa"/>
            <w:vAlign w:val="bottom"/>
          </w:tcPr>
          <w:p>
            <w:pPr>
              <w:spacing w:after="0"/>
              <w:rPr>
                <w:sz w:val="21"/>
                <w:szCs w:val="21"/>
                <w:color w:val="auto"/>
              </w:rPr>
            </w:pPr>
          </w:p>
        </w:tc>
        <w:tc>
          <w:tcPr>
            <w:tcW w:w="154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520"/>
        </w:trPr>
        <w:tc>
          <w:tcPr>
            <w:tcW w:w="80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42">
              <w:r>
                <w:rPr>
                  <w:rFonts w:ascii="Arial" w:cs="Arial" w:eastAsia="Arial" w:hAnsi="Arial"/>
                  <w:sz w:val="18"/>
                  <w:szCs w:val="18"/>
                  <w:b w:val="1"/>
                  <w:bCs w:val="1"/>
                  <w:color w:val="0000EE"/>
                  <w:w w:val="98"/>
                </w:rPr>
                <w:t>PART IV</w:t>
              </w:r>
            </w:hyperlink>
          </w:p>
        </w:tc>
        <w:tc>
          <w:tcPr>
            <w:tcW w:w="378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r>
      <w:tr>
        <w:trPr>
          <w:trHeight w:val="520"/>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15.</w:t>
            </w:r>
          </w:p>
        </w:tc>
        <w:tc>
          <w:tcPr>
            <w:tcW w:w="40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EXHIBITS, FINANCIAL STATEMENT SCHEDULES</w:t>
              </w:r>
            </w:hyperlink>
          </w:p>
        </w:tc>
        <w:tc>
          <w:tcPr>
            <w:tcW w:w="4960" w:type="dxa"/>
            <w:vAlign w:val="bottom"/>
            <w:gridSpan w:val="4"/>
          </w:tcPr>
          <w:p>
            <w:pPr>
              <w:spacing w:after="0"/>
              <w:rPr>
                <w:sz w:val="24"/>
                <w:szCs w:val="24"/>
                <w:color w:val="auto"/>
              </w:rPr>
            </w:pPr>
          </w:p>
        </w:tc>
        <w:tc>
          <w:tcPr>
            <w:tcW w:w="15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50"/>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16.</w:t>
            </w:r>
          </w:p>
        </w:tc>
        <w:tc>
          <w:tcPr>
            <w:tcW w:w="19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FORM 10-K SUMMARY</w:t>
              </w:r>
            </w:hyperlink>
          </w:p>
        </w:tc>
        <w:tc>
          <w:tcPr>
            <w:tcW w:w="7120" w:type="dxa"/>
            <w:vAlign w:val="bottom"/>
            <w:gridSpan w:val="6"/>
          </w:tcPr>
          <w:p>
            <w:pPr>
              <w:spacing w:after="0"/>
              <w:rPr>
                <w:sz w:val="21"/>
                <w:szCs w:val="21"/>
                <w:color w:val="auto"/>
              </w:rPr>
            </w:pPr>
          </w:p>
        </w:tc>
        <w:tc>
          <w:tcPr>
            <w:tcW w:w="15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bl>
    <w:p>
      <w:pPr>
        <w:spacing w:after="0" w:line="25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All defined terms under Rule 4-10(a) of Regulation S-X shall have their statutorily-prescribed meanings when used in this report. Quantities of natural gas are expressed in this report in terms of thousand cubic feet (Mcf), million cubic feet (MMcf) or billion cubic feet (Bcf). Oil is quantified in terms of barrels (bbls), thousands of barrels (Mbbls) and millions of barrels (MMbbls). Natural gas is compared to oil in terms of barrels of oil equivalent (boe) or million barrels of oil equivalent (MMboe). Oil and natural gas liquids are compared with natural gas in terms of million cubic feet equivalent (MMcfe) and billion cubic feet equivalent (Bcfe). One barrel of oil is the energy equivalent of six Mcf of natural gas. Daily oil and gas production is expressed in terms of barrels of oil per day (bopd) and thousands of cubic feet of gas per day (Mcfd), respectively. With respect to information relating to the Partnership’s working interest in wells or acreage, “net” oil and gas wells or acreage is determined by multiplying gross wells or acreage by the Apache Offshore Investment Partnership’s working interest therein. Unless otherwise specified, all references to wells and acres are gross.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1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 AND RISK</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2016, and other data in our possession or available from third parties. In addition, forward-looking statements generally can be identified by the use of forward-looking terminology such as “may,” “will,” “could,” “expect,” “intend,” “project,” “estimate,” “anticipate,” “plan,”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59"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prices of oil, natural gas, NGLs, and other products or services;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pipeline and gathering system capacity;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 and other contractual obligations;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changes, including environmental regulation;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terrorism or cyber-attacks;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capital markets and related risks such as general credit, liquidity, market, and interest-rate risks; and</w:t>
      </w:r>
    </w:p>
    <w:p>
      <w:pPr>
        <w:spacing w:after="0" w:line="117" w:lineRule="exact"/>
        <w:rPr>
          <w:rFonts w:ascii="Arial" w:cs="Arial" w:eastAsia="Arial" w:hAnsi="Arial"/>
          <w:sz w:val="18"/>
          <w:szCs w:val="18"/>
          <w:color w:val="auto"/>
        </w:rPr>
      </w:pPr>
    </w:p>
    <w:p>
      <w:pPr>
        <w:jc w:val="both"/>
        <w:ind w:left="640" w:right="18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disclosed under Item 1A – “Risk Factors,” Item 2 – “Properties — Estimated Proved Reserves and Future Net Cash Flows,” Item 7 – “Management’s Discussion and Analysis of Financial Condition and Results of Operations,” Item 7A – “Quantitative and Qualitative Disclosures About Market Risk” and elsewhere in this Form 10-K.</w:t>
      </w:r>
    </w:p>
    <w:p>
      <w:pPr>
        <w:spacing w:after="0" w:line="18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the Partnership, or persons acting on its behalf, are expressly qualified in their entirety by the cautionary statements. We assume no duty to update or revise our forward-looking statements based on changes in internal estimates or expectations or otherwise.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580"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Apache Offshore Investment Partnership, a Delaware general partnership (the Investment Partnership), was formed on October 31, 1983, consisting of Apache Corporation, a Delaware corporation, (Apache or Managing Partner), as Managing Partner and public investors (the Investing Partners). The Investment Partnership invested its entire capital in Apache Offshore Petroleum Limited Partnership, a Delaware limited partnership (the Operating Partnership), of which Apache is the sole general partner and the Investment Partnership is the sole limited partner. The primary business of the Investment Partnership is to serve as the sole limited partner of the Operating Partnership. The primary business of the Operating Partnership is to conduct oil and gas exploration, development and production operations. The Operating Partnership conducts the operations of the Investment Partnership.</w:t>
      </w:r>
    </w:p>
    <w:p>
      <w:pPr>
        <w:spacing w:after="0" w:line="16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Investment Partnership does not maintain its own website. However, copies of this Form 10-K and the Partnership’s periodic filings with the Securities and Exchange Commission (SEC) can be found on the Managing Partner’s website at www.apachecorp.com/Offshore_Investment_Partnership. The Investment Partnership will also provide paper copies of these filings, free of charge, to anyone so requesting. Included in the Investment Partnership’s annual reports on Form 10-K and quarterly reports on Form 10-Q are the certifications of the Managing Partners’ principal executive officer and principal financial officer that are required by applicable laws and regulations. Any requests to the Partnership for copies of documents filed with the SEC should be made by mail to Apache Offshore Investment Partnership, 2000 Post Oak Blvd., Houston, Texas 77056, Attention: Investor Relations, or by telephone at 1-281-302-2286. The Partnership’s reports filed with the SEC are also made available to read and copy at the SEC’s Public Reference Room at 100 F Street, N.E., Washington, D.C., 20549. You may obtain information about the Public Reference Room by contacting the SEC at 1-800-SEC-0330. Reports filed with the SEC are also made available on its website at www.sec.gov.</w:t>
      </w:r>
    </w:p>
    <w:p>
      <w:pPr>
        <w:spacing w:after="0" w:line="182"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Investing Partners purchased Units of Partnership Interests (Units) in the Investment Partnership at $150,000 per Unit, with five percent down and the balance in payments as called by the Investment Partnership. As of December 31, 2016, a total of $85,000 had been called for each Unit. In 1989, the Investment Partnership determined that the full $150,000 per Unit was not needed, fixed the total calls at $85,000 per Unit, and released the Investing Partners from liability for future calls. The Investment Partnership invested, and will continue to invest, its entire capital in the Operating Partnership. As used hereafter, the term “Partnership” refers to either the Investment Partnership or the Operating Partnership, as the case may be.</w:t>
      </w:r>
    </w:p>
    <w:p>
      <w:pPr>
        <w:spacing w:after="0" w:line="17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Partnership’s business is participation in oil and gas exploration, development and production activities on federal lease tracts in the Gulf of Mexico, offshore Louisiana and Texas. Except for an additional interest acquired in Matagorda Island Block 681 and 682 in 1992, the Partnership acquired its oil and gas interests through the purchase of 85 percent of the working interests held by Apache as a participant in a venture (the Venture) with Shell Oil Company (Shell) and certain other companies. The Venture acquired substantially all of its oil and gas properties through bidding for leases offered by the federal government, and relied on Shell’s knowledge and expertise in determining bidding strategies and development of the properties. The Partnership owns working interests ranging from 6.29 percent to 7.08 percent in the Venture’s properties.</w:t>
      </w:r>
    </w:p>
    <w:p>
      <w:pPr>
        <w:spacing w:after="0" w:line="178"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Apache, as Managing Partner, manages the Partnership’s business activities. Apache uses a portion of its staff and facilities for this purpose and is reimbursed for actual costs paid on behalf of the Partnership, as well as for general, administrative and overhead costs properly allocable to the Partnership.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Results and Business Development</w:t>
      </w:r>
    </w:p>
    <w:p>
      <w:pPr>
        <w:spacing w:after="0" w:line="12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Partnership reported a net loss in 2016 of $3.1 million, or $3,103 per Investing Partner Unit. Earnings were down approximately $2.9 million from the $0.2 million of net loss reported in 2015. The 2016 net loss included $2.9 million of non-cash write-downs in the carrying value of the Partnership's oil and gas properties and reduced revenues as a result of lower oil and gas prices compared to the prior year. The Partnership’s average realized gas price decreased 11 percent from a year ago to $2.50 per Mcf while oil prices declined 25 percent from a year ago to $40.27 per barrel. Natural gas production averaged 290 Mcf per day in 2016, up 12 percent from 2015. Oil production averaged 68 barrels of oil per day in 2016, down slightly from 2015. During 2016, the Partnership’s cash outlays for oil and gas property additions totaled $38,231 as the Partnership participated in a recompletion project at Ship Shoal 258/259. The Partnership did not participate in any new drilling projects.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right="260" w:firstLine="432"/>
        <w:spacing w:after="0" w:line="302" w:lineRule="auto"/>
        <w:rPr>
          <w:sz w:val="20"/>
          <w:szCs w:val="20"/>
          <w:color w:val="auto"/>
        </w:rPr>
      </w:pPr>
      <w:r>
        <w:rPr>
          <w:rFonts w:ascii="Arial" w:cs="Arial" w:eastAsia="Arial" w:hAnsi="Arial"/>
          <w:sz w:val="16"/>
          <w:szCs w:val="16"/>
          <w:color w:val="auto"/>
        </w:rPr>
        <w:t>Based on preliminary information available to the Partnership, it anticipates capital expenditures will total approximately $0.2 million in 2017 for recompletion projects scheduled at South Timbalier 295. Final abandonment activity for removal of the platforms at North Padre Island 969/976 has been deferred until 2018. Removal of these platforms was originally expected to occur in 2016. Such estimates may change based on realized oil and gas prices, drilling and recompletion results, rates charged by contractors or changes by the operator to their development or abandonment plans.</w:t>
      </w:r>
    </w:p>
    <w:p>
      <w:pPr>
        <w:spacing w:after="0" w:line="15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Since inception, the Partnership has acquired an interest in 49 prospects. As of December 31, 2016, 47 of those prospects have been surrendered or sold. As of December 31, 2016, the Partnership had 23 productive wells on the Partnership’s two remaining developed fields, both offshore Louisiana. The Partnership had, at December 31, 2016, estimated proved oil and gas reserves of 581,680 barrels of oil equivalent.</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For a more in-depth discussion of the Partnership’s 2016 results and its capital resources and liquidity, please see Part II, Item 7—Management’s Discussion and Analysis of Financial Condition and Results of Operations of this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w:t>
      </w:r>
    </w:p>
    <w:p>
      <w:pPr>
        <w:spacing w:after="0" w:line="121"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Partnership has historically marketed its oil and gas production under the joint operating agreements with the operators of its properties. Beginning in 2016, Apache, as Managing Partner of the Partnership, began marketing the Partnership's share of oil production from South Timbalier 295, the Partnership's largest source of production. The operator continues to market all other production of the Partnership. The operator seeks and negotiates oil and gas marketing arrangements with various marketers and purchasers. The objective is to maximize the value of the crude oil or natural gas sold by identifying the best markets and most economical transportation routes available to move the oil or natural gas. These contracts provide for sales that are priced at prevailing market prices. Apache primarily markets to major oil companies, marketing and transportation companies and refiners at current index prices, adjusted for quality, transportation and market-reflective differentials. The change to Apache to market oil production from South Timbalier 295 was made to improve the timing of cash receipts and reduce the credit risk from third-party purchasers and remitters.</w:t>
      </w:r>
    </w:p>
    <w:p>
      <w:pPr>
        <w:spacing w:after="0" w:line="16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Through the operator, the Partnership’s natural gas is sold primarily to Local Distribution Companies (LDCs), utilities, end-users, and integrated major oil companies. Most of the Partnership’s natural gas is sold on a monthly basis at either monthly or daily market prices. The Partnership’s oil has generally been sold under thirty day evergreen contracts that renew automatically until cancelled by either party. The Partnership believes that the sales prices it receives for oil and natural gas sales are market prices.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a more in-depth discussion of the Partnership’s significant customers, see Note 5 - “Major Customer and Related Parties Information” to the Partnership’s financial statements under Item 8 of this Form 10-K. Because the Partnership’s oil and gas products are commodities and the prices and terms of its sales reflect those of the market, the Partnership does not believe that the loss of any customer would have a material adverse effect on the Partnership’s business or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Partnership’s business activities are subject to significant hazards and risks, including those described below. If any of such events should occur, the Partnership’s business, financial condition, liquidity, and/or results of operations could be materially harmed, and holders of the Partnership Units could lose part or all of their investments.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Crude oil and natural gas price volatility, including the recent decline in prices for oil and natural gas, could adversely affect our operating results.</w:t>
      </w:r>
    </w:p>
    <w:p>
      <w:pPr>
        <w:spacing w:after="0" w:line="24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Partnership’s revenues, operating results and future rate of growth depend highly upon the prices we receive for our crude oil and natural gas production. Historically, the markets for crude oil and natural gas have been volatile and are likely to continue to be volatile in the future. For example, the NYMEX daily settlement price for the prompt month oil contract in 2016 ranged from a high of $54.06 per barrel to a low of $26.21 per barrel. The NYMEX daily settlement price for the prompt month natural gas contract in 2016 ranged from a high of $3.93 per MMBtu to a low of $1.64 per MMBtu. The market prices for crude oil and natural gas depend on factors beyond the Partnership’s control. These factors include demand for crude oil and natural gas, which fluctuates with changes in market and economic conditions, and other factors, including:</w:t>
      </w:r>
    </w:p>
    <w:p>
      <w:pPr>
        <w:spacing w:after="0" w:line="70"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worldwide and domestic supplies of crude oil and natural gas;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taken by foreign oil and gas producing nations;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conditions and events (including instability or armed conflict) in crude oil or natural gas producing regions;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5" w:name="page6"/>
    <w:bookmarkEnd w:id="5"/>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global crude oil and natural gas inventories;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and level of imported foreign crude oil and natural gas;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and availability of alternative fuels, including coal and biofuels;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pipeline capacity and infrastructure;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crude oil transportation and refining capacity;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economic environment.</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results of operations as well as the carrying value of our oil and gas properties are substantially dependent upon the prices of oil and natural gas, which have declined significantly over the past two years. The recent declines in oil and natural gas prices have adversely affected our revenues, operating income, cash flow, and proved reserves. Continued low prices could have a material adverse impact on our operations and limit our ability to fund capital expenditures. Without the ability to fund capital expenditures, we would be unable to replace reserves and production. Sustained low prices of crude oil and natural gas may further adversely impact our business as follows:</w:t>
      </w:r>
    </w:p>
    <w:p>
      <w:pPr>
        <w:spacing w:after="0" w:line="80"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financial condition, liquidity, and/or ability to fund planned capital expenditures and operations;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reducing the amount of crude oil and natural gas that we can produce economically;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causing us to delay or postpone some of our capital projects;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reducing our revenues, operating income and cash flows; or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reduction in the carrying and market value of our crude oil and natural gas properties.</w:t>
      </w:r>
    </w:p>
    <w:p>
      <w:pPr>
        <w:spacing w:after="0" w:line="2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sell natural gas or oil and/or receive market prices for our natural gas or oil may be adversely affected by pipeline and gathering system capacity constraints and various transportation interruptions.</w:t>
      </w:r>
    </w:p>
    <w:p>
      <w:pPr>
        <w:spacing w:after="0" w:line="17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 portion of our natural gas and oil production may be interrupted, limited, or shut in, from time to time for numerous reasons, including as a result of weather conditions, accidents, loss of pipeline or gathering system access, field labor issues or strikes, or capital constraints that limit the ability of third parties to construct gathering systems, processing facilities or interstate pipelines to transport our production, or we might voluntarily curtail production in response to market conditions. For example, from July 2010 until mid-2011, the Partnership’s production at South Timbalier 295 was shut-in as a result of a leak in a third-party pipeline, which significantly reduced the Partnership’s revenues, earnings, cash flow from operating activities, and liquidity in 2011 and 2010. Similarly, the Partnership experienced downtime in 2016 and 2015 for pipeline maintenance at South Timbalier 295 and Ship Shoal 258/259, which reduced revenues, earnings and cash flow in each year. If a substantial amount of our production is interrupted at the same time or for an extended period of time, it could adversely affect our cash flow.</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economic conditions in the U.S. and certain international markets may materially adversely impact the Partnership’s operating results.</w:t>
      </w:r>
    </w:p>
    <w:p>
      <w:pPr>
        <w:spacing w:after="0" w:line="14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Current global market conditions, and uncertainty, including the economic instability in Europe and certain emerging markets, are likely to have significant long-term effects. Global economic growth drives demand for energy from all sources, including fossil fuels. A lower future economic growth rate could result in decreased demand growth for the Partnership’s crude oil and natural gas production as well as lower commodity prices, which would reduce our cash flows from operations and our profitability.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Weather and climate change may have a significant adverse impact on our revenues and production.</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Demand for oil and natural gas are, to a significant degree, dependent on weather and climate, which impact the price we receive for the commodities we produce. In addition, our exploration and development activities and equipment can be adversely affected by severe weather, such as hurricanes in the Gulf of Mexico or freezing temperatures, which may cause a loss of production from temporary cessation of activity or lost or damaged equipment. Our planning for normal climatic variation, insurance programs, and emergency recovery plans may inadequately mitigate the effects of such weather, and not all such effects can be predicted, eliminated, or insured against.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692" w:right="299" w:bottom="1440" w:gutter="0" w:footer="0" w:header="0"/>
        </w:sectPr>
      </w:pPr>
    </w:p>
    <w:bookmarkStart w:id="6" w:name="page7"/>
    <w:bookmarkEnd w:id="6"/>
    <w:p>
      <w:pPr>
        <w:ind w:right="260"/>
        <w:spacing w:after="0" w:line="277" w:lineRule="auto"/>
        <w:rPr>
          <w:sz w:val="20"/>
          <w:szCs w:val="20"/>
          <w:color w:val="auto"/>
        </w:rPr>
      </w:pPr>
      <w:r>
        <w:rPr>
          <w:rFonts w:ascii="Arial" w:cs="Arial" w:eastAsia="Arial" w:hAnsi="Arial"/>
          <w:sz w:val="18"/>
          <w:szCs w:val="18"/>
          <w:b w:val="1"/>
          <w:bCs w:val="1"/>
          <w:i w:val="1"/>
          <w:iCs w:val="1"/>
          <w:color w:val="auto"/>
        </w:rPr>
        <w:t>Oil and gas operations involve a high degree of operational risk, particularly risk of personal injury, damage, or loss of equipment, and environmental accidents.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Partnership’s operations are subject to hazards and risks inherent in the drilling, production, and transportation of crude oil and natural gas, including:</w:t>
      </w:r>
    </w:p>
    <w:p>
      <w:pPr>
        <w:spacing w:after="0" w:line="140"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well blowouts, explosions, and cratering;</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pipeline or other facility ruptures and spills;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formations with abnormal pressures;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malfunctions;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hurricanes which could affect our operations on and offshore the Gulf Coast, and other natural disasters and weather conditions;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surface spillage and water contamination from petroleum constituents, saltwater, or hydraulic fracturing chemical additives</w:t>
      </w:r>
    </w:p>
    <w:p>
      <w:pPr>
        <w:spacing w:after="0" w:line="22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Failure or loss of equipment, as the result of equipment malfunctions, cyber-attacks, or natural disasters such as hurricanes, could result in property damages, personal injury, environmental pollution and other damages for which we could be liable. Litigation arising from a catastrophic occurrence, such as a well blowout, explosion, or fire at a location where our equipment and services are used, or water contamination from hydraulic fracturing chemical additives may result in substantial claims for damages. Ineffective containment of a drilling well blowout, or pipeline rupture or surface spillage and water contamination from petroleum constituents or hydraulic fracturing chemical additives could result in extensive environmental pollution and substantial remediation expenses. If a significant amount of our production is interrupted, our containment efforts prove to be ineffective or litigation arises as the result of a catastrophic occurrence, our cash flows, and, in turn, our results of operations could be materially and adversely affected.</w:t>
      </w:r>
    </w:p>
    <w:p>
      <w:pPr>
        <w:spacing w:after="0" w:line="2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Declining commodity prices may impact the Partnership’s ability to pay distributions to partners, or fund capital expenditures, or both, as cash from operating activities decline.</w:t>
      </w:r>
    </w:p>
    <w:p>
      <w:pPr>
        <w:spacing w:after="0" w:line="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Partnership did not make any distributions to Investing Partners during 2016 as a result of lower oil and gas prices during the year and the Partnerships expected cash funding for asset retirement obligations (ARO). The Partnership’s goal is to maintain cash and cash equivalents in the Partnership at least sufficient to cover its undiscounted future ARO. If oil and natural gas prices remain at or fall below levels at the end of 2016, the Partnership may not be able to make a distribution to Investing Partners during 2017. Declines in cash from operating activities may reduce funds available for capital expenditures.</w:t>
      </w:r>
    </w:p>
    <w:p>
      <w:pPr>
        <w:spacing w:after="0" w:line="2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distressed financial conditions of our purchasers and operating partners could have an adverse impact on us in the event they are unable to pay us for the products we provide.</w:t>
      </w:r>
    </w:p>
    <w:p>
      <w:pPr>
        <w:spacing w:after="0" w:line="6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Concerns about global economic conditions and the volatility of oil and natural gas prices have had a significant adverse impact on the oil and gas industry. The Partnership is exposed to risk of financial loss from trade, joint venture and other receivables. The Partnership currently sells its crude oil, natural gas, and NGLs through the properties’ operators under the joint venture operating agreement and to a variety of purchasers. Some of the joint venture partners that act as operators or their oil and gas purchasers may experience liquidity problems and may not be able to meet their financial obligations. As a result of current economic conditions and the severe decline in oil and natural gas prices, some of our customers and operating partners may experience severe financial problems that may have a significant impact on their creditworthiness. We cannot provide assurance that one or more of our financially distressed customers or operating partners will not default on their obligations to us or that such a default or defaults will not have a material adverse effect on our business, financial position, future results of operations, or future cash flows. Furthermore, the bankruptcy of one or more of our purchasers, customers or operating partners, or some other similar proceeding or liquidity constraint, might make it unlikely that we would be able to collect all or a significant portion of amounts owed by the distressed entity or entities. Nonperformance by a trade creditor or joint venture partner could result in significant financial losses.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5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Reserves and production will decline materially without discoveries or acquisitions of reserves.</w:t>
      </w:r>
    </w:p>
    <w:p>
      <w:pPr>
        <w:spacing w:after="0" w:line="117" w:lineRule="exact"/>
        <w:rPr>
          <w:sz w:val="20"/>
          <w:szCs w:val="20"/>
          <w:color w:val="auto"/>
        </w:rPr>
      </w:pPr>
    </w:p>
    <w:p>
      <w:pPr>
        <w:ind w:right="380" w:firstLine="432"/>
        <w:spacing w:after="0" w:line="291" w:lineRule="auto"/>
        <w:rPr>
          <w:sz w:val="20"/>
          <w:szCs w:val="20"/>
          <w:color w:val="auto"/>
        </w:rPr>
      </w:pPr>
      <w:r>
        <w:rPr>
          <w:rFonts w:ascii="Arial" w:cs="Arial" w:eastAsia="Arial" w:hAnsi="Arial"/>
          <w:sz w:val="16"/>
          <w:szCs w:val="16"/>
          <w:color w:val="auto"/>
        </w:rPr>
        <w:t>The production rate from oil and gas properties generally declines as reserves are depleted and production from offshore wells tends to decline at a faster rate than onshore wells, while related per-unit production costs generally increase as a result of decreasing reservoir pressures and other factors. Therefore, unless we add reserves through development or exploration drilling, identify and develop additional behind-pipe zones, or acquire additional properties containing proved reserves, our estimated proved reserves will decline materially as reserves are produced. Future oil and gas production is, therefore, highly dependent upon our level of success in acquiring or finding additional reserves on an economic basis. Furthermore, if oil or gas prices increase, our cost for additional reserves could also increase. The Partnership has not and does not plan to engage in future acquisition or exploration activities, therefore, we expect declines in future oil and gas production, which are likely to adversely impact our cash flow and results from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may not realize an adequate return on its drilling activities.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Drilling for oil and gas involves numerous risks, including the risk that we will not encounter commercially productive oil or gas reservoirs. The wells we participate in may not be productive and we may not recover all or any portion of our investment in those wells. The costs of drilling, completing, and operating wells are often uncertain, and drilling operations may be curtailed, delayed, or canceled as a result of a variety of factors including, but not limited to:</w:t>
      </w:r>
    </w:p>
    <w:p>
      <w:pPr>
        <w:spacing w:after="0" w:line="79"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drilling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pressure or irregularities in formations;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fires, explosions, blow-outs and surface cratering;</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marine risks such as capsizing, collisions and hurricanes;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adverse weather conditions;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cost of, or shortages or delays in the delivery of equipment.</w:t>
      </w:r>
    </w:p>
    <w:p>
      <w:pPr>
        <w:spacing w:after="0" w:line="22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Future drilling activities may not be successful and, if unsuccessful, this failure could have an adverse effect on our future results of operations and financial condition. While all drilling, whether developmental or exploratory, involves these risks, exploratory drilling involves greater risks of dry holes or failure to find commercial quantities of hydrocarbons. The Partnership is not likely to participate in exploratory drilling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and natural gas reserves are estimates, and actual recoveries may vary significantly.</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There are numerous uncertainties inherent in estimating crude oil and natural gas reserves and their value. Reservoir engineering is a subjective process of estimating underground accumulations of crude oil and natural gas that cannot be measured in an exact manner. Because of the high degree of judgment involved, the accuracy of any reserve estimate is inherently imprecise, and a function of the quality of available data and the engineering and geological interpretation. Our reserves estimates are based on 12-month average prices, except where contractual arrangements exist; therefore, reserve quantities will change when actual prices increase or decrease. In addition, results of drilling, testing, and production may substantially change reserve estimates for a given reservoir over time. The estimates of our proved reserves and estimated future net revenues also depend on a number of factors and assumptions that may vary considerably from actual results, including:</w:t>
      </w:r>
    </w:p>
    <w:p>
      <w:pPr>
        <w:spacing w:after="0" w:line="70"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historical production from the area compared with production from other areas;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assumed effects of regulations by governmental agencies;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operating costs and capital expenditures;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workover and remediation costs.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these reasons, estimates of the economically recoverable quantities of crude oil and natural gas attributable to any particular group of properties, classifications of those reserves and estimates of the future net cash flows expected from them prepared by different engineers or by the same engineers but at different times may vary substantially. Accordingly, reserves estimates may be subject to upward or downward adjustment, and actual production, revenue and expenditures with respect to our reserves likely will vary, possibly materially, from estimates.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85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The Partnership may incur significant costs related to environmental matters.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As an owner or lessee of interests in oil and gas properties, the Partnership is subject to various federal, state and local laws and regulations relating to the discharge of materials into, and protection of, the environment. These laws and regulations may, among other things, impose liability on the lessee under an oil and gas lease for the cost of pollution clean-up and other remediation activities resulting from operations, subject the lessee to liability for pollution and other damages, limit or constrain operations in affected areas, and require suspension or cessation of operations in affected areas. The Partnership’s efforts to limit its exposure to such liability and the operator of the properties ability to comply with applicable laws and regulations may prove inadequate and result in significant adverse effect on our results of operations. In addition, it is possible that the increasingly strict requirements imposed by environmental laws and enforcement policies could require us to make significant capital expenditures. Such capital expenditures could adversely impact our cash flows and our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subject to governmental risks.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operations have been, and at times in the future may be, affected by political developments and by federal, state and local laws and regulations such as restrictions on production, changes in taxes, royalties and other amounts payable to governments or governmental agencies, price or gathering rate controls and environmental protection laws and regulations.</w:t>
      </w:r>
    </w:p>
    <w:p>
      <w:pPr>
        <w:spacing w:after="0" w:line="18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response to the Deepwater Horizon incident in the U.S. Gulf of Mexico in April 2010, and as directed by the Secretary of the U.S. Department of the Interior, the Bureau of Ocean Energy Management (BOEM) and the Bureau of Safety and Environmental Enforcement (BSEE) issued new guidelines and regulations regarding safety, environmental matters, drilling equipment, and decommissioning applicable to drilling in the Gulf of Mexico. These regulations imposed additional requirements and caused delays with respect to development and production activities in the Gulf of Mexico.</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With respect to oil and gas operations in the Gulf of Mexico, the BOEM has issued Notice to Lessees (NTL) No. 2016-N01 pertaining to the obligations of companies to provide supplemental assurances for performance with respect to plugging, abandonment, decommissioning, and site clearance obligations associated with wells, platforms, structures, and facilities located upon or used in connection with such companies’ oil and gas leases. Under this NTL, the Partnership will likely be required to provide additional security to BOEM with respect to plugging, abandonment, and decommissioning obligations relating to the Partnership’s current ownership interests in various Gulf of Mexico leases. The Partnership will likely satisfy such requirements through the provision of bonds or other forms of security.</w:t>
      </w:r>
    </w:p>
    <w:p>
      <w:pPr>
        <w:spacing w:after="0" w:line="19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New political developments, laws, and the enactment of new or stricter regulations in the Gulf of Mexico or otherwise impacting our operations, and increased liability for companies operating in this sector may adversely impact our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existing regulations related to emissions and the impact of any changes in climate could adversely impact our business.</w:t>
      </w:r>
    </w:p>
    <w:p>
      <w:pPr>
        <w:spacing w:after="0" w:line="11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There has been discussion in the United States regarding legislation or regulation of greenhouse gas (GHG). Any such legislation or regulation, if enacted, could tax or assess some form of GHG related fees on the Partnership’s operations and could lead to increased operating expenses. Such legislation, if enacted, could also potentially cause the Partnership to make significant capital investments for infrastructure modifications.</w:t>
      </w:r>
    </w:p>
    <w:p>
      <w:pPr>
        <w:spacing w:after="0" w:line="16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the event the predictions for rising temperatures and sea levels suggested by reports of the United Nations Intergovernmental Panel on Climate Change do transpire, we do not believe those events by themselves are likely to impact the Partnership’s assets or operations. However, any increase in severe weather could have a material adverse effect on our assets and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federal regulation regarding hydraulic fracturing could increase our operating and capital costs.</w:t>
      </w:r>
    </w:p>
    <w:p>
      <w:pPr>
        <w:spacing w:after="0" w:line="11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Several proposals are before the U.S. Congress that, if implemented, would either prohibit the practice of hydraulic fracturing or subject the process to regulation under the Safe Drinking Water Act. Hydraulic fracturing of wells and subsurface water disposal are also under public and governmental scrutiny due to potential environmental and physical impacts, including possible links to earthquakes. The Partnership may use fracturing techniques to expand the available space for natural gas to migrate toward the well-bore. It is typically done at substantial depths in very tight formations.</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Although it is not possible at this time to predict the final outcome of the legislation regarding hydraulic fracturing, any new federal restrictions on hydraulic fracturing that may be imposed in areas in which we conduct business could result in increased compliance costs or additional operating restrictions in the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5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have limited control over the activities on properties we do not operate.</w:t>
      </w:r>
    </w:p>
    <w:p>
      <w:pPr>
        <w:spacing w:after="0" w:line="11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Other companies operate the properties in which we have an interest. The Partnership has limited ability to influence or control the operation or future development of these non-operated properties or the amount of capital expenditures that we are required to fund with respect to them. Our dependence on the operator and other working interest owners for these projects and our limited ability to influence or control the operation and future development of these properties could materially adversely affect the realization of projected costs and future 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faces significant industry competition.</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Partnership is a very minor participant in the oil and gas industry in the Gulf of Mexico area and faces strong competition from much larger producers for the marketing of its oil and gas. The Partnership’s ability to compete for purchasers and favorable marketing terms will depend on the general demand for oil and gas from Gulf of Mexico producers. More particularly, it will depend largely on the efforts of Apache to find the best markets for the sale of the Partnership’s oil and gas production.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targeting systems and infrastructure used by the oil and gas industry may adversely impact our operations.</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Partnership’s business has become increasingly dependent on digital technologies to conduct certain exploration, development and production activities. The Partnership, its Managing Partner and joint venture operators depend on digital technology to estimate quantities of oil and gas reserves, process and record financial and operating data, analyze seismic and drilling information, communicate with third party partners, and conduct many of our activities. Unauthorized access to our digital technology could lead to operational disruption, data corruption, or exposure to communication interruption, loss of intellectual property, loss of confidential and fiduciary data, and loss or corruption of reserves or other proprietary information. Also, external digital technologies control nearly all of the oil and gas distribution and refining systems in the United States, which are necessary to transport and market our production. A cyber-attack directed at oil and gas distribution systems could damage critical distribution and storage assets or the environment, delay or prevent delivery of production to markets and make it difficult or impossible to accurately account for production and settle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policies do not cover all of the risks we face, which could result in significant financial exposure.</w:t>
      </w:r>
    </w:p>
    <w:p>
      <w:pPr>
        <w:spacing w:after="0" w:line="117"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Exploration for and production of oil and natural gas can be hazardous, involving natural disasters and unforeseen events such as blowouts, cratering, fires and loss of well control, which can result in damage to or destruction of wells or production facilities, injury to persons, loss of life, or damage to property or the environment. The insurance coverage that we maintain against certain losses or liabilities arising from our operations may be inadequate to cover any such resulting liability; moreover, insurance is not available to us against all operational risks.</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Partnership did not have any unresolved comments from the staff of the SEC.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Acreage</w:t>
      </w:r>
    </w:p>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Acreage is held by the Partnership pursuant to the terms of various leases on federal lease tracts in the Gulf of Mexico, offshore Louisiana. The Partnership does not anticipate any difficulty in retaining any of its leases. A summary of the Partnership’s gross and net acreage as of December 31, 2016,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Developed Acreage</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Lease Block</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State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Gross Acres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Net Acres</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Ship Shoal 258, 259</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LA</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South Timbalier 276, 295, 296</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LA</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1,063</w:t>
            </w:r>
          </w:p>
        </w:tc>
      </w:tr>
      <w:tr>
        <w:trPr>
          <w:trHeight w:val="27"/>
        </w:trPr>
        <w:tc>
          <w:tcPr>
            <w:tcW w:w="77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25,141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2016, the Partnership did not have an interest in any undeveloped acreage.</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5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Productive Oil and Gas Wells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productive oil and gas wells in which the Partnership had an interest as of December 31, 2016, is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8"/>
              </w:rPr>
              <w:t>Gas</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Oil</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Lease Block</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State</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Gross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Net</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Ship Shoal 258, 259</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LA</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South Timbalier 276, 295, 296</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LA</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340" w:type="dxa"/>
            <w:vAlign w:val="bottom"/>
            <w:gridSpan w:val="3"/>
          </w:tcPr>
          <w:p>
            <w:pPr>
              <w:jc w:val="right"/>
              <w:ind w:right="48"/>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060" w:type="dxa"/>
            <w:vAlign w:val="bottom"/>
          </w:tcPr>
          <w:p>
            <w:pPr>
              <w:ind w:left="840"/>
              <w:spacing w:after="0"/>
              <w:rPr>
                <w:sz w:val="20"/>
                <w:szCs w:val="20"/>
                <w:color w:val="auto"/>
              </w:rPr>
            </w:pPr>
            <w:r>
              <w:rPr>
                <w:rFonts w:ascii="Arial" w:cs="Arial" w:eastAsia="Arial" w:hAnsi="Arial"/>
                <w:sz w:val="18"/>
                <w:szCs w:val="18"/>
                <w:color w:val="auto"/>
                <w:w w:val="99"/>
              </w:rPr>
              <w:t>18</w:t>
            </w:r>
          </w:p>
        </w:tc>
        <w:tc>
          <w:tcPr>
            <w:tcW w:w="1320" w:type="dxa"/>
            <w:vAlign w:val="bottom"/>
            <w:gridSpan w:val="3"/>
          </w:tcPr>
          <w:p>
            <w:pPr>
              <w:jc w:val="right"/>
              <w:ind w:right="19"/>
              <w:spacing w:after="0"/>
              <w:rPr>
                <w:sz w:val="20"/>
                <w:szCs w:val="20"/>
                <w:color w:val="auto"/>
              </w:rPr>
            </w:pPr>
            <w:r>
              <w:rPr>
                <w:rFonts w:ascii="Arial" w:cs="Arial" w:eastAsia="Arial" w:hAnsi="Arial"/>
                <w:sz w:val="18"/>
                <w:szCs w:val="18"/>
                <w:color w:val="auto"/>
              </w:rPr>
              <w:t>1.27</w:t>
            </w:r>
          </w:p>
        </w:tc>
      </w:tr>
      <w:tr>
        <w:trPr>
          <w:trHeight w:val="27"/>
        </w:trPr>
        <w:tc>
          <w:tcPr>
            <w:tcW w:w="5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99"/>
              </w:rPr>
              <w:t>18</w:t>
            </w:r>
          </w:p>
        </w:tc>
        <w:tc>
          <w:tcPr>
            <w:tcW w:w="1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1.27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Wells Drilled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results of the oil and gas wells drilled and tested for each of the last three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Net Exploratory</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Net Development</w:t>
            </w:r>
          </w:p>
        </w:tc>
        <w:tc>
          <w:tcPr>
            <w:tcW w:w="114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CCEEFF"/>
            </w:tcBorders>
          </w:tcPr>
          <w:p>
            <w:pPr>
              <w:jc w:val="right"/>
              <w:ind w:right="3494"/>
              <w:spacing w:after="0"/>
              <w:rPr>
                <w:sz w:val="20"/>
                <w:szCs w:val="20"/>
                <w:color w:val="auto"/>
              </w:rPr>
            </w:pPr>
            <w:r>
              <w:rPr>
                <w:rFonts w:ascii="Arial" w:cs="Arial" w:eastAsia="Arial" w:hAnsi="Arial"/>
                <w:sz w:val="14"/>
                <w:szCs w:val="14"/>
                <w:b w:val="1"/>
                <w:bCs w:val="1"/>
                <w:color w:val="auto"/>
                <w:w w:val="98"/>
              </w:rPr>
              <w:t>Year</w:t>
            </w: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Productive</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Dry</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Productive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Dry</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2016</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jc w:val="right"/>
              <w:ind w:right="74"/>
              <w:spacing w:after="0"/>
              <w:rPr>
                <w:sz w:val="20"/>
                <w:szCs w:val="20"/>
                <w:color w:val="auto"/>
              </w:rPr>
            </w:pPr>
            <w:r>
              <w:rPr>
                <w:rFonts w:ascii="Arial" w:cs="Arial" w:eastAsia="Arial" w:hAnsi="Arial"/>
                <w:sz w:val="18"/>
                <w:szCs w:val="18"/>
                <w:color w:val="auto"/>
              </w:rPr>
              <w:t>2015</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9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2014</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Production, Pricing and Lease Operating Cost Data</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provides, for each of the last three fiscal years, oil, natural gas liquids (NGLs), and gas production for the Partnership, average lease operating costs per Mcfe (including gathering and transportation costs) and average sales prices.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Production</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Average Lease</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Average Sales Price</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6"/>
              </w:rPr>
              <w:t>Oil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NGLs</w:t>
            </w: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Gas</w:t>
            </w: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Operating Cost per</w:t>
            </w:r>
          </w:p>
        </w:tc>
        <w:tc>
          <w:tcPr>
            <w:tcW w:w="200" w:type="dxa"/>
            <w:vAlign w:val="bottom"/>
          </w:tcPr>
          <w:p>
            <w:pPr>
              <w:spacing w:after="0"/>
              <w:rPr>
                <w:sz w:val="13"/>
                <w:szCs w:val="13"/>
                <w:color w:val="auto"/>
              </w:rPr>
            </w:pPr>
          </w:p>
        </w:tc>
        <w:tc>
          <w:tcPr>
            <w:tcW w:w="94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Oil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NGLs</w:t>
            </w:r>
          </w:p>
        </w:tc>
        <w:tc>
          <w:tcPr>
            <w:tcW w:w="200" w:type="dxa"/>
            <w:vAlign w:val="bottom"/>
          </w:tcPr>
          <w:p>
            <w:pPr>
              <w:spacing w:after="0"/>
              <w:rPr>
                <w:sz w:val="13"/>
                <w:szCs w:val="13"/>
                <w:color w:val="auto"/>
              </w:rPr>
            </w:pPr>
          </w:p>
        </w:tc>
        <w:tc>
          <w:tcPr>
            <w:tcW w:w="94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Gas</w:t>
            </w:r>
          </w:p>
        </w:tc>
        <w:tc>
          <w:tcPr>
            <w:tcW w:w="0" w:type="dxa"/>
            <w:vAlign w:val="bottom"/>
          </w:tcPr>
          <w:p>
            <w:pPr>
              <w:spacing w:after="0"/>
              <w:rPr>
                <w:sz w:val="1"/>
                <w:szCs w:val="1"/>
                <w:color w:val="auto"/>
              </w:rPr>
            </w:pPr>
          </w:p>
        </w:tc>
      </w:tr>
      <w:tr>
        <w:trPr>
          <w:trHeight w:val="192"/>
        </w:trPr>
        <w:tc>
          <w:tcPr>
            <w:tcW w:w="2420" w:type="dxa"/>
            <w:vAlign w:val="bottom"/>
            <w:vMerge w:val="continue"/>
          </w:tcPr>
          <w:p>
            <w:pPr>
              <w:spacing w:after="0"/>
              <w:rPr>
                <w:sz w:val="16"/>
                <w:szCs w:val="16"/>
                <w:color w:val="auto"/>
              </w:rPr>
            </w:pPr>
          </w:p>
        </w:tc>
        <w:tc>
          <w:tcPr>
            <w:tcW w:w="840" w:type="dxa"/>
            <w:vAlign w:val="bottom"/>
          </w:tcPr>
          <w:p>
            <w:pPr>
              <w:jc w:val="center"/>
              <w:ind w:left="268"/>
              <w:spacing w:after="0"/>
              <w:rPr>
                <w:sz w:val="20"/>
                <w:szCs w:val="20"/>
                <w:color w:val="auto"/>
              </w:rPr>
            </w:pPr>
            <w:r>
              <w:rPr>
                <w:rFonts w:ascii="Arial" w:cs="Arial" w:eastAsia="Arial" w:hAnsi="Arial"/>
                <w:sz w:val="14"/>
                <w:szCs w:val="14"/>
                <w:b w:val="1"/>
                <w:bCs w:val="1"/>
                <w:color w:val="auto"/>
              </w:rPr>
              <w:t>(Mbbls)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(Mbbls)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(MMcf)</w:t>
            </w:r>
          </w:p>
        </w:tc>
        <w:tc>
          <w:tcPr>
            <w:tcW w:w="1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Mcfe</w:t>
            </w:r>
          </w:p>
        </w:tc>
        <w:tc>
          <w:tcPr>
            <w:tcW w:w="200" w:type="dxa"/>
            <w:vAlign w:val="bottom"/>
          </w:tcPr>
          <w:p>
            <w:pPr>
              <w:spacing w:after="0"/>
              <w:rPr>
                <w:sz w:val="16"/>
                <w:szCs w:val="16"/>
                <w:color w:val="auto"/>
              </w:rPr>
            </w:pPr>
          </w:p>
        </w:tc>
        <w:tc>
          <w:tcPr>
            <w:tcW w:w="940" w:type="dxa"/>
            <w:vAlign w:val="bottom"/>
          </w:tcPr>
          <w:p>
            <w:pPr>
              <w:jc w:val="right"/>
              <w:ind w:right="213"/>
              <w:spacing w:after="0"/>
              <w:rPr>
                <w:sz w:val="20"/>
                <w:szCs w:val="20"/>
                <w:color w:val="auto"/>
              </w:rPr>
            </w:pPr>
            <w:r>
              <w:rPr>
                <w:rFonts w:ascii="Arial" w:cs="Arial" w:eastAsia="Arial" w:hAnsi="Arial"/>
                <w:sz w:val="14"/>
                <w:szCs w:val="14"/>
                <w:b w:val="1"/>
                <w:bCs w:val="1"/>
                <w:color w:val="auto"/>
              </w:rPr>
              <w:t>(Per bbl)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(Per bbl)</w:t>
            </w:r>
          </w:p>
        </w:tc>
        <w:tc>
          <w:tcPr>
            <w:tcW w:w="200" w:type="dxa"/>
            <w:vAlign w:val="bottom"/>
          </w:tcPr>
          <w:p>
            <w:pPr>
              <w:spacing w:after="0"/>
              <w:rPr>
                <w:sz w:val="16"/>
                <w:szCs w:val="16"/>
                <w:color w:val="auto"/>
              </w:rPr>
            </w:pPr>
          </w:p>
        </w:tc>
        <w:tc>
          <w:tcPr>
            <w:tcW w:w="940" w:type="dxa"/>
            <w:vAlign w:val="bottom"/>
          </w:tcPr>
          <w:p>
            <w:pPr>
              <w:jc w:val="right"/>
              <w:ind w:right="193"/>
              <w:spacing w:after="0"/>
              <w:rPr>
                <w:sz w:val="20"/>
                <w:szCs w:val="20"/>
                <w:color w:val="auto"/>
              </w:rPr>
            </w:pPr>
            <w:r>
              <w:rPr>
                <w:rFonts w:ascii="Arial" w:cs="Arial" w:eastAsia="Arial" w:hAnsi="Arial"/>
                <w:sz w:val="14"/>
                <w:szCs w:val="14"/>
                <w:b w:val="1"/>
                <w:bCs w:val="1"/>
                <w:color w:val="auto"/>
              </w:rPr>
              <w:t>(Per Mcf)</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South Timbalier 295</w:t>
            </w:r>
          </w:p>
        </w:tc>
        <w:tc>
          <w:tcPr>
            <w:tcW w:w="8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40.33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fields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2420" w:type="dxa"/>
            <w:vAlign w:val="bottom"/>
          </w:tcPr>
          <w:p>
            <w:pPr>
              <w:ind w:left="72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67"/>
        </w:trPr>
        <w:tc>
          <w:tcPr>
            <w:tcW w:w="24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2015</w:t>
            </w: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South Timbalier 295</w:t>
            </w:r>
          </w:p>
        </w:tc>
        <w:tc>
          <w:tcPr>
            <w:tcW w:w="8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53.49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fields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2420" w:type="dxa"/>
            <w:vAlign w:val="bottom"/>
          </w:tcPr>
          <w:p>
            <w:pPr>
              <w:ind w:left="72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67"/>
        </w:trPr>
        <w:tc>
          <w:tcPr>
            <w:tcW w:w="24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2014</w:t>
            </w: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South Timbalier 295</w:t>
            </w:r>
          </w:p>
        </w:tc>
        <w:tc>
          <w:tcPr>
            <w:tcW w:w="84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99.76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fields</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2420" w:type="dxa"/>
            <w:vAlign w:val="bottom"/>
          </w:tcPr>
          <w:p>
            <w:pPr>
              <w:ind w:left="72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At December 31, 2016, the South Timbalier 295 field contained approximately 90 percent of the Partnership’s proved reserves, expressed on an oil-equivalent-barrels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Estimated Proved Reserves and Future Net Cash Flows</w:t>
      </w:r>
    </w:p>
    <w:p>
      <w:pPr>
        <w:spacing w:after="0" w:line="12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Proved oil and gas reserves are those quantities of natural gas, crude oil, condensate, and NGLs which by analysis of geoscience and engineering data can be estimated with reasonable certainty to be economically producible from a given date forward, from known reservoirs, and under existing economic conditions, operating methods, and government regulations. Reserve estimates are considered proved if they are economically producible and are supported by either actual production or conclusive formation tests. Estimated reserves that can be produced economically through application of improved recovery techniques are included in the “proved” classification when successful testing by a pilot project or the operation of an active, improved recovery program using reliable technology establishes the reasonable certainty for the engineering analysis on which the project or program is based. Economically producible means a resource which generates revenue that exceeds, or is reasonably expected to exceed, the costs of the operation. Reasonable certainty means a high degree of confidence that the quantities will be recovered.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 Estimated proved developed oil and gas reserves can be expected to be recovered through existing wells with existing equipment and operating methods.</w:t>
      </w:r>
    </w:p>
    <w:p>
      <w:pPr>
        <w:spacing w:after="0" w:line="183"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Proved undeveloped reserves include those reserves that are expected to be recovered from new wells on undrilled acreage, or from existing wells where a relatively major expenditure is required for recompletion. Undeveloped reserves may be classified as proved reserves on undrilled acreage directly offsetting development areas that are reasonably certain of production when drilled, or where reliable technology provides reasonable certainty of economic producibility. Undrilled locations may be classified as having undeveloped reserves only if a development plan has been adopted indicating that they are scheduled to be drilled within five years, unless specific circumstances justify a longer time period.</w:t>
      </w:r>
    </w:p>
    <w:p>
      <w:pPr>
        <w:spacing w:after="0" w:line="173"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As of December 31, 2016, the Partnership had total estimated proved reserves of 364,858 barrels of crude oil and condensate, 52,655 barrels of NGLs and 1.0 Bcf of natural gas. Combined, these total estimated proved reserves are equivalent to 581,680 barrels of oil equivalent. The Partnership has elected not to disclose probable and possible reserves or reserve estimates based upon futures or other prices in this filing.</w:t>
      </w:r>
    </w:p>
    <w:p>
      <w:pPr>
        <w:spacing w:after="0" w:line="166"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following table shows proved oil, NGL and gas reserves as of December 31, 2016, based on commodity average prices in effect on the first day of each month in 2016, held flat for the life of the production, except where future oil and gas sales are covered by physical contract terms.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Oil</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NGL</w:t>
            </w:r>
          </w:p>
        </w:tc>
        <w:tc>
          <w:tcPr>
            <w:tcW w:w="1140" w:type="dxa"/>
            <w:vAlign w:val="bottom"/>
          </w:tcPr>
          <w:p>
            <w:pPr>
              <w:jc w:val="right"/>
              <w:ind w:right="357"/>
              <w:spacing w:after="0"/>
              <w:rPr>
                <w:sz w:val="20"/>
                <w:szCs w:val="20"/>
                <w:color w:val="auto"/>
              </w:rPr>
            </w:pPr>
            <w:r>
              <w:rPr>
                <w:rFonts w:ascii="Arial" w:cs="Arial" w:eastAsia="Arial" w:hAnsi="Arial"/>
                <w:sz w:val="14"/>
                <w:szCs w:val="14"/>
                <w:b w:val="1"/>
                <w:bCs w:val="1"/>
                <w:color w:val="auto"/>
              </w:rPr>
              <w:t>Gas</w:t>
            </w:r>
          </w:p>
        </w:tc>
      </w:tr>
      <w:tr>
        <w:trPr>
          <w:trHeight w:val="192"/>
        </w:trPr>
        <w:tc>
          <w:tcPr>
            <w:tcW w:w="778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(Mbbls)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(Mbbls)</w:t>
            </w:r>
          </w:p>
        </w:tc>
        <w:tc>
          <w:tcPr>
            <w:tcW w:w="1140" w:type="dxa"/>
            <w:vAlign w:val="bottom"/>
          </w:tcPr>
          <w:p>
            <w:pPr>
              <w:jc w:val="right"/>
              <w:ind w:right="237"/>
              <w:spacing w:after="0"/>
              <w:rPr>
                <w:sz w:val="20"/>
                <w:szCs w:val="20"/>
                <w:color w:val="auto"/>
              </w:rPr>
            </w:pPr>
            <w:r>
              <w:rPr>
                <w:rFonts w:ascii="Arial" w:cs="Arial" w:eastAsia="Arial" w:hAnsi="Arial"/>
                <w:sz w:val="14"/>
                <w:szCs w:val="14"/>
                <w:b w:val="1"/>
                <w:bCs w:val="1"/>
                <w:color w:val="auto"/>
              </w:rPr>
              <w:t>(MMcf)</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developed</w:t>
            </w:r>
          </w:p>
        </w:tc>
        <w:tc>
          <w:tcPr>
            <w:tcW w:w="11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Proved undeveloped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proved</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Partnership’s estimates of proved reserves and proved developed reserves at December 31, 2016, 2015, and 2014, changes in estimated proved reserves during the last three years, and estimates of future net cash flows and discounted future net cash flows from proved reserves are contained in Note 10 —Supplemental Oil and Gas Disclosures (Unaudited) in the 2016 Consolidated Financial Statements under Item 8 of this Form 10-K. Estimated future net cash flows were calculated using a discount rate of 10 percent per annum, end of period costs, and average commodity prices in effect on the first day of each of the previous 12 months, held flat for the life of the production, except where future oil and gas sales are covered by physical contract terms.</w:t>
      </w:r>
    </w:p>
    <w:p>
      <w:pPr>
        <w:spacing w:after="0" w:line="15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volumes of reserves are estimates which, by their nature, are subject to revision. The estimates are made using available geological and reservoir data, as well as production performance data. These estimates are reviewed annually and revised, either upward or downward, as warranted by additional performance data.</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Partnership’s estimate of proved oil and gas reserves are prepared by Ryder Scott Company, L.P. Petroleum Consultants (Ryder Scott) utilizing oil and gas price data and cost estimates provided by Apache as Managing Partner. Ryder Scott is an independent petroleum engineering consulting firm that has been providing petroleum consulting services throughout the world for over seventy years. A copy of Ryder Scott’s report on the Shell Offshore Venture, of which the Partnership owned 100 percent at December 31, 2016, is filed as an exhibit to this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12" w:name="page13"/>
    <w:bookmarkEnd w:id="12"/>
    <w:p>
      <w:pPr>
        <w:ind w:right="140" w:firstLine="432"/>
        <w:spacing w:after="0" w:line="259" w:lineRule="auto"/>
        <w:rPr>
          <w:sz w:val="20"/>
          <w:szCs w:val="20"/>
          <w:color w:val="auto"/>
        </w:rPr>
      </w:pPr>
      <w:r>
        <w:rPr>
          <w:rFonts w:ascii="Arial" w:cs="Arial" w:eastAsia="Arial" w:hAnsi="Arial"/>
          <w:sz w:val="18"/>
          <w:szCs w:val="18"/>
          <w:color w:val="auto"/>
        </w:rPr>
        <w:t>The primary technical person responsible for overseeing the preparation of the Partnership’s reserve estimates is Mr. Ali A. Porbandarwala, a Vice President with Ryder Scott. Mr. Porbandarwala has more than eight years of experience in the estimation and evaluation of petroleum reserves and is a registered Professional Engineer in the State of Texas. He is also a member of the Society of Petroleum Engineers and the Society of Petroleum Evaluation Engineers.</w:t>
      </w:r>
    </w:p>
    <w:p>
      <w:pPr>
        <w:spacing w:after="0" w:line="18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At least annually, each property is reviewed in detail by Apache’s centralized and operating region engineers to ensure forecasts of operating expenses, netback prices, production trends and development timing are reasonable. Apache’s engineers furnish this information and estimates of dismantlement and abandonment cost to Ryder Scott for their consideration in preparing the Partnership’s reserve reports. The internal property reviews and collection of data provided to Ryder Scott is overseen by Apache’s Executive Vice President of Corporate Reservoir Engineering.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legal proceedings pending to which the Partnership is a party or to which the Partnership’s interests are subject.</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800"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1300" w:right="380" w:hanging="1296"/>
        <w:spacing w:after="0" w:line="261"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76"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As of December 31, 2016, there were 1,021.5 of the Partnership’s Units outstanding held by 903 Investing Partners of record. The Partnership has no other class of security outstanding or authorized. The Units are not traded on any security market. No distributions were made to Investing Partners during 2016, 2015, or 2014.</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discussed in Item 7, an amendment to the Partnership Agreement in February 1994, created a right of presentment under which all Investing Partners have a limited and voluntary right to offer their Units to the Partnership twice each year to be purchased for cash.</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selected financial data for the five years ended December 31, 2016, should be read in conjunction with the Partnership’s financial statements and related notes included under Item 8 below of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As of or For the Year Ended December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60" w:type="dxa"/>
            <w:vAlign w:val="bottom"/>
            <w:gridSpan w:val="8"/>
          </w:tcPr>
          <w:p>
            <w:pPr>
              <w:jc w:val="center"/>
              <w:ind w:right="380"/>
              <w:spacing w:after="0"/>
              <w:rPr>
                <w:sz w:val="20"/>
                <w:szCs w:val="20"/>
                <w:color w:val="auto"/>
              </w:rPr>
            </w:pPr>
            <w:r>
              <w:rPr>
                <w:rFonts w:ascii="Arial" w:cs="Arial" w:eastAsia="Arial" w:hAnsi="Arial"/>
                <w:sz w:val="14"/>
                <w:szCs w:val="14"/>
                <w:color w:val="auto"/>
                <w:w w:val="93"/>
              </w:rPr>
              <w:t>(In thousands, except per Unit amounts)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9,420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13,175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Partners’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7,561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10,691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Oil and 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allocated to:</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Managing Partner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Partners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Investing Partner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distributions per Investing Partner Unit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Partnership’s business is participation in oil and gas exploration, development and production activities on federal lease tracts in the Gulf of Mexico, offshore Louisiana and Texas. The Partnership is a very minor participant in the oil and gas industry and faces strong competition in all aspects of its business. With a relatively small amount of capital invested in the Partnership and management’s decision to avoid incurring debt, the Partnership has not engaged in acquisition or exploration activities in recent years. The Partnership has not carried any debt since January 1997. The limited amount of capital and the Partnership’s modest reserve base, have contributed to the Partnership’s focus on production activities and development of existing leases.</w:t>
      </w:r>
    </w:p>
    <w:p>
      <w:pPr>
        <w:spacing w:after="0" w:line="15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discussion should be read together with the Consolidated Financial Statements and the Notes to Consolidated Financial Statements set forth in Part II, Item 8 of this Form 10-K, and the Risk Factors information set forth in Part I, Item 1A of this Form 10-K.</w:t>
      </w:r>
    </w:p>
    <w:p>
      <w:pPr>
        <w:spacing w:after="0" w:line="17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Partnership derives its revenue from the production and sale of crude oil, natural gas and natural gas liquids (NGLs). With only modest levels of production from current wells, the Partnership sells its production at market prices and has not used derivative financial instruments or otherwise engaged in hedging activities. Prices in recent years have remained volatile and this volatility has caused the Partnership’s revenues and resulting cash flow from operating activities to fluctuate widely over the years. During 2016, the Partnership’s average realized oil price declined 25 percent from 2015, while natural gas prices declined 11 percent. With expected natural depletion on existing wells and current market prices for oil remaining relatively low compared to averages prior to the oil price pullback in 2015, the Partnership can anticipate continued lower revenues, earnings, and cash flow in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4" w:name="page15"/>
    <w:bookmarkEnd w:id="14"/>
    <w:p>
      <w:pPr>
        <w:ind w:right="180" w:firstLine="432"/>
        <w:spacing w:after="0" w:line="264" w:lineRule="auto"/>
        <w:rPr>
          <w:sz w:val="20"/>
          <w:szCs w:val="20"/>
          <w:color w:val="auto"/>
        </w:rPr>
      </w:pPr>
      <w:r>
        <w:rPr>
          <w:rFonts w:ascii="Arial" w:cs="Arial" w:eastAsia="Arial" w:hAnsi="Arial"/>
          <w:sz w:val="18"/>
          <w:szCs w:val="18"/>
          <w:color w:val="auto"/>
        </w:rPr>
        <w:t>During 2016, the Partnership’s oil production remained relatively flat compared to the prior year as recompletions at South Timbalier 295 in late 2015 offset the impact of natural depletion. Gas production increased 12 percent from 2015, reflecting recompletions at South Timbalier 295 and less pipeline downtime.</w:t>
      </w:r>
    </w:p>
    <w:p>
      <w:pPr>
        <w:spacing w:after="0" w:line="181"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The Partnership participates in development drilling and recompletion activities as recommended by the operators of the properties in which the Partnership owns an interest. During 2016, the Partnership’s had cash outlays for oil and gas property additions of less than $100,000 as the Partnership did not participate in any new drilling projects during 2016, and participated in only one recompletion project during the year.</w:t>
      </w:r>
    </w:p>
    <w:p>
      <w:pPr>
        <w:spacing w:after="0" w:line="16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With anticipated abandonment operations at North Padre Island 969/976 during 2016 and significant declines in oil and gas prices during the year, the Partnership did not make any distributions to the Investing Partners during 2016. The Partnership will continue to review available cash balances, cash requirements for plugging and abandonment activity, oil and gas prices realized by the Partnership for the sale of its production, especially in light of the decline in commodity prices in recent years, and the level of drilling, recompletion, and repair activity to determine whether there are sufficient funds to make a distribution to Investing Partners in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This section includes a discussion of the Partnership’s results of operations, and items contributing to changes in revenues and expenses during 2016, 2015, and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Revenue</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Partnership reported a net loss of $3.1 million for 2016 compared to a net loss of $0.2 million for 2015. On a per Investing Partner Unit basis, the partnership reported a loss of $3,103 per Unit in 2016, compared to a net loss of $269 per Unit in 2015. The 2016 net loss included $2.9 million of non-cash write-downs in the carrying value of the Partnership's oil and gas properties and reduced revenues as a result of lower oil and gas prices compared to the prior year. The Partnership reported earnings of $0.8 million in 2014.</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Total revenues in 2016 of $1.3 million decreased 18 percent from 2015 on lower oil and gas prices in 2016. The Partnership’s total revenues in 2015 of $1.6 million decreased 45 percent from 2014 on lower oil prices and gas production and a provision for the settlement of an overproduced gas balancing position at North Padre Island 969/976.</w:t>
      </w:r>
    </w:p>
    <w:p>
      <w:pPr>
        <w:spacing w:after="0" w:line="18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Declines in oil and gas production can be expected in future years as a result of normal depletion. Given the small number of producing wells owned by the Partnership, and that production from offshore wells tends to decline at a faster rate than production from onshore wells, the Partnership’s future production will be subject to more volatility than those companies with greater reserves and longer-lived properties. It is not anticipated that the Partnership will acquire any additional exploratory leases or that significant drilling will take place on leases in which the Partnership currently holds interests.</w:t>
      </w:r>
    </w:p>
    <w:p>
      <w:pPr>
        <w:spacing w:after="0" w:line="15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Partnership’s oil, gas and NGL production volume and price information is summarized in the following table (gas volumes are presented in thousand cubic feet (Mcf)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rPr>
              <w:t>For the 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Increase</w:t>
            </w: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volume – Mcf per day</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Average gas price – per Mcf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volume – barrels per day</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Average oil price –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volume – barrels per day</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Average NGL price – per barrel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486"/>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5" w:name="page16"/>
    <w:bookmarkEnd w:id="15"/>
    <w:p>
      <w:pPr>
        <w:ind w:right="80" w:firstLine="432"/>
        <w:spacing w:after="0" w:line="255" w:lineRule="auto"/>
        <w:rPr>
          <w:sz w:val="20"/>
          <w:szCs w:val="20"/>
          <w:color w:val="auto"/>
        </w:rPr>
      </w:pPr>
      <w:r>
        <w:rPr>
          <w:rFonts w:ascii="Arial" w:cs="Arial" w:eastAsia="Arial" w:hAnsi="Arial"/>
          <w:sz w:val="18"/>
          <w:szCs w:val="18"/>
          <w:color w:val="auto"/>
        </w:rPr>
        <w:t>On October 4, 2015, Ship Shoal 258/259 was shut-in so that the pipeline company that transports the natural gas and oil from the field could perform maintenance on their system. Approximately four days into the work, the pipeline company experienced an explosion and fire at one of their onshore natural gas facilities. While the Partnership did not incur any cost related to repairing the pipeline’s facility, the incident caused the Partnership’s production from the field to be shut-in for an extended period of time. The field remained shut-in at the end of 2015 and returned to production in the first quarter of 2016. The Partnership’s sales from Ship Shoal 258/259 at the end of the third quarter of 2015 averaged approximately 100 Mcf per day of natural gas and a small amount of liquids.</w:t>
      </w:r>
    </w:p>
    <w:p>
      <w:pPr>
        <w:spacing w:after="0" w:line="193"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In June, 2014, North Padre Island 969/976 was taken off production for repairs and to address safety issues raised by the Bureau of Safety and Environmental Enforcement (BSEE). The operator of the field originally planned to perform the necessary repairs and modifications in 2015 to restore production, but low gas prices made the work uneconomic. In June 2015, the operator proposed abandoning the field, and after receiving partner approval, commenced abandonment operations in the second half of 2015. Before going off production, the field averaged slightly over 100 Mcf per day net to the Partnership in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Sales</w:t>
      </w:r>
    </w:p>
    <w:p>
      <w:pPr>
        <w:spacing w:after="0" w:line="121"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i w:val="1"/>
          <w:iCs w:val="1"/>
          <w:color w:val="auto"/>
        </w:rPr>
        <w:t xml:space="preserve">2016 vs. 2015 </w:t>
      </w:r>
      <w:r>
        <w:rPr>
          <w:rFonts w:ascii="Arial" w:cs="Arial" w:eastAsia="Arial" w:hAnsi="Arial"/>
          <w:sz w:val="18"/>
          <w:szCs w:val="18"/>
          <w:color w:val="auto"/>
        </w:rPr>
        <w:t>The Partnership’s crude oil sales in 2016 totaled $1.0 million, down 26 percent from 2015 on lower prices. The Partnership’s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oil price in 2016 decreased 25 percent from 2015, dropping to $40.27 per barrel in 2016. The Partnership’s crude oil volumes were down slightly from last year.</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2015 vs. 2014 </w:t>
      </w:r>
      <w:r>
        <w:rPr>
          <w:rFonts w:ascii="Arial" w:cs="Arial" w:eastAsia="Arial" w:hAnsi="Arial"/>
          <w:sz w:val="17"/>
          <w:szCs w:val="17"/>
          <w:color w:val="auto"/>
        </w:rPr>
        <w:t>In 2015, the Partnership’s crude oil sales totaled $1.4 million, down 42 percent from 2014 on lower prices. The Partnership’s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realized oil price in 2015 decreased 46 percent from 2014, dropping to $53.47 per barrel in 2015. The Partnership’s crude oil volumes increased to 69 barrels per day from 64 barrels per day during 2014 as a result of a recompletion at South Timbalier 295 in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Sales</w:t>
      </w:r>
    </w:p>
    <w:p>
      <w:pPr>
        <w:spacing w:after="0" w:line="12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2016 vs. 2015 </w:t>
      </w:r>
      <w:r>
        <w:rPr>
          <w:rFonts w:ascii="Arial" w:cs="Arial" w:eastAsia="Arial" w:hAnsi="Arial"/>
          <w:sz w:val="17"/>
          <w:szCs w:val="17"/>
          <w:color w:val="auto"/>
        </w:rPr>
        <w:t>Natural gas sales in 2016 decreased 1 percent from a year ago, totaling $0.3 million on lower realized gas prices. The Partnership’s</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realized gas prices decreased from $2.82 per Mcf in 2015 to $2.50 per Mcf in 2016, reducing sales by approximately $30,000. A 30 Mcf per day, or 12 percent increase in natural gas volumes during 2016 from the same period a year ago nearly offset the impact of lower natural gas prices. The Partnership’s increase in gas production in 2016 primarily reflected recompletions at South Timbalier 295 in late 2015.</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 xml:space="preserve">2015 vs. 2014 </w:t>
      </w:r>
      <w:r>
        <w:rPr>
          <w:rFonts w:ascii="Arial" w:cs="Arial" w:eastAsia="Arial" w:hAnsi="Arial"/>
          <w:sz w:val="18"/>
          <w:szCs w:val="18"/>
          <w:color w:val="auto"/>
        </w:rPr>
        <w:t>Natural gas sales in 2015 decreased 44 percent from 2014, dropping to $0.3 million on lower gas prices. The Partnership’s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gas prices decreased from $5.03 per Mcf in 2014 to $2.82 per Mcf in 2015, reducing sales by $0.2 million. The Partnership’s gas production in 2015 was down one percent from 2014 as increased production at South Timbalier 295 was offset by lower production at Ship Shoal 258/259 and North Padre Island 969/976.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Sales</w:t>
      </w:r>
    </w:p>
    <w:p>
      <w:pPr>
        <w:spacing w:after="0" w:line="12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Partnership sold 7 barrels per day of natural gas liquids in 2016, down from 12 barrels per day in 2015. The decrease reflected lower processed volumes at South Timbalier 295 in 2016 and pipeline downtime at Ship Shoal 258/259. NGL prices in 2016 decreased 8 percent from 2015, dropping to $17.35 per barrel. The Partnership sold 12 barrels per day of natural gas liquids in 2015, up from 8 barrels per day in 2014. The increase reflected higher processed volumes at South Timbalier 295 in 2015. NGL prices in 2015 decreased 52 percent from 2014, dropping to $18.96 per barrel for the year as liquid prices fell along with oil and natural gas prices.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Since the Partnership does not anticipate acquiring additional acreage or conducting exploratory drilling on leases in which it currently holds an interest, declines in oil and gas production can be expected in future periods as a result of natural depletion. Also, given the small number of producing wells owned by the Partnership and exposure to inclement weather in the Gulf of Mexico, the Partnership’s production may be subject to more volatility than those companies with a larger or more diversified property portfolio.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2016 vs. 2015 </w:t>
      </w:r>
      <w:r>
        <w:rPr>
          <w:rFonts w:ascii="Arial" w:cs="Arial" w:eastAsia="Arial" w:hAnsi="Arial"/>
          <w:sz w:val="18"/>
          <w:szCs w:val="18"/>
          <w:color w:val="auto"/>
        </w:rPr>
        <w:t>The Partnership’s depreciation, depletion and amortization (DD&amp;A), expressed as a percentage of oil and gas sales, rose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38 percent in 2016 from approximately 28 percent in 2015. The increase in the rate as a percentage of oil and gas sales in 2016 reflected the impact of declining oil and gas prices. The dollar amount of recurring DD&amp;A expense for 2016 increased from the comparable period a year ago as a result of the higher DD&amp;A rate. For 2016 and 2015, the Partnership recognized asset retirement obligation accretion of $79,661 and $126,687, respectively. Abandonment activity during 2015 at Matagorda Island 681/682 and North Padre Island 969/976 reduced the Partnership's abandonment obligations and related accretion expense.</w:t>
      </w:r>
    </w:p>
    <w:p>
      <w:pPr>
        <w:spacing w:after="0" w:line="8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Lease operating expenses (LOE) for 2016 were down 25 percent from the same period a year ago, decreasing to $0.6 million in 2016. The decrease reflects the impact of permanently shutting-in North Padre Island 969/976 and operating costs that have been trending downward as a response to lower commodity prices. In addition, the operator of the properties has been delaying discretionary repair work and other costs in light of reduced oil and gas prices and cash flow. Gathering and transportation costs for the delivery of oil and gas decreased over 30 percent from the same period in 2015 primarily a result of a change in oil marketing arrangements on the South Timbalier 295. Administrative expenses for 2016 decreased four percent compared to the same period in 2015.</w:t>
      </w:r>
    </w:p>
    <w:p>
      <w:pPr>
        <w:spacing w:after="0" w:line="19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Under the full cost method of accounting, the Partnership is required to review the carrying value of its proved oil and gas properties each quarter. Under these rules, capitalized costs of oil and gas properties, net of accumulated DD&amp;A, may not exceed the present value of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As a result of the ceiling limitation, the Partnership wrote-down the carrying value of its oil and gas properties by approximately $2.9 million during 2016. The write-downs are reflected as additional DD&amp;A expense. If commodity prices experience continued declines to levels lower than prices realized in the previous 12 months, the Partnership may be required to recognize additional non-cash write-downs of the carrying value of its oil and gas properties in future periods.</w:t>
      </w:r>
    </w:p>
    <w:p>
      <w:pPr>
        <w:spacing w:after="0" w:line="179"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i w:val="1"/>
          <w:iCs w:val="1"/>
          <w:color w:val="auto"/>
        </w:rPr>
        <w:t xml:space="preserve">2015 vs. 2014 </w:t>
      </w:r>
      <w:r>
        <w:rPr>
          <w:rFonts w:ascii="Arial" w:cs="Arial" w:eastAsia="Arial" w:hAnsi="Arial"/>
          <w:sz w:val="17"/>
          <w:szCs w:val="17"/>
          <w:color w:val="auto"/>
        </w:rPr>
        <w:t>The Partnership’s depreciation, depletion and amortization (DD&amp;A), expressed as a percentage of oil and gas sales, rose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28 percent in 2015 from approximately 20 percent in 2014. For 2015 and 2014, the Partnership recognized asset retirement obligation accretion of $126,687 and $112,566, respectively. Lease operating expenses (LOE) for 2015 were down 20 percent from the same period a year ago, decreasing to $0.8 million in 2015, reflecting lower repair costs in 2015, lower operating costs from the abandonment of North Padre Island 969/976 and Matagorda Island 681/682 and reduced cost from the temporary shut-in of Ship Shoal 258/259. Gathering and transportation costs for the delivery of oil and gas increased 15 percent from the same period in 2014 primarily a result of higher oil, gas, and NGL volumes from South Timbalier 295 in 2015. Administrative expense for 2015 decreased three percent compared to the same period in 2014.</w:t>
      </w:r>
    </w:p>
    <w:p>
      <w:pPr>
        <w:spacing w:after="0" w:line="17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Partnership’s oil and natural gas is generally sold utilizing two common types of agreements, both of which include a transportation charge. One is a netback arrangement, under which oil or natural gas is sold at the wellhead and the Partnership collects a price, net of transportation incurred by the operator or purchaser. In this case, the Partnership records sales at the price received from the final purchaser which is net of transportation costs. Under the other arrangement, the oil or natural gas is sold at a specific delivery point, the operator or Partnership pays transportation to a carrier and receives from the purchaser a price with no transportation deduction. In this case, the Partnership records the separate transportation cost as gathering and transportation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Partnership’s primary capital resource is net cash provided by operating activities, which totaled a cash outflow of $0.2 million for 2016 and a cash inflow of $0.1 million for 2015. The decline from 2015 reflected the significant decline in oil and gas prices and cash outlays for abandonment work. Net cash provided by operating activities totaled $1.3 million for 2014.</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At December 31, 2016, the Partnership had approximately $5.0 million in cash and cash equivalents, down slightly from the end of 2015. The Partnership’s goal is to maintain cash and cash equivalents at least sufficient to cover the undiscounted value of its future asset retirement obligation liability. The Partnership also plans to reserve funds for repairs which may disrupt the Partnership’s production.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50" w:right="239" w:bottom="1440" w:gutter="0" w:footer="0" w:header="0"/>
        </w:sectPr>
      </w:pPr>
    </w:p>
    <w:bookmarkStart w:id="17" w:name="page18"/>
    <w:bookmarkEnd w:id="17"/>
    <w:p>
      <w:pPr>
        <w:ind w:right="140" w:firstLine="432"/>
        <w:spacing w:after="0" w:line="276" w:lineRule="auto"/>
        <w:rPr>
          <w:sz w:val="20"/>
          <w:szCs w:val="20"/>
          <w:color w:val="auto"/>
        </w:rPr>
      </w:pPr>
      <w:r>
        <w:rPr>
          <w:rFonts w:ascii="Arial" w:cs="Arial" w:eastAsia="Arial" w:hAnsi="Arial"/>
          <w:sz w:val="17"/>
          <w:szCs w:val="17"/>
          <w:color w:val="auto"/>
        </w:rPr>
        <w:t>The Partnership’s future financial condition, results of operations and cash from operating activities will largely depend upon prices received for its oil and natural gas production.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and economic conditions (especially in the Middle East), the foreign and domestic supply of oil and natural gas, the price of foreign imports, the level of consumer demand, weather and the price and availability of alternative fuels.</w:t>
      </w:r>
    </w:p>
    <w:p>
      <w:pPr>
        <w:spacing w:after="0" w:line="1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Partnership’s oil and gas reserves and production will also significantly impact future results of operations and cash from operating activities. The Partnership’s production is subject to fluctuations in response to remaining quantities of oil and gas reserves, weather, pipeline capacity, consumer demand, mechanical performance and workover, recompletion and drilling activities. Declines in oil and gas production can be expected in future years as a result of normal depletion and the Partnership’s non-participation in acquisition or exploration activities. Based on production estimates from independent engineers and current market conditions, the Partnership forecasts it will be able to meet its liquidity needs for routine operations in 2017 and 2018. The Partnership will reduce capital expenditures and distributions to partners as cash from operating activities declines.</w:t>
      </w:r>
    </w:p>
    <w:p>
      <w:pPr>
        <w:spacing w:after="0" w:line="17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Approximately 89 percent of the Partnership’s total proved reserves are classified as proved not producing. These reserves relate to zones that are either behind pipe, or that have been completed but not yet produced or zones that have been produced in the past, but are not now producing due to mechanical reasons. These reserves may be regarded as less certain than producing reserves because they are frequently based on volumetric calculations rather than performance data. Future production associated with behind pipe reserves is scheduled to follow depletion of the currently producing zones in the same wellbores. It should be noted that additional capital will have to be spent to access these reserves. The Partnership’s liquidity may be negatively impacted if the actual quantities of reserves that are ultimately produced are materially different from current estimates. Also, if prices decline significantly from current levels, the Partnership may not be able to fund the necessary capital investment, or development of the remaining reserves may not be economical for the Partnership.</w:t>
      </w:r>
    </w:p>
    <w:p>
      <w:pPr>
        <w:spacing w:after="0" w:line="192"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The Partnership may reduce capital expenditures or distributions to partners, or both, as cash from operating activities decline. In the event that future short-term operating cash requirements are greater than the Partnership’s financial resources, the Partnership may seek short-term, interest-bearing advances from the Managing Partner as needed. The Managing Partner, however, is not obligated to make loans to the Partnership. The Partnership does not intend to incur debt from banks or other outside sources or solicit capital from existing Unit holders or in the open market.</w:t>
      </w:r>
    </w:p>
    <w:p>
      <w:pPr>
        <w:spacing w:after="0" w:line="171"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color w:val="auto"/>
        </w:rPr>
        <w:t>On an ongoing basis, the Partnership reviews the possible sale of lower value properties prior to incurring associated dismantlement and abandonment costs. The Partnership did not sell any properties in 2016, 2015, or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121"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The Partnership’s primary needs for cash are for operating expenses, drilling and recompletion expenditures, future dismantlement and abandonment costs, distributions to Investing Partners, and the purchase of Units offered by Investing Partners under the right of presentment. To the extent it has discretion, the Partnership allocates available capital to investment in the Partnership’s properties so as to maximize production and resultant cash flow. The Partnership had no outstanding debt or lease commitments at December 31, 2016. The Partnership did not have any contractual obligations as of December 31, 2016, other than the liability for dismantlement and abandonment costs of its oil and gas properties. The Partnership has recorded a separate liability for this asset retirement obligation as discussed in the notes to the financial statements included in this annual report on Form 10-K.</w:t>
      </w:r>
    </w:p>
    <w:p>
      <w:pPr>
        <w:spacing w:after="0" w:line="16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During each of the last three years, the Partnership had modest cash outlays for oil and gas property additions as it did not participate in any new drilling projects. The Partnership participated in a recompletion project at Ship Shoal 258/259 in 2016 and three recompletion projects at South Timbalier 295 in 2015. The Partnership paid cash settlements for ARO liabilities totaling $0.3 million in 2016, $0.5 million in 2015, and $0.2 million in 2014.</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Based on preliminary information available to the Partnership, it anticipates capital expenditures will be approximately $0.2 million in 2017 for recompletion activity at South Timbalier 295. Final abandonment activity for removal of the platforms at North Padre Island 969/976, which was originally expected to occur during 2016, has been deferred until 2018. Such estimates may change based on realized oil and gas prices, drilling results, rates charged by contractors or changes by the operator to their development or abandonment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8" w:name="page19"/>
    <w:bookmarkEnd w:id="18"/>
    <w:p>
      <w:pPr>
        <w:jc w:val="both"/>
        <w:ind w:right="180" w:firstLine="405"/>
        <w:spacing w:after="0" w:line="264" w:lineRule="auto"/>
        <w:rPr>
          <w:sz w:val="20"/>
          <w:szCs w:val="20"/>
          <w:color w:val="auto"/>
        </w:rPr>
      </w:pPr>
      <w:r>
        <w:rPr>
          <w:rFonts w:ascii="Arial" w:cs="Arial" w:eastAsia="Arial" w:hAnsi="Arial"/>
          <w:sz w:val="18"/>
          <w:szCs w:val="18"/>
          <w:color w:val="auto"/>
        </w:rPr>
        <w:t>Because of low oil and gas prices and the need to reserve cash for future asset retirement obligations, no distributions were made to Investing Partners during 2016. The Partnership also made no distribution to Investing Partners during 2015 as a result of low product prices and the large amount of pending plugging costs for Matagorda Island 681 and North Padre Island 969/976.</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amount of future distributions will be dependent on actual and expected production levels, realized and anticipated oil and gas prices, expected drilling and recompletion expenditures, and prudent cash reserves for future dismantlement and abandonment costs that will be incurred after the Partnership’s reserves are depleted. The Partnership’s goal is to maintain cash and cash equivalents in the Partnership at least sufficient to cover the undiscounted value of its future asset retirement obligations. The Partnership will continue to review available cash balances, cash requirements for plugging and abandonment activity, oil and gas prices realized by the Partnership for the sale of its production, especially in light of lower commodity prices in 2016 and 2015, and the level of drilling and recompletion activity to determine whether there are sufficient funds to make a distribution to Investing Partners in 2017.</w:t>
      </w:r>
    </w:p>
    <w:p>
      <w:pPr>
        <w:spacing w:after="0" w:line="1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With respect to oil and gas operations in the Gulf of Mexico, the BOEM has issued Notice to Lessees (NTL) No. 2016-N01 pertaining to the obligations of companies to provide supplemental assurances for performance with respect to plugging, abandonment, decommissioning, and site clearance obligations associated with wells, platforms, structures, and facilities located upon or used in connection with such companies’ oil and gas leases. Under this NTL, the Partnership will likely be required to provide additional security to BOEM with respect to plugging, abandonment, and decommissioning obligations relating to the Partnership’s current ownership interests in various Gulf of Mexico leases. The Partnership will likely satisfy such requirements through the provision of bonds or other forms of security. Management does not believe the ultimate satisfaction of the NTL requirements will adversely affect the Partnership’s overall liquidity.</w:t>
      </w:r>
    </w:p>
    <w:p>
      <w:pPr>
        <w:spacing w:after="0" w:line="18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provided in the Amended Partnership Agreement, a first right of presentment valuation was computed during the first quarter of 2016. The per-unit value was determined to be $6,057 based on the valuation date of December 31, 2015. A second right of presentment valuation was computed during October 2016 and the per-unit value was determined to be $6,091 based on a valuation date of June 30, 2016. The Partnership did not repurchase any Investing Partner Units (Units) during 2016 as a result of the Partnership’s limited amount of cash available for discretionary purposes. The per-unit right of presentment value computed during the first quarter of 2015 based on the valuation date of December 31, 2014, was $9,765 and the second per-unit right of presentment in 2015 was $9,831 based on a valuation date of June 30, 2015. The Partnership did not repurchase any Units during 2015. Pursuant to the Amended Partnership Agreement, the Partnership has no obligation to repurchase any Units presented to the extent it determines that it has insufficient funds for such purchases.</w:t>
      </w:r>
    </w:p>
    <w:p>
      <w:pPr>
        <w:spacing w:after="0" w:line="167"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There will be two rights of presentment in 2017, but the Partnership is not in a position to predict how many Units will be presented for repurchase and cannot, at this time, determine if the Partnership will have sufficient funds available to repurchase Units. The Amended Partnership Agreement contains limitations on the number of Units that the Partnership can repurchase, including an annual limit on repurchases of 10 percent of outstanding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Partnership does not currently utilize any off-balance sheet arrangements with unconsolidated entities to enhance liquidity and capital resource positions, or any other purpose. Any future transactions involving off-balance sheet arrangements will be fully scrutinized by the Managing Partner and disclosed by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w:t>
      </w:r>
    </w:p>
    <w:p>
      <w:pPr>
        <w:spacing w:after="0" w:line="12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Managing Partner maintains insurance coverage that includes coverage for physical damage to the Partnership’s oil and gas properties, third party liability, workers’ compensation and employers’ liability, general liability, sudden pollution and other coverage. The insurance coverage includes deductibles which must be met prior to recovery. Additionally, the Managing Partner’s insurance is subject to exclusions and limitations and there is no assurance that such coverage will adequately protect us against liability from all potential consequences and damages.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Managing Partner’s various insurance policies also provide coverage for, among other things, liability related to negative environmental impacts of a sudden pollution, charterer’s legal liability and general liability, employer’s liability and auto liability. The Managing Partner’s service agreements, including drilling contracts, generally indemnify Apache and the Partnership for injuries and death of the service provider’s employees as well as contractors and subcontractors hired by the service provider.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Partnership prepares its financial statements and the accompanying notes in conformity with accounting principles generally accepted in the United States, which requires management to make estimates and assumptions about future events that affect the reported amounts in the financial statements and accompanying notes. Management identifies certain accounting policies as critical based on, among other things, their impact on the Partnership’s financial condition, results of operations or liquidity and the degree of difficulty, subjectivity, and complexity in their development. Critical accounting policies cover accounting matters that are inherently uncertain because the future resolution of such matters is unknown. The following is a discussion of Partnership’s most critical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Estimates</w:t>
      </w:r>
    </w:p>
    <w:p>
      <w:pPr>
        <w:spacing w:after="0" w:line="117" w:lineRule="exact"/>
        <w:rPr>
          <w:sz w:val="20"/>
          <w:szCs w:val="20"/>
          <w:color w:val="auto"/>
        </w:rPr>
      </w:pPr>
    </w:p>
    <w:p>
      <w:pPr>
        <w:jc w:val="both"/>
        <w:ind w:right="800" w:firstLine="432"/>
        <w:spacing w:after="0" w:line="264" w:lineRule="auto"/>
        <w:rPr>
          <w:sz w:val="20"/>
          <w:szCs w:val="20"/>
          <w:color w:val="auto"/>
        </w:rPr>
      </w:pPr>
      <w:r>
        <w:rPr>
          <w:rFonts w:ascii="Arial" w:cs="Arial" w:eastAsia="Arial" w:hAnsi="Arial"/>
          <w:sz w:val="18"/>
          <w:szCs w:val="18"/>
          <w:color w:val="auto"/>
        </w:rPr>
        <w:t>Proved oil and gas reserves are the estimated quantities of natural gas, crude oil, condensate, and NGL’s that geological and engineering data demonstrate with reasonable certainty to be recoverable in future years from known reservoirs under existing conditions, operating conditions, and government regulations.</w:t>
      </w:r>
    </w:p>
    <w:p>
      <w:pPr>
        <w:spacing w:after="0" w:line="18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Proved undeveloped reserves include those reserves that are expected to be recovered from new wells on undrilled acreage, or from existing wells where a relatively major expenditure is required for recompletion. Undeveloped reserves may be classified as proved reserves on undrilled acreage directly offsetting development areas that are reasonably certain of production when drilled, or where reliable technology provides reasonable certainty of economic producibility. Undrilled locations may be classified as having undeveloped reserves only if a development plan has been adopted indicating that they are scheduled to be drilled within five years, unless specific circumstances justify a longer time.</w:t>
      </w:r>
    </w:p>
    <w:p>
      <w:pPr>
        <w:spacing w:after="0" w:line="17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Despite the inherent imprecision in these engineering estimates, the Partnership’s reserves have a significant impact on its financial statements. For example, the quantity of reserves could significantly impact the Partnership’s DD&amp;A expense. The Partnership’s oil and gas properties are also subject to a “ceiling” limitation based in part on the quantity of our proved reserves. These reserves are the basis for our supplemental oil and gas disclosures.</w:t>
      </w:r>
    </w:p>
    <w:p>
      <w:pPr>
        <w:spacing w:after="0" w:line="14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Reserves are calculated using an unweighted arithmetic average of commodity prices in effect on the first day of each of the previous 12 months, held flat for the life of production, except where prices are defined by contractual arrangements.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 has elected not to disclose probable and possible reserves or reserve estimates based upon futures or other prices in this filing.</w:t>
      </w:r>
    </w:p>
    <w:p>
      <w:pPr>
        <w:spacing w:after="0" w:line="2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Partnership’s estimate of proved oil and gas reserves are prepared by Ryder Scott Company, L.P. Petroleum Consultants, independent petroleum engineers, utilizing oil and gas price data and cost estimates provided by Apache as Managing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 (ARO)</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Partnership has obligations to remove tangible equipment and restore the land or seabed at the end of oil and gas production operations. These obligations may be significant in light of the Partnership’s limited operations and estimate of remaining reserves. The Partnership’s removal and restoration obligations are primarily associated with plugging and abandoning wells and removing and disposing of offshore oil and gas platforms. Estimating the future restoration and removal costs is difficult and requires management to make estimates and judgments because most of the removal obligations are many years in the future and asset removal technologies and costs are constantly changing, as are regulatory, political, environmental, safety and public relations considerations.</w:t>
      </w:r>
    </w:p>
    <w:p>
      <w:pPr>
        <w:spacing w:after="0" w:line="19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Asset retirement obligations associated with retiring tangible long-lived assets, are recognized as a liability in the period in which a legal obligation is incurred and becomes determinable. This liability is offset by a corresponding increase in the carrying amount of the underlying asset. The ARO liability reflects the estimated present value of the amount of dismantlement, removal, site reclamation and similar activities associated with Partnership’s oil and gas properties. The Partnership utilizes current retirement costs to estimate the expected cash outflows for retirement obligations. The cost of the tangible asset, including the initially recognized ARO, is depleted such that the cost of the ARO is recognized over the useful life of the asset.</w:t>
      </w:r>
    </w:p>
    <w:p>
      <w:pPr>
        <w:spacing w:after="0" w:line="15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Inherent in the present value calculation are numerous assumptions and judgments including the ultimate settlement amounts, inflation factors, credit adjusted discount rates, timing of settlement, and changes in the legal, regulatory, environmental and political environments. To the extent future revisions to these assumptions impact the present value of the existing ARO liability, a corresponding adjustment is made to the oil and gas property balance. Accretion expense is recognized over time as the discounted liability is accreted to its expected settlement value.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850" w:right="27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The Partnership’s major market risk exposure is in the pricing applicable to its oil and gas production. Realized pricing is primarily driven by the prevailing worldwide price for crude oil and spot prices applicable to its natural gas production. Prices received for oil and gas production continue to be volatile and unpredictable. The Partnership has not used derivative financial instruments or otherwise engaged in hedging activities during 2016 or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Risk</w:t>
      </w:r>
    </w:p>
    <w:p>
      <w:pPr>
        <w:spacing w:after="0" w:line="12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primary objective of the following information is to provide forward-looking quantitative and qualitative information about our exposure to market risk. The term market risk relates to the risk of loss arising from adverse changes in oil, gas and NGL prices, interest rates, weather and climate, and governmental risks. The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7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Partnership’s revenues, earnings, cash flow, capital investments and, ultimately, future rate of growth are highly dependent on the prices we receive for our crude oil, natural gas and NGLs, which have historically been very volatile. Realized pricing is primarily driven by the prevailing worldwide price for crude oil and spot prices applicable to the Partnership’s natural gas production. Prices received for oil and gas production have been and remain volatile and unpredictable. During 2016, monthly oil price realizations ranged from a low of $31.36 per barrel to a high of $48.92 per barrel. Gas price realizations ranged from a monthly low of $1.61 per Mcf to a monthly high of $3.31 per Mcf during the same period. Based on the Partnership’s average daily production for 2016, a $1.00 per barrel change in the weighted average realized oil price would have increased or decreased revenues for the year by approximately $25,000 and a $0.10 per Mcf change in the weighted average realized price of natural gas would have increased or decreased revenues for the year by approximately $11,000. The Partnership did not use derivative financial instruments or otherwise engage in hedging activities during the three-year period ended December 31, 2016. Due to the volatility of commodity prices, the Partnership is not in a position to predict future oil and gas prices.</w:t>
      </w:r>
    </w:p>
    <w:p>
      <w:pPr>
        <w:spacing w:after="0" w:line="16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Demand for oil and natural gas are, to a significant degree, dependent on weather and climate, which impact the price we receive for the commodities we produce. In addition, our exploration and development activities and equipment can be adversely affected by severe weather, such as hurricanes in the Gulf of Mexico, which may cause a loss of production from temporary cessation of activity or lost or damaged equipment. While our planning for normal climatic variation, insurance program, and emergency recovery plans mitigate the effects of the weather, not all such effects can be predicted, eliminated or insured against.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As an owner or lessee and operator of oil and gas properties and facilities, the Partnership is subject to numerous federal, state, and local laws and regulations relating to discharge of materials into, and protection of, the environment. These laws and regulations may, among other things, impose liability on the lessee under an oil and gas lease for the cost of pollution clean-up resulting from operations, subject the lessee to liability for pollution damages and require suspension or cessation of operations in affected areas. Although environmental requirements have a substantial impact upon the energy industry, as a whole, we do not believe that these requirements affect us differently, to any material degree, than other companies in our industry.</w:t>
      </w:r>
    </w:p>
    <w:p>
      <w:pPr>
        <w:spacing w:after="0" w:line="15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has made and will continue to make expenditures in our efforts to comply with these requirements, which we believe are necessary business costs in the oil and gas industry. The Managing Partner has established policies for continuing compliance with environmental laws and regulations, including regulations applicable to the Partnership’s operations. The costs incurred under these policies and procedures are inextricably connected to normal operating expenses such that we are unable to separate expenses related to environmental matters; however, the Partnership does not believe expenses related to training and compliance with regulations and laws that have been adopted or enacted to regulate the discharge of materials into the environment will have a material impact on its capital expenditures or earnings.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0"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200" w:type="dxa"/>
            <w:vAlign w:val="bottom"/>
            <w:gridSpan w:val="10"/>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14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00" w:type="dxa"/>
            <w:vAlign w:val="bottom"/>
            <w:gridSpan w:val="7"/>
          </w:tcPr>
          <w:p>
            <w:pPr>
              <w:jc w:val="center"/>
              <w:ind w:right="2020"/>
              <w:spacing w:after="0"/>
              <w:rPr>
                <w:sz w:val="20"/>
                <w:szCs w:val="20"/>
                <w:color w:val="auto"/>
              </w:rPr>
            </w:pPr>
            <w:r>
              <w:rPr>
                <w:rFonts w:ascii="Arial" w:cs="Arial" w:eastAsia="Arial" w:hAnsi="Arial"/>
                <w:sz w:val="18"/>
                <w:szCs w:val="18"/>
                <w:b w:val="1"/>
                <w:bCs w:val="1"/>
                <w:color w:val="auto"/>
                <w:w w:val="99"/>
              </w:rPr>
              <w:t>APACHE OFFSHORE INVESTMENT PARTNERSHIP</w:t>
            </w:r>
          </w:p>
        </w:tc>
        <w:tc>
          <w:tcPr>
            <w:tcW w:w="11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100" w:type="dxa"/>
            <w:vAlign w:val="bottom"/>
            <w:gridSpan w:val="7"/>
          </w:tcPr>
          <w:p>
            <w:pPr>
              <w:jc w:val="center"/>
              <w:ind w:right="2020"/>
              <w:spacing w:after="0"/>
              <w:rPr>
                <w:sz w:val="20"/>
                <w:szCs w:val="20"/>
                <w:color w:val="auto"/>
              </w:rPr>
            </w:pPr>
            <w:r>
              <w:rPr>
                <w:rFonts w:ascii="Arial" w:cs="Arial" w:eastAsia="Arial" w:hAnsi="Arial"/>
                <w:sz w:val="18"/>
                <w:szCs w:val="18"/>
                <w:b w:val="1"/>
                <w:bCs w:val="1"/>
                <w:color w:val="auto"/>
              </w:rPr>
              <w:t>INDEX TO FINANCIAL STATEMENTS</w:t>
            </w:r>
          </w:p>
        </w:tc>
        <w:tc>
          <w:tcPr>
            <w:tcW w:w="1140" w:type="dxa"/>
            <w:vAlign w:val="bottom"/>
          </w:tcPr>
          <w:p>
            <w:pPr>
              <w:spacing w:after="0"/>
              <w:rPr>
                <w:sz w:val="20"/>
                <w:szCs w:val="20"/>
                <w:color w:val="auto"/>
              </w:rPr>
            </w:pPr>
          </w:p>
        </w:tc>
      </w:tr>
      <w:tr>
        <w:trPr>
          <w:trHeight w:val="288"/>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Page</w:t>
            </w: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w:t>
            </w:r>
          </w:p>
        </w:tc>
      </w:tr>
      <w:tr>
        <w:trPr>
          <w:trHeight w:val="526"/>
        </w:trPr>
        <w:tc>
          <w:tcPr>
            <w:tcW w:w="40" w:type="dxa"/>
            <w:vAlign w:val="bottom"/>
          </w:tcPr>
          <w:p>
            <w:pPr>
              <w:spacing w:after="0"/>
              <w:rPr>
                <w:sz w:val="24"/>
                <w:szCs w:val="24"/>
                <w:color w:val="auto"/>
              </w:rPr>
            </w:pPr>
          </w:p>
        </w:tc>
        <w:tc>
          <w:tcPr>
            <w:tcW w:w="49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Report of Management on Internal Control over Financial Reporting</w:t>
              </w:r>
            </w:hyperlink>
          </w:p>
        </w:tc>
        <w:tc>
          <w:tcPr>
            <w:tcW w:w="5300" w:type="dxa"/>
            <w:vAlign w:val="bottom"/>
            <w:gridSpan w:val="4"/>
          </w:tcPr>
          <w:p>
            <w:pPr>
              <w:spacing w:after="0"/>
              <w:rPr>
                <w:sz w:val="24"/>
                <w:szCs w:val="24"/>
                <w:color w:val="auto"/>
              </w:rPr>
            </w:pPr>
          </w:p>
        </w:tc>
        <w:tc>
          <w:tcPr>
            <w:tcW w:w="1140" w:type="dxa"/>
            <w:vAlign w:val="bottom"/>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574"/>
        </w:trPr>
        <w:tc>
          <w:tcPr>
            <w:tcW w:w="4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Report of Independent Registered Public Accounting Firm</w:t>
              </w:r>
            </w:hyperlink>
          </w:p>
        </w:tc>
        <w:tc>
          <w:tcPr>
            <w:tcW w:w="6020" w:type="dxa"/>
            <w:vAlign w:val="bottom"/>
            <w:gridSpan w:val="6"/>
          </w:tcPr>
          <w:p>
            <w:pPr>
              <w:spacing w:after="0"/>
              <w:rPr>
                <w:sz w:val="24"/>
                <w:szCs w:val="24"/>
                <w:color w:val="auto"/>
              </w:rPr>
            </w:pPr>
          </w:p>
        </w:tc>
        <w:tc>
          <w:tcPr>
            <w:tcW w:w="1140" w:type="dxa"/>
            <w:vAlign w:val="bottom"/>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574"/>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Statement of Consolidated Operations for each of the three years in the period ended December 31, 2016</w:t>
              </w:r>
            </w:hyperlink>
          </w:p>
        </w:tc>
        <w:tc>
          <w:tcPr>
            <w:tcW w:w="114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4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Statement of Consolidated Cash Flows for each of the three years in the period ended December 31, 2016</w:t>
              </w:r>
            </w:hyperlink>
          </w:p>
        </w:tc>
        <w:tc>
          <w:tcPr>
            <w:tcW w:w="114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574"/>
        </w:trPr>
        <w:tc>
          <w:tcPr>
            <w:tcW w:w="4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Consolidated Balance Sheet as of December 31, 2016 and 2015</w:t>
              </w:r>
            </w:hyperlink>
          </w:p>
        </w:tc>
        <w:tc>
          <w:tcPr>
            <w:tcW w:w="3020" w:type="dxa"/>
            <w:vAlign w:val="bottom"/>
            <w:tcBorders>
              <w:top w:val="single" w:sz="8" w:color="0000EE"/>
            </w:tcBorders>
            <w:gridSpan w:val="3"/>
          </w:tcPr>
          <w:p>
            <w:pPr>
              <w:spacing w:after="0"/>
              <w:rPr>
                <w:sz w:val="24"/>
                <w:szCs w:val="24"/>
                <w:color w:val="auto"/>
              </w:rPr>
            </w:pPr>
          </w:p>
        </w:tc>
        <w:tc>
          <w:tcPr>
            <w:tcW w:w="2640" w:type="dxa"/>
            <w:vAlign w:val="bottom"/>
            <w:gridSpan w:val="2"/>
          </w:tcPr>
          <w:p>
            <w:pPr>
              <w:spacing w:after="0"/>
              <w:rPr>
                <w:sz w:val="24"/>
                <w:szCs w:val="24"/>
                <w:color w:val="auto"/>
              </w:rPr>
            </w:pPr>
          </w:p>
        </w:tc>
        <w:tc>
          <w:tcPr>
            <w:tcW w:w="114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574"/>
        </w:trPr>
        <w:tc>
          <w:tcPr>
            <w:tcW w:w="40" w:type="dxa"/>
            <w:vAlign w:val="bottom"/>
          </w:tcPr>
          <w:p>
            <w:pPr>
              <w:spacing w:after="0"/>
              <w:rPr>
                <w:sz w:val="24"/>
                <w:szCs w:val="24"/>
                <w:color w:val="auto"/>
              </w:rPr>
            </w:pPr>
          </w:p>
        </w:tc>
        <w:tc>
          <w:tcPr>
            <w:tcW w:w="1024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Statement of Consolidated Changes in Partners’ Capital for each of the three years in the period ended December 31, 2016</w:t>
              </w:r>
            </w:hyperlink>
          </w:p>
        </w:tc>
        <w:tc>
          <w:tcPr>
            <w:tcW w:w="114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574"/>
        </w:trPr>
        <w:tc>
          <w:tcPr>
            <w:tcW w:w="40" w:type="dxa"/>
            <w:vAlign w:val="bottom"/>
          </w:tcPr>
          <w:p>
            <w:pPr>
              <w:spacing w:after="0"/>
              <w:rPr>
                <w:sz w:val="24"/>
                <w:szCs w:val="24"/>
                <w:color w:val="auto"/>
              </w:rPr>
            </w:pPr>
          </w:p>
        </w:tc>
        <w:tc>
          <w:tcPr>
            <w:tcW w:w="882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Notes to Consolidated Financial Statements</w:t>
              </w:r>
            </w:hyperlink>
          </w:p>
        </w:tc>
        <w:tc>
          <w:tcPr>
            <w:tcW w:w="142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574"/>
        </w:trPr>
        <w:tc>
          <w:tcPr>
            <w:tcW w:w="40" w:type="dxa"/>
            <w:vAlign w:val="bottom"/>
          </w:tcPr>
          <w:p>
            <w:pPr>
              <w:spacing w:after="0"/>
              <w:rPr>
                <w:sz w:val="24"/>
                <w:szCs w:val="24"/>
                <w:color w:val="auto"/>
              </w:rPr>
            </w:pPr>
          </w:p>
        </w:tc>
        <w:tc>
          <w:tcPr>
            <w:tcW w:w="2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Supplemental Oil and Gas Disclosures</w:t>
              </w:r>
            </w:hyperlink>
          </w:p>
        </w:tc>
        <w:tc>
          <w:tcPr>
            <w:tcW w:w="360" w:type="dxa"/>
            <w:vAlign w:val="bottom"/>
            <w:tcBorders>
              <w:top w:val="single" w:sz="8" w:color="0000EE"/>
            </w:tcBorders>
            <w:gridSpan w:val="2"/>
          </w:tcPr>
          <w:p>
            <w:pPr>
              <w:spacing w:after="0"/>
              <w:rPr>
                <w:sz w:val="24"/>
                <w:szCs w:val="24"/>
                <w:color w:val="auto"/>
              </w:rPr>
            </w:pPr>
          </w:p>
        </w:tc>
        <w:tc>
          <w:tcPr>
            <w:tcW w:w="7100" w:type="dxa"/>
            <w:vAlign w:val="bottom"/>
            <w:gridSpan w:val="7"/>
          </w:tcPr>
          <w:p>
            <w:pPr>
              <w:spacing w:after="0"/>
              <w:rPr>
                <w:sz w:val="24"/>
                <w:szCs w:val="24"/>
                <w:color w:val="auto"/>
              </w:rPr>
            </w:pPr>
          </w:p>
        </w:tc>
        <w:tc>
          <w:tcPr>
            <w:tcW w:w="114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574"/>
        </w:trPr>
        <w:tc>
          <w:tcPr>
            <w:tcW w:w="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Supplemental Quarterly Financial Data</w:t>
              </w:r>
            </w:hyperlink>
          </w:p>
        </w:tc>
        <w:tc>
          <w:tcPr>
            <w:tcW w:w="7420" w:type="dxa"/>
            <w:vAlign w:val="bottom"/>
            <w:gridSpan w:val="8"/>
          </w:tcPr>
          <w:p>
            <w:pPr>
              <w:spacing w:after="0"/>
              <w:rPr>
                <w:sz w:val="24"/>
                <w:szCs w:val="24"/>
                <w:color w:val="auto"/>
              </w:rPr>
            </w:pPr>
          </w:p>
        </w:tc>
        <w:tc>
          <w:tcPr>
            <w:tcW w:w="114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480"/>
        </w:trPr>
        <w:tc>
          <w:tcPr>
            <w:tcW w:w="1080" w:type="dxa"/>
            <w:vAlign w:val="bottom"/>
            <w:gridSpan w:val="2"/>
          </w:tcPr>
          <w:p>
            <w:pPr>
              <w:spacing w:after="0"/>
              <w:rPr>
                <w:sz w:val="20"/>
                <w:szCs w:val="20"/>
                <w:color w:val="auto"/>
              </w:rPr>
            </w:pPr>
            <w:r>
              <w:rPr>
                <w:rFonts w:ascii="Arial" w:cs="Arial" w:eastAsia="Arial" w:hAnsi="Arial"/>
                <w:sz w:val="18"/>
                <w:szCs w:val="18"/>
                <w:color w:val="auto"/>
              </w:rPr>
              <w:t>Schedules –</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All financial statement schedules have been omitted because they are either not required, not applicable or the information required to be presented is included in the financial statements or related notes thereto.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Management of the Partnership is responsible for the preparation and integrity of the consolidated financial statements appearing in this annual report on Form 10-K. The financial statements were prepared in conformity with accounting principles generally accepted in the United States and include amounts that are based on management’s best estimates and judgments.</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of the Partnership is responsible for establishing and maintaining effective internal control over financial reporting as such term is defined in Rule 13a-15(f) under the Securities Exchange Act of 1934 (Exchange Act). The Partnership’s and Managing Partner’s internal control over financial reporting is designed to provide reasonable assurance regarding the reliability of financial reporting and the preparation of the consolidated financial statements. Our internal control over financial reporting is supported by appropriate reviews by management, written policies and guidelines, careful selection and training of qualified personnel and a written code of business conduct adopted by the Managing Partner’s board of directors, applicable to all the Managing Partner’s directors, officers and employees.</w:t>
      </w:r>
    </w:p>
    <w:p>
      <w:pPr>
        <w:spacing w:after="0" w:line="19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560" w:firstLine="432"/>
        <w:spacing w:after="0" w:line="259" w:lineRule="auto"/>
        <w:rPr>
          <w:sz w:val="20"/>
          <w:szCs w:val="20"/>
          <w:color w:val="auto"/>
        </w:rPr>
      </w:pPr>
      <w:r>
        <w:rPr>
          <w:rFonts w:ascii="Arial" w:cs="Arial" w:eastAsia="Arial" w:hAnsi="Arial"/>
          <w:sz w:val="18"/>
          <w:szCs w:val="18"/>
          <w:color w:val="auto"/>
        </w:rPr>
        <w:t xml:space="preserve">Management assessed the effectiveness of the Partnership’s internal control over financial reporting as of December 31, 2016.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our assessment, management believes that the Partnership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2016.</w:t>
      </w: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J. Christmann IV</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of Apache Corporation, Managing Partner</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Stephen J. Riney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and Chief Financial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Officer (principal financial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of Apache Corporation, Managing Partner</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Rebecca A. Hoyt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Senior </w:t>
      </w:r>
      <w:r>
        <w:rPr>
          <w:rFonts w:ascii="Arial" w:cs="Arial" w:eastAsia="Arial" w:hAnsi="Arial"/>
          <w:sz w:val="18"/>
          <w:szCs w:val="18"/>
          <w:i w:val="1"/>
          <w:iCs w:val="1"/>
          <w:color w:val="auto"/>
        </w:rPr>
        <w:t>Vice President, Chief Accounting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and Controller (principal accounting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of Apache Corporation, Managing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0" w:right="259" w:bottom="1440" w:gutter="0" w:footer="0" w:header="0"/>
        </w:sectPr>
      </w:pPr>
    </w:p>
    <w:bookmarkStart w:id="23" w:name="page24"/>
    <w:bookmarkEnd w:id="2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Apache Offshore Investment Partnership:</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audited the accompanying consolidated balance sheet of Apache Offshore Investment Partnership as of December 31, 2016 and 2015, and the related statements of consolidated operations, cash flows and changes in partners’ capital for each of the three years in the period ended December 31, 2016. These financial statements are the responsibility of the Partnership’s management. Our responsibility is to express an opinion on these financial statements based on our audits.</w:t>
      </w:r>
    </w:p>
    <w:p>
      <w:pPr>
        <w:spacing w:after="0" w:line="18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Partnership’s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Apache Offshore Investment Partnership at December 31, 2016 and 2015, and the consolidated results of its operations and its cash flows for each of the three years in the period ended December 31, 2016,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0"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Oil and gas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1,317,075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1,707,495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2,933,808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 (loss)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1,324,714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1,623,334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2,933,896</w:t>
            </w:r>
          </w:p>
        </w:tc>
        <w:tc>
          <w:tcPr>
            <w:tcW w:w="0" w:type="dxa"/>
            <w:vAlign w:val="bottom"/>
          </w:tcPr>
          <w:p>
            <w:pPr>
              <w:spacing w:after="0"/>
              <w:rPr>
                <w:sz w:val="1"/>
                <w:szCs w:val="1"/>
                <w:color w:val="auto"/>
              </w:rPr>
            </w:pPr>
          </w:p>
        </w:tc>
      </w:tr>
      <w:tr>
        <w:trPr>
          <w:trHeight w:val="223"/>
        </w:trPr>
        <w:tc>
          <w:tcPr>
            <w:tcW w:w="67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Recurring</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507,051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478,748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577,830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126,687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112,566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947,111</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Gathering and transportation costs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124,806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108,187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376,000</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4,459,943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1,850,839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2,121,694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(3,135,229)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812,202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ALLOCATED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Managing Partner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270,751</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Investing Partners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(3,169,590)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541,451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(3,135,229)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812,202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INVESTING PARTNER UNIT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INVESTING PARTNER UNITS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w:t>
      </w:r>
    </w:p>
    <w:p>
      <w:pPr>
        <w:spacing w:after="0" w:line="148"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For the Year</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9584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(3,135,229)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812,202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Adjustments to reconcile net income (loss) to net cash provided by (used in)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3,380,231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577,830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 retirement obligation accretion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112,566</w:t>
            </w: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decrease in accrued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(274,118)</w:t>
            </w:r>
          </w:p>
        </w:tc>
      </w:tr>
      <w:tr>
        <w:trPr>
          <w:trHeight w:val="243"/>
        </w:trPr>
        <w:tc>
          <w:tcPr>
            <w:tcW w:w="6760" w:type="dxa"/>
            <w:vAlign w:val="bottom"/>
          </w:tcPr>
          <w:p>
            <w:pPr>
              <w:ind w:left="1140"/>
              <w:spacing w:after="0"/>
              <w:rPr>
                <w:sz w:val="20"/>
                <w:szCs w:val="20"/>
                <w:color w:val="auto"/>
              </w:rPr>
            </w:pPr>
            <w:r>
              <w:rPr>
                <w:rFonts w:ascii="Arial" w:cs="Arial" w:eastAsia="Arial" w:hAnsi="Arial"/>
                <w:sz w:val="18"/>
                <w:szCs w:val="18"/>
                <w:color w:val="auto"/>
                <w:w w:val="99"/>
              </w:rPr>
              <w:t>Increase (decrease) in receivable from/payable to Apache Corporation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5,868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(decrease) in other payables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140"/>
              <w:spacing w:after="0"/>
              <w:rPr>
                <w:sz w:val="20"/>
                <w:szCs w:val="20"/>
                <w:color w:val="auto"/>
              </w:rPr>
            </w:pPr>
            <w:r>
              <w:rPr>
                <w:rFonts w:ascii="Arial" w:cs="Arial" w:eastAsia="Arial" w:hAnsi="Arial"/>
                <w:sz w:val="18"/>
                <w:szCs w:val="18"/>
                <w:color w:val="auto"/>
              </w:rPr>
              <w:t>Increase (decrease) in accrued operating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190,563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(decrease) in asset retirement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(168,927)</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1,255,984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to oil and gas properties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(35,402)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(35,402)</w:t>
            </w:r>
          </w:p>
        </w:tc>
      </w:tr>
      <w:tr>
        <w:trPr>
          <w:trHeight w:val="223"/>
        </w:trPr>
        <w:tc>
          <w:tcPr>
            <w:tcW w:w="67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Managing Partner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Distributions to Managing Partner</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(265,297)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(265,297)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955,285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5,246,452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5,275,503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4,320,218</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5,035,668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5,246,452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5,275,503</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380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5,035,668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5,246,452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revenues receivable</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123,092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147,848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from Apache Corporation</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5,163,559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5,394,300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 PROPERTIES, on the basis of full cost accounting:</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Proved properties</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194,893,233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195,037,054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 Accumulated depreciation, depletion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(190,636,628)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(187,256,397)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4,256,605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7,780,657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9,420,164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13,174,957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500"/>
              <w:spacing w:after="0"/>
              <w:rPr>
                <w:sz w:val="20"/>
                <w:szCs w:val="20"/>
                <w:color w:val="auto"/>
              </w:rPr>
            </w:pPr>
            <w:r>
              <w:rPr>
                <w:rFonts w:ascii="Arial" w:cs="Arial" w:eastAsia="Arial" w:hAnsi="Arial"/>
                <w:sz w:val="18"/>
                <w:szCs w:val="18"/>
                <w:color w:val="auto"/>
              </w:rPr>
              <w:t>LIABILITIES AND PARTNERS’ CAPITAL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Payable to Apache Corporation</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14,807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asset retirement obligation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524,166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payables</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84,249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229,564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development costs</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303,136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1,155,922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1,752,691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1,327,947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Managing Partner</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446,230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406,879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Partners (1,021.5 units outstanding)</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7,114,619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10,284,209</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7,560,849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10,691,088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9,420,164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13,174,957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CHANGES IN PARTNERS’ CAPITAL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Managing</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Investing</w:t>
            </w:r>
          </w:p>
        </w:tc>
        <w:tc>
          <w:tcPr>
            <w:tcW w:w="340" w:type="dxa"/>
            <w:vAlign w:val="bottom"/>
          </w:tcPr>
          <w:p>
            <w:pPr>
              <w:spacing w:after="0"/>
              <w:rPr>
                <w:sz w:val="14"/>
                <w:szCs w:val="1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Partner</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Partners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10,017,364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10,426,272</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Distributions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(265,297)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270,751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541,451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812,202</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414,362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10,558,815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10,973,177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(227,505)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10,284,209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10,691,088</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(3,169,590)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(3,135,229)</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446,230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7,114,619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7,560,849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right="9760" w:firstLine="8"/>
        <w:spacing w:after="0" w:line="425" w:lineRule="auto"/>
        <w:tabs>
          <w:tab w:leader="none" w:pos="1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b w:val="1"/>
          <w:bCs w:val="1"/>
          <w:u w:val="single" w:color="auto"/>
          <w:color w:val="auto"/>
        </w:rPr>
        <w:t>Nature of Operations</w:t>
      </w:r>
    </w:p>
    <w:p>
      <w:pPr>
        <w:spacing w:after="0" w:line="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Apache Offshore Investment Partnership, a Delaware general partnership (the Investment Partnership), was formed on October 31, 1983, consisting of Apache Corporation (Apache or Managing Partner) as Managing Partner and public investors (the Investing Partners). The Investment Partnership invested its entire capital in Apache Offshore Petroleum Limited Partnership, a Delaware limited partnership (the Operating Partnership). The primary business of the Investment Partnership is to serve as the sole limited partner of the Operating Partnership. The primary business of the Operating Partnership is to conduct oil and gas exploration, development and production operations. The Operating Partnership conducts the operations of the Investment Partnership. The accompanying financial statements include the accounts of both the Investment Partnership and Operating Partnership. Apache is the general partner of both the Investment and Operating partnerships, and held approximately five percent of the 1,021.5 Investing Partner Units (Units) outstanding at December 31, 2016. The term “Partnership”, as used hereafter, refers to the Investment Partnership or the Operating Partnership, as the case may be.</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Partnership purchased, at cost, an 85 percent interest in offshore leasehold interests acquired by Apache as a co-venturer in a series of oil and gas exploration, development and production activities on 87 federal lease tracts in the Gulf of Mexico, offshore Louisiana and Texas. The remaining 15 percent interest was purchased by an affiliated partnership or retained by Apache. The Partnership acquired an increased net revenue interest in Matagorda Island Blocks 681 and 682 in November 1992, when the Partnership and Apache formed a joint venture to acquire a 92.6 percent working interest in the blocks. The Partnership’s working interests in the two remaining venture prospects at December 31, 2016 range from 6.29 percent to 7.08 percent. The two remaining venture prospects are both located offshore Louisiana.</w:t>
      </w:r>
    </w:p>
    <w:p>
      <w:pPr>
        <w:spacing w:after="0" w:line="19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Partnership’s future financial condition and results of operations will depend largely upon prices received for its oil and natural gas production and the costs of acquiring, finding, developing and producing reserves.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instability (especially in the Middle East), the foreign supply of oil and natural gas, the price of foreign imports, the level of consumer demand, and the price and availability of alternative fuels.</w:t>
      </w:r>
    </w:p>
    <w:p>
      <w:pPr>
        <w:spacing w:after="0" w:line="17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Under the terms of the Partnership Agreements, the Investing Partners receive 80 percent and Apache receives 20 percent of revenue. Lease operating, gathering and transportation, and administrative expenses are allocated to the Investing Partners and Apache in the same proportion as revenues. The Investing Partners receive 100 percent of the interest income earned on short-term cash investments. The Investing Partners generally pay for 90 percent and Apache generally pays for 10 percent of exploration and development costs and expenses incurred by the Partnership. However, intangible drilling costs, interest costs and fees or expenses related to the loans incurred by the Partnership are allocated 99 percent to the Investing Partners and one percent to Apache until such time as the amount so allocated to the Investing Partners equals 90 percent of the total amount of such costs, including such costs incurred by Apache prior to the formation of the Partnership.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Right of Presentment</w:t>
      </w:r>
    </w:p>
    <w:p>
      <w:pPr>
        <w:spacing w:after="0" w:line="121"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In February 1994, an amendment to the Partnership Agreement created a right of presentment under which all Investing Partners have a limited and voluntary right to offer their Units to the Partnership twice each year to be purchased for cash. The Partnership did not offer to purchase any Units from Investing Partners in 2016, 2015, or 2014 as a result of the limited amount of cash available for discretionary purposes.</w:t>
      </w:r>
    </w:p>
    <w:p>
      <w:pPr>
        <w:spacing w:after="0" w:line="16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Partnership is not in a position to predict how many Units will be presented for repurchase during 2017; however, no more than 10 percent of the outstanding Units may be purchased under the right of presentment in any year. The Partnership has no obligation to purchase any Units presented to the extent that it determines that it has insufficient funds for such purchases.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37"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table below sets forth the total repurchase price and the repurchase price per Unit for all outstanding Units at each presentment period, based on the right of presentment valuation formula defined in the amendment to the Partnership Agreement. The right of presentment offers made twice annually are based on a discounted Unit value formula. The discounted Unit value will be not less than the Investing Partner’s share of: (a) the sum of (i) 70 percent of the discounted estimated future net revenues from proved reserves, discounted at a rate of 1.5 percent over prime or First National Bank of Chicago’s base rate in effect at the time the calculation is made, (ii) cash on hand, (iii) prepaid expenses, (iv) accounts receivable less a reasonable reserve for doubtful accounts,</w:t>
      </w:r>
    </w:p>
    <w:p>
      <w:pPr>
        <w:spacing w:after="0" w:line="2" w:lineRule="exact"/>
        <w:rPr>
          <w:sz w:val="20"/>
          <w:szCs w:val="20"/>
          <w:color w:val="auto"/>
        </w:rPr>
      </w:pPr>
    </w:p>
    <w:p>
      <w:pPr>
        <w:ind w:right="120" w:firstLine="8"/>
        <w:spacing w:after="0" w:line="253"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oil and gas properties other than proved reserves at cost less any amounts attributable to drilling and completion costs incurred by the Partnership and included therein, and (vi) the book value of all other assets of the Partnership, less the debts, obligations and other liabilities of all kinds (including accrued expenses) then allocable to such interest in the Partnership, all determined as of the valuation date, divided by (b) the number of Units, and fractions thereof, outstanding as of the valuation date. The discounted Unit value does not purport to be, and may be substantially different from, the fair market value of a Unit.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Right of Presentment</w:t>
            </w: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Total Valuation</w:t>
            </w:r>
          </w:p>
        </w:tc>
        <w:tc>
          <w:tcPr>
            <w:tcW w:w="180" w:type="dxa"/>
            <w:vAlign w:val="bottom"/>
          </w:tcPr>
          <w:p>
            <w:pPr>
              <w:spacing w:after="0"/>
              <w:rPr>
                <w:sz w:val="14"/>
                <w:szCs w:val="14"/>
                <w:color w:val="auto"/>
              </w:rPr>
            </w:pPr>
          </w:p>
        </w:tc>
        <w:tc>
          <w:tcPr>
            <w:tcW w:w="130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Valuation Price</w:t>
            </w:r>
          </w:p>
        </w:tc>
      </w:t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Valuation Date</w:t>
            </w: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Per Unit</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7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16,364,853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16,609,939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16,260</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9,975,347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10,042,327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9,831</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6,187,080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6,222,171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6,091</w:t>
            </w:r>
          </w:p>
        </w:tc>
      </w:tr>
      <w:tr>
        <w:trPr>
          <w:trHeight w:val="64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Investing Partner Units Outstanding:</w:t>
            </w: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Repurchase of Partnership Units</w:t>
            </w:r>
          </w:p>
        </w:tc>
        <w:tc>
          <w:tcPr>
            <w:tcW w:w="178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Contributions</w:t>
      </w:r>
    </w:p>
    <w:p>
      <w:pPr>
        <w:spacing w:after="0" w:line="121"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A total of $85,000 per Unit, or approximately 57 percent, of investor subscription had been called through December 31, 2016. The Partnership determined the full purchase price of $150,000 per Unit was not needed, and upon completion of the last subscription call in November 1989, released the Investing Partners from their remaining liability. As a result of investors defaulting on cash calls and repurchases under the presentment offer discussed above, the original 1,500 Units have been reduced to 1,021.5 Units at December 31, 2016.</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Accounting policies used by the Partnership reflect industry practices and conform to accounting principles generally accepted in the United States (GAAP). Significant policies are discussed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Presentation</w:t>
      </w:r>
    </w:p>
    <w:p>
      <w:pPr>
        <w:spacing w:after="0" w:line="12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Apache Offshore Investment Partnership and Apache Offshore Petroleum Limited Partnership after elimination of intercompany balances and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preparation of financial statements in conformity with GAAP and the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Partnership bases its estimates on historical experience and various other assumptions that are believed to be reasonable under the circumstances. The Partnership evaluates its estimates and assumptions on a regular basis. Actual results may differ from these estimates and assumptions used in preparation of its financial statements and changes in these estimates are recorded when known. Significant estimates with regard to these financial statements include the estimate of proved oil and gas reserve quantities and the related present value of estimated future net cash flows therefrom (see Note 10 - Supplemental Oil and Gas Disclosures) and the assessment of asset retirement obligations (see Note 8 – Asset Retirement Obligation).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Equivalents</w:t>
      </w:r>
    </w:p>
    <w:p>
      <w:pPr>
        <w:spacing w:after="0" w:line="12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Partnership considers all highly liquid short-term investments with an original maturity of three months or less at the time of purchase to be cash equivalents. These investments are carried at cost, which approximates fair value. As of December 31, 2016 and 2015, the Partnership had $5.0 million and $5.2 million, respectively, of cash and 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and Gas Properties</w:t>
      </w:r>
    </w:p>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Partnership follows the full-cost method of accounting for its investment in oil and gas properties for financial statement purposes. Under this method of accounting, the Partnership capitalizes all acquisition, exploration and development costs incurred for the purpose of finding oil and gas reserves. The amounts capitalized under this method include dry hole costs, leasehold costs, engineering, geological, exploration, development and other similar costs. All costs related to production and administrative functions are expensed in the period incurred. The Partnership includes the present value of its dismantlement, restoration and abandonment costs within the capitalized oil and gas property balance as described in Note 8. Unless a significant portion of the Partnership’s reserve volumes are sold (greater than 25 percent), proceeds from the sale of oil and gas properties are accounted for as reductions to capitalized costs, and gains or losses are not recognized.</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Capitalized costs of oil and gas properties are amortized on the future gross revenue method whereby depreciation, depletion and amortization (DD&amp;A) expense is computed quarterly by dividing current period oil and gas sales by estimated future gross revenue from proved oil and gas reserves (including current period oil and gas sales) and applying the resulting rate to the net cost of evaluated oil and gas properties, including estimated future development costs.</w:t>
      </w:r>
    </w:p>
    <w:p>
      <w:pPr>
        <w:spacing w:after="0" w:line="18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Under the full-cost method of accounting, the Partnership limits the capitalized costs of proved oil and gas properties, net of accumulated DD&amp;A, to the estimated future net cash flows from proved oil and gas reserves discounted at 10 percent, plus the lower of cost or fair value of unproved properties included in the costs being amortized, if any. This ceiling test is performed each quarter. If capitalized costs exceed this limit, the excess is charged to expense and reflected as additional DD&amp;A in the accompanying statement of consolidated operations.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As a result of the ceiling limitation, the Partnership recorded non-cash write-downs of the carrying value of its proved oil and gas properties totaling $2,873,180 during 2016. The Partnership did not record any write-downs of capitalized costs during 2015 or 2014. See Note 10 - Supplemental Oil and Gas Disclosures for a discussion on the calculation of estimated future net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37"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Retirement Costs and Obligation</w:t>
      </w:r>
    </w:p>
    <w:p>
      <w:pPr>
        <w:spacing w:after="0" w:line="12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initial estimated asset retirement obligation related to property and equipment is recorded as a liability at its fair value, with an offsetting asset retirement cost recorded as an increase to oil and gas properties on the consolidated balance sheet. If the fair value of the recorded asset retirement obligation changes, a revision is recorded to both the asset retirement obligation and the asset retirement cost. Revisions in estimated liabilities can result from changes in estimated inflation rates, changes in service and equipment costs and changes in the estimated timing of settling asset retirement obligations. Accretion expense on the liability is recognized over the estimated productive life of the related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21"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Oil and gas revenues are recognized when production is sold to a purchaser at a fixed or determinable price, when delivery has occurred and title has transferred, and if collectability of the revenue is probable. The Partnership uses the sales method of accounting for natural gas revenues. Under this method, revenues are recognized based on actual volumes of gas sold to purchasers. The volumes of gas sold may differ from the volumes to which the Partnership is entitled based on its interests in the properties. These differences create imbalances that are recognized as a liability only when the estimated remaining reserves will not be sufficient to enable the underproduced owner to recoup its entitled share through production. At December 31, 2016, the Partnership did not have any liability recorded for gas imbalances in excess of remaining reserves. At December 31, 2015, the Partnership carried a liability of $84,249 for gas imbalances in excess of remaining reserves. No receivables are recorded for those wells where the Partnership has taken less than its share of production. Gas imbalances are reflected as adjustments to proved gas revenues and future cash flows in the unaudited supplemental oil and gas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Coverage</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Partnership recognizes an insurance receivable when collection of the receivable is deemed probable. Any recognition of an insurance receivable is recorded by crediting and offsetting the original charge. Any differential arising between insurance recoveries and insurance receivables is recorded as a capitalized cost or as an expense, consistent with its original treatment.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(Loss) Per Investing Unit</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net income (loss) per Investing Partner Unit is calculated by dividing the aggregate Investing Partners’ net income for the period by the number of weighted average Investing Partner Units outstanding for that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profit or loss of the Partnership for federal income tax reporting purposes is included in the income tax returns of the partners. Accordingly, no recognition has been given to income taxes in the accompanying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Receivable from / Payable to Apache Corporation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receivable from/payable to Apache Corporation, the Partnership’s Managing Partner, represents the net result of the Investing Partners’ revenue and expenditure transactions in the current month. Generally, cash in this amount will be paid by Apache to the Partnership or transferred to Apache in the month after the Partnership’s transactions are processed and the net results of operations are determined.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Maintenance and Repairs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Maintenance and repairs are charged to expense as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Pronouncements Issued But Not Yet Adopted</w:t>
      </w:r>
    </w:p>
    <w:p>
      <w:pPr>
        <w:spacing w:after="0" w:line="12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Statement of Cash Flows (Topic 230). ASU 2016-15 seeks to reduce the existing diversity in practice in how certain cash receipts and cash payments are presented and classified in the statement of cash flows. This update is effective for fiscal years beginning after December 15, 2017, including interim periods within those fiscal years, with early adoption permitted. The Partnership is currently evaluating the provisions of ASU 2016-15 and assessing the impact, if any, it may have on its statement of consolidated cash flows.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The standard changes the impairment model for most financial assets and certain other instruments, including trade and other receivables, held-to-maturity debt securities and loans, and requires entities to use a new forward-looking expected loss model that will result in the earlier recognition of allowance for losses. This update is effective for fiscal years beginning after December 15, 2019, including interim periods within those fiscal years. Early adoption is permitted for a fiscal year beginning after December 15, 2018, including interim periods within that fiscal year. The Partnership does not expect to adopt the guidance early. Entities will apply the standard's provisions as a cumulative-effect adjustment to retained earnings as of the beginning of the first reporting period in which the guidance is adopted. The Partnership is evaluating the new guidance and does not believe this standard will have a material impact on its consolidated financial statements.</w:t>
      </w:r>
    </w:p>
    <w:p>
      <w:pPr>
        <w:spacing w:after="0" w:line="16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February 2016, the FASB issued ASU 2016-02, a new lease standard requiring lessees to recognize lease assets and lease liabilities for most leases classified as operating leases under previous U.S. GAAP. The guidance is effective for fiscal years beginning after December 15, 2018 with early adoption permitted. The Partnership will be required to use a modified retrospective approach for leases that exist or are entered into after the beginning of the earliest comparative period in the financial statements. The Partnership is currently evaluating the impact of adopting this standard on its consolidated financial statements.</w:t>
      </w:r>
    </w:p>
    <w:p>
      <w:pPr>
        <w:spacing w:after="0" w:line="8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May 2014, the FASB and the International Accounting Standards Board (IASB) issued a joint revenue recognition standard, ASU 2014-9. The new standard removes inconsistencies in existing standards, changes the way companies recognize revenue from contracts with customers, and increases disclosure requirements. The codification was amended through additional ASUs and, as amended, requires companies to recognize revenue to depict the transfer of goods or services to customers in amounts that reflect the consideration to which the company expects to be entitled in exchange for those goods or services. The guidance is effective for annual and interim periods beginning after December 15, 2017. The standard is required to be adopted using either the full retrospective approach, with all prior periods presented adjusted, or the modified retrospective approach, with a cumulative adjustment to retained earnings on the opening balance sheet. The Partnership will adopt the new standard utilizing the modified retrospective approach. Upon initial evaluation, the Partnership does not expect the adoption of this ASU to have a material impact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COMPENSATION TO AFFILIATES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Apache is entitled to the following types of compensation and reimbursement for costs and expenses.</w:t>
      </w:r>
    </w:p>
    <w:p>
      <w:pPr>
        <w:spacing w:after="0" w:line="163"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Total Reimbursed by the Investing Partners for</w:t>
      </w:r>
    </w:p>
    <w:p>
      <w:pPr>
        <w:spacing w:after="0" w:line="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958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 Apache is reimbursed for general, administrative and overhead expenses incurred in</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connection with the management and operation of the Partnership’s business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w w:val="97"/>
              </w:rPr>
              <w:t>b. Apache is reimbursed for development overhead costs incurred in the Partnership’s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0"/>
              <w:spacing w:after="0"/>
              <w:rPr>
                <w:sz w:val="20"/>
                <w:szCs w:val="20"/>
                <w:color w:val="auto"/>
              </w:rPr>
            </w:pPr>
            <w:r>
              <w:rPr>
                <w:rFonts w:ascii="Arial" w:cs="Arial" w:eastAsia="Arial" w:hAnsi="Arial"/>
                <w:sz w:val="18"/>
                <w:szCs w:val="18"/>
                <w:color w:val="auto"/>
                <w:w w:val="93"/>
              </w:rPr>
              <w:t>operations. These costs are based on development activities and are capitalized to oil and</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gas properties</w:t>
            </w:r>
          </w:p>
        </w:tc>
        <w:tc>
          <w:tcPr>
            <w:tcW w:w="3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Apache operated certain Partnership properties through September 30, 2013, at which time Fieldwood Energy LLC purchased Apache’s interest in South Timbalier 295, Ship Shoal 258/259 and Matagorda Island 681/682 and became operator of these properties. Billings to the Partnership were made on the same basis as to unaffiliated third parties or at prevailing industry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OIL AND GAS 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contain direct cost information and changes in the Partnership’s oil and gas properties for each of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costs of oil and gas properties are currently being amortized.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9"/>
        </w:trPr>
        <w:tc>
          <w:tcPr>
            <w:tcW w:w="6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Oil and Gas Properties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5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195,037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194,691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194,635</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incurred during the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Development –</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Investing Partners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Managing Partner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194,893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194,691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Development costs for 2016 reflect a reduction of $179 thousand to record a negative revision in estimated abandonment cost and the deferral of final platform abandonment at North Padre Island 969/976 until 2018. Removal of the platforms and final abandonment activity was previously expected to occur during 2016. Approximately $35 thousand of capital costs were incurred in 2016 as the Partnership participated in a recompletion project at Ship Shoal 258/259. Development costs in 2015 included $0.3 million on recompletion costs and abandonment activity. The Partnership’s 2014 capital cost additions were negligible.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Managing</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Investing</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Partner</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Partners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Accumulated Depreciation, Depletion and Amortization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40" w:type="dxa"/>
            <w:vAlign w:val="bottom"/>
            <w:tcBorders>
              <w:top w:val="single" w:sz="8" w:color="auto"/>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Balance, December 31, 2013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21,035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165,165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Balance, December 31, 2014</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165,724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166,187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37"/>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169,546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190,637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Partnership’s aggregate DD&amp;A expense as a percentage of oil and gas sales for 2016, 2015, and 2014 was 38 percent, 28 percent and 20 percent, respectively. As more fully described in Footnote 2 above, as a result of the full-cost method of accounting ceiling limitation, the Partnership recorded non-cash write-downs of the carrying value of its proved oil and gas properties totaling $2,873,180 during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 AND RELATED PARTIES INFORMATION</w:t>
      </w:r>
    </w:p>
    <w:p>
      <w:pPr>
        <w:spacing w:after="0" w:line="12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Revenues received from major third party customers that equaled ten percent or more of oil and gas sales are discussed below. No other third party customers individually accounted for ten percent or more of oil and gas sales.</w:t>
      </w:r>
    </w:p>
    <w:p>
      <w:pPr>
        <w:spacing w:after="0" w:line="170"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Remittances from Fieldwood Energy LLC accounted for 43 percent, 100 percent, and 91 percent of the Partnership’s oil and gas sales for the years 2016, 2015, and 2014, respectively. Approximately 57 percent of the Partnership's oil and gas sales in 2016 were to Chevron Products Company.</w:t>
      </w:r>
    </w:p>
    <w:p>
      <w:pPr>
        <w:spacing w:after="0" w:line="124"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The Partnership’s revenues are derived principally from uncollateralized sales to customers in the oil and gas industry; therefore, customers may be similarly affected by changes in economic and other conditions within the industry. The Partnership has not experienced material credit losses on such sales.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Certain assets and liabilities are reported at fair value on a recurring basis in the Partnership’s consolidated balance sheet. The following methods and assumptions were used to estimate the fair values: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Accounts Receivable and Accounts Payable -</w:t>
      </w:r>
    </w:p>
    <w:p>
      <w:pPr>
        <w:spacing w:after="0" w:line="11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December 31, 2016, and December 31, 2015, the carrying amounts approximate fair value because of the short-term nature or maturity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Partnership is subject to governmental and regulatory controls arising in the ordinary course of business. It is the opinion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Apache’s management that all claims and litigation involving the Partnership are not likely to have a material adverse effect on its financial position or results of operations.</w:t>
      </w:r>
    </w:p>
    <w:p>
      <w:pPr>
        <w:spacing w:after="0" w:line="18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i w:val="1"/>
          <w:iCs w:val="1"/>
          <w:color w:val="auto"/>
        </w:rPr>
        <w:t xml:space="preserve">Environmental </w:t>
      </w:r>
      <w:r>
        <w:rPr>
          <w:rFonts w:ascii="Arial" w:cs="Arial" w:eastAsia="Arial" w:hAnsi="Arial"/>
          <w:sz w:val="18"/>
          <w:szCs w:val="18"/>
          <w:color w:val="auto"/>
        </w:rPr>
        <w:t>– The Partnership, as an owner or lessee of interests in oil and gas properties, is subject to various federal, state and local laws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relating to discharge of materials into, and protection of, the environment. These laws and regulations may, among other things, impose liability on the lessee under an oil and gas lease for the cost of pollution clean-up resulting from operations and subject the lessee to liability for pollution damages. Apache maintains insurance coverage on the Partnership’s properties, which it believes is customary in the industry, although the Partnership is not fully insured against all environmental risks.</w:t>
      </w:r>
    </w:p>
    <w:p>
      <w:pPr>
        <w:spacing w:after="0" w:line="18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With respect to oil and gas operations in the Gulf of Mexico, the BOEM has issued Notice to Lessees (NTL) No. 2016-N01 pertaining to the obligations of companies to provide supplemental assurances for performance with respect to plugging, abandonment, decommissioning, and site clearance obligations associated with wells, platforms, structures, and facilities located upon or used in connection with such companies’ oil and gas leases. Under this NTL, the Partnership will likely be required to provide additional security to BOEM with respect to plugging, abandonment, and decommissioning obligations relating to the Partnership’s current ownership interests in various Gulf of Mexico leases. The Partnership will likely satisfy such requirements through the provision of bonds or other forms of security.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describes the changes to the Partnership’s asset retirement obligation (ARO) liability for the years ended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2,183,183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126,687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(773,696)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315,939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at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1,852,113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(524,166)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long-term</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1,327,947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ARO liability reflects the estimated present value of the amount of dismantlement, removal, site reclamation, and similar activities associated with the Partnership’s oil and gas properties. The Partnership utilizes estimates from property operators and current market costs to estimate the expected cash outflows for retirement obligations. The Partnership estimates the ultimate productive life of the properties, a risk-adjusted discount rate, and an inflation factor in order to determine the current present value of this obligation. To the extent future revisions to these assumptions impact the present value of the existing ARO liability, a corresponding adjustment is made to the oil and gas property balance.</w:t>
      </w:r>
    </w:p>
    <w:p>
      <w:pPr>
        <w:spacing w:after="0" w:line="17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Liabilities settled primarily relate to individual wells plugged and abandoned during the periods presented. The current portion of the ARO liability represents the retirement obligation expected to be incurred in the next twelve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2016, a negative revision was recorded to reflect a reduction in estimated cost and the deferral of final platform abandonment at North Padre Island 969/976 until 2018. Removal of the platforms and final abandonment was previously expected to occur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TAX-BASIS FINANCIAL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reconciliation of ordinary income for federal income tax reporting purposes to net income under accounting principles generally accepted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partnership ordinary income (loss) for federal income tax reporting purposes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1,192,449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Plus: Items of current expense for tax reporting purposes only –</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drilling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22,893</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Dismantlement and abandonment cost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773,696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170,212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Abandonment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Tax depreciation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125,021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117,044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310,149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Less: full cost DD&amp;A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(478,748)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(577,830)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asset retirement obligation accretion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(112,566)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(3,135,229)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812,202</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Partnership’s tax bases in net oil and gas properties at December 31, 2016, and 2015 was $2,562,093 and $5,962,436, respectively, lower than the carrying value of oil and gas properties under full cost accounting. The difference reflects the timing deductions for depreciation, depletion and amortization, intangible drilling costs and dismantlement and abandonment costs. For federal income tax reporting, the Partnership had capitalized syndication cost of $8,660,878 at December 31, 2016, and 2015.</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reconciliation of liabilities for federal income tax reporting purposes to liabilities under accounting principles generally accepted in the United States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for federal income tax purposes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106,624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631,756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Asset retirement liability</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1,752,691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1,852,113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under accounting principles generally accepted in the 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1,859,315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2,483,869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Asset retirement liabilities for future dismantlement and abandonment costs are not recognized for federal income tax reporting purposes until settled.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right="6160" w:firstLine="8"/>
        <w:spacing w:after="0" w:line="378" w:lineRule="auto"/>
        <w:tabs>
          <w:tab w:leader="none" w:pos="27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OIL AND GAS DISCLOSURES (Unaudited) </w:t>
      </w:r>
      <w:r>
        <w:rPr>
          <w:rFonts w:ascii="Arial" w:cs="Arial" w:eastAsia="Arial" w:hAnsi="Arial"/>
          <w:sz w:val="18"/>
          <w:szCs w:val="18"/>
          <w:b w:val="1"/>
          <w:bCs w:val="1"/>
          <w:u w:val="single" w:color="auto"/>
          <w:color w:val="auto"/>
        </w:rPr>
        <w:t>Oil and Gas Reserve Information</w:t>
      </w:r>
    </w:p>
    <w:p>
      <w:pPr>
        <w:ind w:right="620" w:firstLine="432"/>
        <w:spacing w:after="0" w:line="264" w:lineRule="auto"/>
        <w:rPr>
          <w:sz w:val="20"/>
          <w:szCs w:val="20"/>
          <w:color w:val="auto"/>
        </w:rPr>
      </w:pPr>
      <w:r>
        <w:rPr>
          <w:rFonts w:ascii="Arial" w:cs="Arial" w:eastAsia="Arial" w:hAnsi="Arial"/>
          <w:sz w:val="18"/>
          <w:szCs w:val="18"/>
          <w:color w:val="auto"/>
        </w:rPr>
        <w:t>Proved oil and gas reserves are the estimated quantities of natural gas, crude oil, condensate, and natural gas liquids (NGLs) that geological and engineering data demonstrate with reasonable certainty to be recoverable in future years from known reservoirs under existing conditions, operating conditions, and government regulations.</w:t>
      </w:r>
    </w:p>
    <w:p>
      <w:pPr>
        <w:spacing w:after="0" w:line="181" w:lineRule="exact"/>
        <w:rPr>
          <w:sz w:val="20"/>
          <w:szCs w:val="20"/>
          <w:color w:val="auto"/>
        </w:rPr>
      </w:pPr>
    </w:p>
    <w:p>
      <w:pPr>
        <w:ind w:right="860" w:firstLine="432"/>
        <w:spacing w:after="0" w:line="308" w:lineRule="auto"/>
        <w:rPr>
          <w:sz w:val="20"/>
          <w:szCs w:val="20"/>
          <w:color w:val="auto"/>
        </w:rPr>
      </w:pPr>
      <w:r>
        <w:rPr>
          <w:rFonts w:ascii="Arial" w:cs="Arial" w:eastAsia="Arial" w:hAnsi="Arial"/>
          <w:sz w:val="17"/>
          <w:szCs w:val="17"/>
          <w:color w:val="auto"/>
        </w:rPr>
        <w:t>There are numerous uncertainties inherent in estimating quantities of proved reserves and projecting future rates of production and timing of development expenditures. The following reserve data represents estimates only and should not be construed as being exact.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4"/>
          </w:tcPr>
          <w:p>
            <w:pPr>
              <w:spacing w:after="0"/>
              <w:rPr>
                <w:sz w:val="20"/>
                <w:szCs w:val="20"/>
                <w:color w:val="auto"/>
              </w:rPr>
            </w:pPr>
            <w:r>
              <w:rPr>
                <w:rFonts w:ascii="Arial" w:cs="Arial" w:eastAsia="Arial" w:hAnsi="Arial"/>
                <w:sz w:val="18"/>
                <w:szCs w:val="18"/>
                <w:color w:val="auto"/>
              </w:rPr>
              <w:t>(Oil in Mbbls and gas in MMcf)</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820" w:type="dxa"/>
            <w:vAlign w:val="bottom"/>
            <w:gridSpan w:val="2"/>
          </w:tcPr>
          <w:p>
            <w:pPr>
              <w:ind w:left="260"/>
              <w:spacing w:after="0"/>
              <w:rPr>
                <w:sz w:val="20"/>
                <w:szCs w:val="20"/>
                <w:color w:val="auto"/>
              </w:rPr>
            </w:pPr>
            <w:r>
              <w:rPr>
                <w:rFonts w:ascii="Arial" w:cs="Arial" w:eastAsia="Arial" w:hAnsi="Arial"/>
                <w:sz w:val="14"/>
                <w:szCs w:val="14"/>
                <w:b w:val="1"/>
                <w:bCs w:val="1"/>
                <w:color w:val="auto"/>
              </w:rPr>
              <w:t>Oil</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NGL</w:t>
            </w: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Gas</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Oil</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NGL</w:t>
            </w: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Gas</w:t>
            </w: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Oil</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NGL</w:t>
            </w: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Gas</w:t>
            </w:r>
          </w:p>
        </w:tc>
      </w:tr>
      <w:tr>
        <w:trPr>
          <w:trHeight w:val="189"/>
        </w:trPr>
        <w:tc>
          <w:tcPr>
            <w:tcW w:w="43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Proved Reserves</w:t>
            </w: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r>
      <w:tr>
        <w:trPr>
          <w:trHeight w:val="243"/>
        </w:trPr>
        <w:tc>
          <w:tcPr>
            <w:tcW w:w="4360" w:type="dxa"/>
            <w:vAlign w:val="bottom"/>
            <w:gridSpan w:val="4"/>
          </w:tcPr>
          <w:p>
            <w:pPr>
              <w:ind w:left="40"/>
              <w:spacing w:after="0"/>
              <w:rPr>
                <w:sz w:val="20"/>
                <w:szCs w:val="20"/>
                <w:color w:val="auto"/>
              </w:rPr>
            </w:pPr>
            <w:r>
              <w:rPr>
                <w:rFonts w:ascii="Arial" w:cs="Arial" w:eastAsia="Arial" w:hAnsi="Arial"/>
                <w:sz w:val="18"/>
                <w:szCs w:val="18"/>
                <w:color w:val="auto"/>
              </w:rPr>
              <w:t>Beginning of year</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1,224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Extensions, discoveries and other additions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4"/>
          </w:tcPr>
          <w:p>
            <w:pPr>
              <w:ind w:left="40"/>
              <w:spacing w:after="0"/>
              <w:rPr>
                <w:sz w:val="20"/>
                <w:szCs w:val="20"/>
                <w:color w:val="auto"/>
              </w:rPr>
            </w:pPr>
            <w:r>
              <w:rPr>
                <w:rFonts w:ascii="Arial" w:cs="Arial" w:eastAsia="Arial" w:hAnsi="Arial"/>
                <w:sz w:val="18"/>
                <w:szCs w:val="18"/>
                <w:color w:val="auto"/>
              </w:rPr>
              <w:t>Revisions of previous estimates</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Production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4360" w:type="dxa"/>
            <w:vAlign w:val="bottom"/>
            <w:gridSpan w:val="4"/>
          </w:tcPr>
          <w:p>
            <w:pPr>
              <w:ind w:left="40"/>
              <w:spacing w:after="0"/>
              <w:rPr>
                <w:sz w:val="20"/>
                <w:szCs w:val="20"/>
                <w:color w:val="auto"/>
              </w:rPr>
            </w:pPr>
            <w:r>
              <w:rPr>
                <w:rFonts w:ascii="Arial" w:cs="Arial" w:eastAsia="Arial" w:hAnsi="Arial"/>
                <w:sz w:val="18"/>
                <w:szCs w:val="18"/>
                <w:color w:val="auto"/>
              </w:rPr>
              <w:t>End of year</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1,250</w:t>
            </w:r>
          </w:p>
        </w:tc>
      </w:tr>
      <w:tr>
        <w:trPr>
          <w:trHeight w:val="67"/>
        </w:trPr>
        <w:tc>
          <w:tcPr>
            <w:tcW w:w="4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156"/>
        </w:trPr>
        <w:tc>
          <w:tcPr>
            <w:tcW w:w="43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Proved Developed</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30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r>
      <w:tr>
        <w:trPr>
          <w:trHeight w:val="243"/>
        </w:trPr>
        <w:tc>
          <w:tcPr>
            <w:tcW w:w="4360" w:type="dxa"/>
            <w:vAlign w:val="bottom"/>
            <w:gridSpan w:val="4"/>
          </w:tcPr>
          <w:p>
            <w:pPr>
              <w:ind w:left="40"/>
              <w:spacing w:after="0"/>
              <w:rPr>
                <w:sz w:val="20"/>
                <w:szCs w:val="20"/>
                <w:color w:val="auto"/>
              </w:rPr>
            </w:pPr>
            <w:r>
              <w:rPr>
                <w:rFonts w:ascii="Arial" w:cs="Arial" w:eastAsia="Arial" w:hAnsi="Arial"/>
                <w:sz w:val="18"/>
                <w:szCs w:val="18"/>
                <w:color w:val="auto"/>
              </w:rPr>
              <w:t>Beginning of year</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1,224</w:t>
            </w:r>
          </w:p>
        </w:tc>
      </w:tr>
      <w:tr>
        <w:trPr>
          <w:trHeight w:val="67"/>
        </w:trPr>
        <w:tc>
          <w:tcPr>
            <w:tcW w:w="4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56"/>
        </w:trPr>
        <w:tc>
          <w:tcPr>
            <w:tcW w:w="436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End of year</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Oil includes crude oil and condensate.</w:t>
      </w:r>
    </w:p>
    <w:p>
      <w:pPr>
        <w:spacing w:after="0" w:line="22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All the Partnership’s reserves as of December 31, 2016 are located on federal lease tracts in the Gulf of Mexico, offshore Louisiana. Approximately 89 percent of the Partnership’s current proved developed reserves are classified as proved not producing. These reserves relate to zones that are either behind pipe, or that have been completed but not yet produced or zones that have been produced in the past, but are not now producing due to mechanical reasons. These reserves may be regarded as less certain than producing reserves because they are frequently based on volumetric calculations rather than performance data. Future production associated with behind pipe reserves is scheduled to follow depletion of the currently producing zones in the same wellbores. It should be noted that additional capital will have to be spent to access these reserves. The capital and economic impact of production timing is reflected in the Partnership’s standardized measure under Future Net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Net Cash Flows</w:t>
      </w:r>
    </w:p>
    <w:p>
      <w:pPr>
        <w:spacing w:after="0" w:line="12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Future cash inflows as of December 31, 2016, 2015, and 2014 were calculated using an unweighted arithmetic average of oil and gas prices in effect on the first day of each month in the respective year, except where prices are defined by contractual arrangements. Operating costs, production and ad valorem taxes and future development costs are based on current costs with no escalation.</w:t>
      </w:r>
    </w:p>
    <w:p>
      <w:pPr>
        <w:spacing w:after="0" w:line="181"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The following table sets forth unaudited information concerning future net cash flows from proved oil and gas reserves. As the Partnership pays no income taxes, estimated future income tax expenses are omitted. This information does not purport to present the fair value of the Partnership’s oil and gas assets, but does present a standardized disclosure concerning possible future net cash flows that would result under the assumptions used.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Discounted Future Net Cash Flows Relating to Proved Reserves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20,675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51,536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Future production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(9,233)</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development costs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(4,282)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cash flows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37,182</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percent annual discount rate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(3,445)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Discounted future net cash flows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18,726</w:t>
            </w:r>
          </w:p>
        </w:tc>
      </w:tr>
      <w:tr>
        <w:trPr>
          <w:trHeight w:val="27"/>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sources of change in the discounted future net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net of production costs</w:t>
            </w:r>
          </w:p>
        </w:tc>
        <w:tc>
          <w:tcPr>
            <w:tcW w:w="310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change in prices and production costs</w:t>
            </w:r>
          </w:p>
        </w:tc>
        <w:tc>
          <w:tcPr>
            <w:tcW w:w="2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of quantities</w:t>
            </w:r>
          </w:p>
        </w:tc>
        <w:tc>
          <w:tcPr>
            <w:tcW w:w="2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Discoveries and improved recoveries, net of cost</w:t>
            </w:r>
          </w:p>
        </w:tc>
        <w:tc>
          <w:tcPr>
            <w:tcW w:w="2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discount</w:t>
            </w:r>
          </w:p>
        </w:tc>
        <w:tc>
          <w:tcPr>
            <w:tcW w:w="2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Changes in future development costs</w:t>
            </w:r>
          </w:p>
        </w:tc>
        <w:tc>
          <w:tcPr>
            <w:tcW w:w="2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production rates and other</w:t>
            </w:r>
          </w:p>
        </w:tc>
        <w:tc>
          <w:tcPr>
            <w:tcW w:w="2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(1,922)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80" w:type="dxa"/>
            <w:vAlign w:val="bottom"/>
            <w:vMerge w:val="restart"/>
          </w:tcPr>
          <w:p>
            <w:pPr>
              <w:jc w:val="right"/>
              <w:ind w:right="876"/>
              <w:spacing w:after="0"/>
              <w:rPr>
                <w:sz w:val="20"/>
                <w:szCs w:val="20"/>
                <w:color w:val="auto"/>
              </w:rPr>
            </w:pPr>
            <w:r>
              <w:rPr>
                <w:rFonts w:ascii="Arial" w:cs="Arial" w:eastAsia="Arial" w:hAnsi="Arial"/>
                <w:sz w:val="18"/>
                <w:szCs w:val="18"/>
                <w:color w:val="auto"/>
              </w:rPr>
              <w:t>35</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QUARTERLY FINANCIAL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Fourth</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80" w:type="dxa"/>
            <w:vAlign w:val="bottom"/>
            <w:gridSpan w:val="8"/>
          </w:tcPr>
          <w:p>
            <w:pPr>
              <w:jc w:val="center"/>
              <w:ind w:right="360"/>
              <w:spacing w:after="0"/>
              <w:rPr>
                <w:sz w:val="20"/>
                <w:szCs w:val="20"/>
                <w:color w:val="auto"/>
              </w:rPr>
            </w:pPr>
            <w:r>
              <w:rPr>
                <w:rFonts w:ascii="Arial" w:cs="Arial" w:eastAsia="Arial" w:hAnsi="Arial"/>
                <w:sz w:val="14"/>
                <w:szCs w:val="14"/>
                <w:color w:val="auto"/>
                <w:w w:val="93"/>
              </w:rPr>
              <w:t>(In thousands, except per Unit amounts)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loss allocated to:</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720"/>
              <w:spacing w:after="0"/>
              <w:rPr>
                <w:sz w:val="20"/>
                <w:szCs w:val="20"/>
                <w:color w:val="auto"/>
              </w:rPr>
            </w:pPr>
            <w:r>
              <w:rPr>
                <w:rFonts w:ascii="Arial" w:cs="Arial" w:eastAsia="Arial" w:hAnsi="Arial"/>
                <w:sz w:val="18"/>
                <w:szCs w:val="18"/>
                <w:color w:val="auto"/>
              </w:rPr>
              <w:t>Managing Partner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Investing Partners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280" w:type="dxa"/>
            <w:vAlign w:val="bottom"/>
            <w:tcBorders>
              <w:bottom w:val="single" w:sz="8" w:color="CCEEFF"/>
            </w:tcBorders>
            <w:shd w:val="clear" w:color="auto" w:fill="CCEEFF"/>
          </w:tcPr>
          <w:p>
            <w:pPr>
              <w:ind w:left="380"/>
              <w:spacing w:after="0" w:line="251" w:lineRule="exact"/>
              <w:rPr>
                <w:sz w:val="20"/>
                <w:szCs w:val="20"/>
                <w:color w:val="auto"/>
              </w:rPr>
            </w:pPr>
            <w:r>
              <w:rPr>
                <w:rFonts w:ascii="Arial" w:cs="Arial" w:eastAsia="Arial" w:hAnsi="Arial"/>
                <w:sz w:val="18"/>
                <w:szCs w:val="18"/>
                <w:color w:val="auto"/>
              </w:rPr>
              <w:t xml:space="preserve">Net income (loss) per Investing Partner Unit </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(loss) allocated to:</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Managing Partner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280" w:type="dxa"/>
            <w:vAlign w:val="bottom"/>
          </w:tcPr>
          <w:p>
            <w:pPr>
              <w:ind w:left="720"/>
              <w:spacing w:after="0"/>
              <w:rPr>
                <w:sz w:val="20"/>
                <w:szCs w:val="20"/>
                <w:color w:val="auto"/>
              </w:rPr>
            </w:pPr>
            <w:r>
              <w:rPr>
                <w:rFonts w:ascii="Arial" w:cs="Arial" w:eastAsia="Arial" w:hAnsi="Arial"/>
                <w:sz w:val="18"/>
                <w:szCs w:val="18"/>
                <w:color w:val="auto"/>
              </w:rPr>
              <w:t>Investing Partners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 xml:space="preserve">Net income (loss) per Investing Partner Unit </w:t>
            </w:r>
            <w:r>
              <w:rPr>
                <w:rFonts w:ascii="Arial" w:cs="Arial" w:eastAsia="Arial" w:hAnsi="Arial"/>
                <w:sz w:val="25"/>
                <w:szCs w:val="25"/>
                <w:color w:val="auto"/>
                <w:vertAlign w:val="superscript"/>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280" w:type="dxa"/>
            <w:vAlign w:val="bottom"/>
            <w:vMerge w:val="continue"/>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-26035</wp:posOffset>
            </wp:positionV>
            <wp:extent cx="390207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2075" cy="26035"/>
                    </a:xfrm>
                    <a:prstGeom prst="rect">
                      <a:avLst/>
                    </a:prstGeom>
                    <a:noFill/>
                  </pic:spPr>
                </pic:pic>
              </a:graphicData>
            </a:graphic>
          </wp:anchor>
        </w:drawing>
      </w:r>
    </w:p>
    <w:p>
      <w:pPr>
        <w:ind w:left="500" w:right="380" w:hanging="492"/>
        <w:spacing w:after="0" w:line="24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sum of the individual net income per Investing Partner Unit may not agree with the year-to-date net income per Investing Partner Unit as each quarterly computation is based on the weighted average number of Investing Partner Units during that period.</w:t>
      </w:r>
    </w:p>
    <w:p>
      <w:pPr>
        <w:ind w:left="500" w:right="440" w:hanging="492"/>
        <w:spacing w:after="0" w:line="261"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2016, expenses include non-cash writedowns of the Partnership's oil and gas properties totaling $2.9 million. Approximately $1.3 million, $1.4 million, and $0.2 million were recognized in the first, second, and third quarters of 2016,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financial statements for the fiscal years ended December 31, 2016, 2015 and 2014, included in this report, have been audited by Ernst &amp; Young LLP, independent registered public accounting firm, as stated in their audit report appearing herein. There have been no changes in or disagreements with the accountants during the periods presented.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John J. Christmann IV, the Managing Partner’s Chief Executive Officer and President (in his capacity as principal executive officer), and Stephen J. Riney, the Managing Partner’s Executive Vice President and Chief Financial Officer (in his capacity as principal financial officer), evaluated the effectiveness of the Partnership’s disclosure controls and procedures as of December 31, 2016, the end of the period covered by this report. Based on that evaluation and as of the date of that evaluation, these officers concluded that the Partnership’s disclosure controls and procedures were effective, providing effective means to ensure that the information it is required to disclose under applicable laws and regulations is recorded, processed, summarized and reported within the time periods specified under the Commission’s rules and forms and communicated to our management, including the Managing Partner’s principal executive officer and principal financial officer, to allow timely decisions regarding required disclosure. We also made no changes in the Partnership’s internal controls over financial reporting during the quarter ending December 31, 2016, that have materially affected, or are reasonably likely to materially affect, the Partnership’s internal control over financial reporting.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11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management report called for by Item 308(a) of Regulation S-K is incorporated herein by reference to the Report of Management on Internal Control over Financial Reporting, included on page 20 of this report. This annual report does not include an attestation report of the Partnership’s registered public accounting firm regarding internal control over financial reporting. Management’s report was not subject to attestation by the Partnership’s registered public accounting firm pursuant to rules of the SEC that permit the Partnership to provide only management’s report in this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There was no change in the Partnership’s internal controls over financial reporting during the quarter ending December 31, 2016, that has materially affected, or is reasonably likely to materially affect the Partnership’s internal controls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80"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jc w:val="both"/>
        <w:ind w:right="520" w:firstLine="432"/>
        <w:spacing w:after="0" w:line="279" w:lineRule="auto"/>
        <w:rPr>
          <w:sz w:val="20"/>
          <w:szCs w:val="20"/>
          <w:color w:val="auto"/>
        </w:rPr>
      </w:pPr>
      <w:r>
        <w:rPr>
          <w:rFonts w:ascii="Arial" w:cs="Arial" w:eastAsia="Arial" w:hAnsi="Arial"/>
          <w:sz w:val="17"/>
          <w:szCs w:val="17"/>
          <w:color w:val="auto"/>
        </w:rPr>
        <w:t>All management functions are performed by Apache, the Managing Partner of the Partnership. The Partnership itself has no officers or directors. Information concerning the officers and directors of Apache set forth under the captions “Nominees for Election as Directors”, “Continuing Directors”, “Executive Officers of the Company”, and “Securities Ownership and Principal Holders” in the proxy statement relating to the 2016 annual meeting of stockholders of Apache (the Apache Proxy Statement)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Pursuant to Rule 303A.10 of the NYSE and Rule 4350(n) of the NASDAQ, Apache was required to adopt a code of business conduct and ethics for its directors, officers, and employees. In February 2004, Apache’s Board of Directors adopted a Code of Business Conduct (Code of Conduct), and revised it in July 2016. The revised Code of Conduct also meets the requirements of a code of ethics under Item 406 of Regulation S-K. You can access Apache’s Code of Conduct on the “Governance” page of Apache’s website at www.apachecorp.com. Changes in and any waivers to the Code of Conduct for Apache’s directors, chief executive officer and certain senior financial officers will be posted on Apache’s website within five business days and maintained for at least twelve months.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300" w:firstLine="432"/>
        <w:spacing w:after="0" w:line="297" w:lineRule="auto"/>
        <w:rPr>
          <w:sz w:val="20"/>
          <w:szCs w:val="20"/>
          <w:color w:val="auto"/>
        </w:rPr>
      </w:pPr>
      <w:r>
        <w:rPr>
          <w:rFonts w:ascii="Arial" w:cs="Arial" w:eastAsia="Arial" w:hAnsi="Arial"/>
          <w:sz w:val="16"/>
          <w:szCs w:val="16"/>
          <w:color w:val="auto"/>
        </w:rPr>
        <w:t>See Note (3), “Compensation to Affiliates” of the Partnership’s financial statements, under Item 8 above, for information regarding compensation to Apache as Managing Partner. The information concerning the compensation paid by Apache to its officers and directors set forth under the captions “Compensation Discussion and Analysis,” “Summary Compensation Table,” “Grants of Plan Based Awards Table,” “Outstanding Equity Awards at Fiscal Year-End Table,” “Option Exercises and Stock Vested Table,” “Non-Qualified Deferred Compensation Table,” “Potential Payments Upon Termination or Change-in-Control,” and “Director Compensation Table” in the Apache Proxy Statement is incorporated herein by reference.</w:t>
      </w:r>
    </w:p>
    <w:p>
      <w:pPr>
        <w:spacing w:after="0" w:line="154" w:lineRule="exact"/>
        <w:rPr>
          <w:sz w:val="20"/>
          <w:szCs w:val="20"/>
          <w:color w:val="auto"/>
        </w:rPr>
      </w:pPr>
    </w:p>
    <w:p>
      <w:pPr>
        <w:ind w:left="1300" w:right="26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SECURITY HOLDER MATTERS</w:t>
      </w:r>
    </w:p>
    <w:p>
      <w:pPr>
        <w:spacing w:after="0" w:line="6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Apache, as an Investing Partner and the General Partner, owns 53 Units, or 5.2 percent of the outstanding Units of the Partnership, as of December 31, 2016. Apache owns a one-percent General Partner interest (15 equivalent Units). To the knowledge of the Partnership, no Investing Partner owns, of record or beneficially, more than five percent of the Partnership’s outstanding Units, except for Apache which owns 53 Units or 5.2 percent of the outstanding Units. Apache did not acquire additional Units during the three years covered by these financial statements. Apache’s ownership percentage exceeds five percent due to the decrease in the number of outstanding units resulting from the right of presentment (see Note 1).</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See Note (3), “Compensation to Apache” of the Partnership’s financial statements, under Item 8 above, for information regarding compensation to Apache as Managing Partner. See Note (5), “Major Customers and Related Parties Information” of the Partnership’s financial statements for amounts paid to subsidiaries of Apache, and for other related party information. The Partnership itself has no directors. Information concerning the directors of Apache set forth under the caption “Director Independence” in the Apache Proxy Statement is incorporated herein by reference.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Accountant fees and services paid to Ernst &amp; Young LLP, the Partnership’s independent auditors, are included in amounts paid by the Partnership’s Managing Partner. Information on the Managing Partner’s principal accountant fees and services is set forth under the caption “Ratification of Appointment of Independent Auditors” in the Apache Proxy Statement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1" w:name="page42"/>
    <w:bookmarkEnd w:id="4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175" w:lineRule="exact"/>
        <w:rPr>
          <w:sz w:val="20"/>
          <w:szCs w:val="20"/>
          <w:color w:val="auto"/>
        </w:rPr>
      </w:pPr>
    </w:p>
    <w:p>
      <w:pPr>
        <w:ind w:left="260" w:hanging="225"/>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Financial Statements – See accompanying index to financial statements in Item 8 above.</w:t>
      </w:r>
    </w:p>
    <w:p>
      <w:pPr>
        <w:spacing w:after="0" w:line="184" w:lineRule="exact"/>
        <w:rPr>
          <w:rFonts w:ascii="Arial" w:cs="Arial" w:eastAsia="Arial" w:hAnsi="Arial"/>
          <w:sz w:val="18"/>
          <w:szCs w:val="18"/>
          <w:color w:val="auto"/>
        </w:rPr>
      </w:pPr>
    </w:p>
    <w:p>
      <w:pPr>
        <w:ind w:left="960" w:hanging="695"/>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Financial Statement Schedules – See accompanying index to financial statements in Item 8 above.</w:t>
      </w:r>
    </w:p>
    <w:p>
      <w:pPr>
        <w:spacing w:after="0" w:line="184" w:lineRule="exact"/>
        <w:rPr>
          <w:rFonts w:ascii="Arial" w:cs="Arial" w:eastAsia="Arial" w:hAnsi="Arial"/>
          <w:sz w:val="18"/>
          <w:szCs w:val="18"/>
          <w:color w:val="auto"/>
        </w:rPr>
      </w:pPr>
    </w:p>
    <w:p>
      <w:pPr>
        <w:ind w:left="960" w:hanging="695"/>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63"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9980" w:type="dxa"/>
            <w:vAlign w:val="bottom"/>
          </w:tcPr>
          <w:p>
            <w:pPr>
              <w:ind w:left="240"/>
              <w:spacing w:after="0"/>
              <w:rPr>
                <w:sz w:val="20"/>
                <w:szCs w:val="20"/>
                <w:color w:val="auto"/>
              </w:rPr>
            </w:pPr>
            <w:r>
              <w:rPr>
                <w:rFonts w:ascii="Arial" w:cs="Arial" w:eastAsia="Arial" w:hAnsi="Arial"/>
                <w:sz w:val="18"/>
                <w:szCs w:val="18"/>
                <w:color w:val="auto"/>
                <w:w w:val="94"/>
              </w:rPr>
              <w:t>Partnership Agreement of Apache Offshore Investment Partnership (incorporated by reference to Exhibit (3)(i) to Form 10 filed by</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Partnership with the Commission on April 30, 1985, Commission File No. 0-13546).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9980" w:type="dxa"/>
            <w:vAlign w:val="bottom"/>
          </w:tcPr>
          <w:p>
            <w:pPr>
              <w:ind w:left="240"/>
              <w:spacing w:after="0"/>
              <w:rPr>
                <w:sz w:val="20"/>
                <w:szCs w:val="20"/>
                <w:color w:val="auto"/>
              </w:rPr>
            </w:pPr>
            <w:r>
              <w:rPr>
                <w:rFonts w:ascii="Arial" w:cs="Arial" w:eastAsia="Arial" w:hAnsi="Arial"/>
                <w:sz w:val="18"/>
                <w:szCs w:val="18"/>
                <w:color w:val="auto"/>
                <w:w w:val="91"/>
              </w:rPr>
              <w:t>Amendment No. 1, dated February 11, 1994, to the Partnership Agreement of Apache Offshore Investment Partnership (incorporated</w:t>
            </w:r>
          </w:p>
        </w:tc>
      </w:tr>
      <w:tr>
        <w:trPr>
          <w:trHeight w:val="216"/>
        </w:trPr>
        <w:tc>
          <w:tcPr>
            <w:tcW w:w="100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w w:val="91"/>
              </w:rPr>
              <w:t>by reference to Exhibit 3.3 to Partnership’s Annual Report on Form 10-K for the year ended December 31, 1993, Commission File No.</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0-13546).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3.3</w:t>
            </w:r>
          </w:p>
        </w:tc>
        <w:tc>
          <w:tcPr>
            <w:tcW w:w="9980" w:type="dxa"/>
            <w:vAlign w:val="bottom"/>
          </w:tcPr>
          <w:p>
            <w:pPr>
              <w:ind w:left="240"/>
              <w:spacing w:after="0"/>
              <w:rPr>
                <w:sz w:val="20"/>
                <w:szCs w:val="20"/>
                <w:color w:val="auto"/>
              </w:rPr>
            </w:pPr>
            <w:r>
              <w:rPr>
                <w:rFonts w:ascii="Arial" w:cs="Arial" w:eastAsia="Arial" w:hAnsi="Arial"/>
                <w:sz w:val="18"/>
                <w:szCs w:val="18"/>
                <w:color w:val="auto"/>
                <w:w w:val="95"/>
              </w:rPr>
              <w:t>Limited Partnership Agreement of Apache Offshore Petroleum Limited Partnership (incorporated by reference to Exhibit (3)(ii) to</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Form 10 filed by Partnership with the Commission on April 30, 1985, Commission File No. 0-13546).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tcPr>
          <w:p>
            <w:pPr>
              <w:ind w:left="240"/>
              <w:spacing w:after="0"/>
              <w:rPr>
                <w:sz w:val="20"/>
                <w:szCs w:val="20"/>
                <w:color w:val="auto"/>
              </w:rPr>
            </w:pPr>
            <w:r>
              <w:rPr>
                <w:rFonts w:ascii="Arial" w:cs="Arial" w:eastAsia="Arial" w:hAnsi="Arial"/>
                <w:sz w:val="18"/>
                <w:szCs w:val="18"/>
                <w:color w:val="auto"/>
                <w:w w:val="92"/>
              </w:rPr>
              <w:t>Form of Assignment and Assumption Agreement between Apache Corporation and Apache Offshore Petroleum Limited Partnership</w:t>
            </w:r>
          </w:p>
        </w:tc>
      </w:tr>
      <w:tr>
        <w:trPr>
          <w:trHeight w:val="216"/>
        </w:trPr>
        <w:tc>
          <w:tcPr>
            <w:tcW w:w="100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w w:val="95"/>
              </w:rPr>
              <w:t>(incorporated by reference to Exhibit 10.2 to Partnership’s Quarterly Report on Form 10-Q for the quarter ended June 30, 1992,</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Commission File No. 0-13546).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9980" w:type="dxa"/>
            <w:vAlign w:val="bottom"/>
          </w:tcPr>
          <w:p>
            <w:pPr>
              <w:ind w:left="240"/>
              <w:spacing w:after="0"/>
              <w:rPr>
                <w:sz w:val="20"/>
                <w:szCs w:val="20"/>
                <w:color w:val="auto"/>
              </w:rPr>
            </w:pPr>
            <w:r>
              <w:rPr>
                <w:rFonts w:ascii="Arial" w:cs="Arial" w:eastAsia="Arial" w:hAnsi="Arial"/>
                <w:sz w:val="18"/>
                <w:szCs w:val="18"/>
                <w:color w:val="auto"/>
                <w:w w:val="94"/>
              </w:rPr>
              <w:t>Joint Venture Agreement, dated as of November 23, 1992, between Apache Corporation and Apache Offshore Petroleum Limited</w:t>
            </w:r>
          </w:p>
        </w:tc>
      </w:tr>
      <w:tr>
        <w:trPr>
          <w:trHeight w:val="216"/>
        </w:trPr>
        <w:tc>
          <w:tcPr>
            <w:tcW w:w="100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w w:val="91"/>
              </w:rPr>
              <w:t>Partnership (incorporated by reference to Exhibit 10.6 to Partnership’s Annual Report on Form 10-K for the year ended December 31,</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1992, Commission File No. 0-13546).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9980" w:type="dxa"/>
            <w:vAlign w:val="bottom"/>
          </w:tcPr>
          <w:p>
            <w:pPr>
              <w:ind w:left="240"/>
              <w:spacing w:after="0"/>
              <w:rPr>
                <w:sz w:val="20"/>
                <w:szCs w:val="20"/>
                <w:color w:val="auto"/>
              </w:rPr>
            </w:pPr>
            <w:r>
              <w:rPr>
                <w:rFonts w:ascii="Arial" w:cs="Arial" w:eastAsia="Arial" w:hAnsi="Arial"/>
                <w:sz w:val="18"/>
                <w:szCs w:val="18"/>
                <w:color w:val="auto"/>
                <w:w w:val="94"/>
              </w:rPr>
              <w:t>Matagorda Island 681 Field Purchase and Sale Agreement with Option to Exchange, dated November 24, 1992, between Apache</w:t>
            </w:r>
          </w:p>
        </w:tc>
      </w:tr>
      <w:tr>
        <w:trPr>
          <w:trHeight w:val="216"/>
        </w:trPr>
        <w:tc>
          <w:tcPr>
            <w:tcW w:w="1000" w:type="dxa"/>
            <w:vAlign w:val="bottom"/>
          </w:tcPr>
          <w:p>
            <w:pPr>
              <w:spacing w:after="0"/>
              <w:rPr>
                <w:sz w:val="18"/>
                <w:szCs w:val="18"/>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w w:val="91"/>
              </w:rPr>
              <w:t>Corporation, Shell Offshore, Inc. and SOI Royalties, Inc. (incorporated by reference to Exhibit 10.7 to Partnership’s Annual Report on</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Form 10-K for the year ended December 31, 1992, Commission File No. 0-13546).</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9980" w:type="dxa"/>
            <w:vAlign w:val="bottom"/>
          </w:tcPr>
          <w:p>
            <w:pPr>
              <w:ind w:left="240"/>
              <w:spacing w:after="0"/>
              <w:rPr>
                <w:sz w:val="20"/>
                <w:szCs w:val="20"/>
                <w:color w:val="auto"/>
              </w:rPr>
            </w:pPr>
            <w:r>
              <w:rPr>
                <w:rFonts w:ascii="Arial" w:cs="Arial" w:eastAsia="Arial" w:hAnsi="Arial"/>
                <w:sz w:val="18"/>
                <w:szCs w:val="18"/>
                <w:color w:val="auto"/>
              </w:rPr>
              <w:t>Consent of Ryder Scott Company, L.P., Petroleum Consultants.</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tcPr>
          <w:p>
            <w:pPr>
              <w:ind w:left="240"/>
              <w:spacing w:after="0"/>
              <w:rPr>
                <w:sz w:val="20"/>
                <w:szCs w:val="20"/>
                <w:color w:val="auto"/>
              </w:rPr>
            </w:pPr>
            <w:r>
              <w:rPr>
                <w:rFonts w:ascii="Arial" w:cs="Arial" w:eastAsia="Arial" w:hAnsi="Arial"/>
                <w:sz w:val="18"/>
                <w:szCs w:val="18"/>
                <w:color w:val="auto"/>
              </w:rPr>
              <w:t>Certification of Principal Financial Officer.</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and Principal Financial Officer.</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9980" w:type="dxa"/>
            <w:vAlign w:val="bottom"/>
          </w:tcPr>
          <w:p>
            <w:pPr>
              <w:ind w:left="240"/>
              <w:spacing w:after="0"/>
              <w:rPr>
                <w:sz w:val="20"/>
                <w:szCs w:val="20"/>
                <w:color w:val="auto"/>
              </w:rPr>
            </w:pPr>
            <w:r>
              <w:rPr>
                <w:rFonts w:ascii="Arial" w:cs="Arial" w:eastAsia="Arial" w:hAnsi="Arial"/>
                <w:sz w:val="18"/>
                <w:szCs w:val="18"/>
                <w:color w:val="auto"/>
              </w:rPr>
              <w:t>Report of Ryder Scott Company, L.P., Petroleum Consultants.</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9980" w:type="dxa"/>
            <w:vAlign w:val="bottom"/>
          </w:tcPr>
          <w:p>
            <w:pPr>
              <w:ind w:left="240"/>
              <w:spacing w:after="0"/>
              <w:rPr>
                <w:sz w:val="20"/>
                <w:szCs w:val="20"/>
                <w:color w:val="auto"/>
              </w:rPr>
            </w:pPr>
            <w:r>
              <w:rPr>
                <w:rFonts w:ascii="Arial" w:cs="Arial" w:eastAsia="Arial" w:hAnsi="Arial"/>
                <w:sz w:val="18"/>
                <w:szCs w:val="18"/>
                <w:color w:val="auto"/>
                <w:w w:val="90"/>
              </w:rPr>
              <w:t>Consent statement of the Partnership, dated January 7, 1994 (incorporated by reference to Exhibit 99.1 to Partnership’s Annual Report</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on Form 10-K for the year ended December 31, 1993, Commission File No. 0-13546).</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99.3</w:t>
            </w:r>
          </w:p>
        </w:tc>
        <w:tc>
          <w:tcPr>
            <w:tcW w:w="9980" w:type="dxa"/>
            <w:vAlign w:val="bottom"/>
          </w:tcPr>
          <w:p>
            <w:pPr>
              <w:ind w:left="240"/>
              <w:spacing w:after="0"/>
              <w:rPr>
                <w:sz w:val="20"/>
                <w:szCs w:val="20"/>
                <w:color w:val="auto"/>
              </w:rPr>
            </w:pPr>
            <w:r>
              <w:rPr>
                <w:rFonts w:ascii="Arial" w:cs="Arial" w:eastAsia="Arial" w:hAnsi="Arial"/>
                <w:sz w:val="18"/>
                <w:szCs w:val="18"/>
                <w:color w:val="auto"/>
                <w:w w:val="92"/>
              </w:rPr>
              <w:t>Proxy statement to be dated on or about March 31, 2016, relating to the 2016 annual meeting of stockholders of Apache Corporation</w:t>
            </w:r>
          </w:p>
        </w:tc>
      </w:tr>
      <w:tr>
        <w:trPr>
          <w:trHeight w:val="230"/>
        </w:trPr>
        <w:tc>
          <w:tcPr>
            <w:tcW w:w="1000" w:type="dxa"/>
            <w:vAlign w:val="bottom"/>
          </w:tcPr>
          <w:p>
            <w:pPr>
              <w:spacing w:after="0"/>
              <w:rPr>
                <w:sz w:val="20"/>
                <w:szCs w:val="20"/>
                <w:color w:val="auto"/>
              </w:rPr>
            </w:pPr>
          </w:p>
        </w:tc>
        <w:tc>
          <w:tcPr>
            <w:tcW w:w="9980" w:type="dxa"/>
            <w:vAlign w:val="bottom"/>
          </w:tcPr>
          <w:p>
            <w:pPr>
              <w:ind w:left="240"/>
              <w:spacing w:after="0"/>
              <w:rPr>
                <w:sz w:val="20"/>
                <w:szCs w:val="20"/>
                <w:color w:val="auto"/>
              </w:rPr>
            </w:pPr>
            <w:r>
              <w:rPr>
                <w:rFonts w:ascii="Arial" w:cs="Arial" w:eastAsia="Arial" w:hAnsi="Arial"/>
                <w:sz w:val="18"/>
                <w:szCs w:val="18"/>
                <w:color w:val="auto"/>
              </w:rPr>
              <w:t>(incorporated by reference to the document filed by Apache pursuant to Rule 14A, Commission File No. 1-4300).</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4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61" w:lineRule="exact"/>
        <w:rPr>
          <w:sz w:val="20"/>
          <w:szCs w:val="20"/>
          <w:color w:val="auto"/>
        </w:rPr>
      </w:pPr>
    </w:p>
    <w:p>
      <w:pPr>
        <w:ind w:left="40" w:right="9820" w:hanging="5"/>
        <w:spacing w:after="0" w:line="382" w:lineRule="auto"/>
        <w:tabs>
          <w:tab w:leader="none" w:pos="2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Filed herewith. b. See a (3) above. c. See a (2) above.</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240" w:top="580" w:right="419" w:bottom="1440" w:gutter="0" w:footer="0" w:header="0"/>
        </w:sect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240" w:top="580" w:right="41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APACHE OFFSHORE INVESTMENT PARTNERSHIP</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Apache Corporation, Managing Partner</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February 24, 2017</w:t>
      </w:r>
      <w:r>
        <w:rPr>
          <w:sz w:val="20"/>
          <w:szCs w:val="20"/>
          <w:color w:val="auto"/>
        </w:rPr>
        <w:tab/>
      </w:r>
      <w:r>
        <w:rPr>
          <w:rFonts w:ascii="Arial" w:cs="Arial" w:eastAsia="Arial" w:hAnsi="Arial"/>
          <w:sz w:val="16"/>
          <w:szCs w:val="16"/>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J. Christmann IV</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officers and directors of Apache Corporation, Managing Partner of Apache Offshore Investment Partnership, whose signatures appear below, hereby constitute and appoint John J. Christmann IV, Stephen J. Riney and Rebecca A. Hoyt, and each of them (with full power to each of them to act alone), the true and lawful attorney-in-fact to sign and execute, on behalf of the undersigned, any amendment(s) to this report and each of the undersigned does hereby ratify and confirm all that said attorneys shall do or cause to be done by virtue thereof.</w:t>
      </w:r>
    </w:p>
    <w:p>
      <w:pPr>
        <w:spacing w:after="0" w:line="18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6"/>
                <w:szCs w:val="16"/>
                <w:color w:val="auto"/>
              </w:rPr>
            </w:pPr>
          </w:p>
        </w:tc>
        <w:tc>
          <w:tcPr>
            <w:tcW w:w="44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24"/>
        </w:trPr>
        <w:tc>
          <w:tcPr>
            <w:tcW w:w="40" w:type="dxa"/>
            <w:vAlign w:val="bottom"/>
          </w:tcPr>
          <w:p>
            <w:pPr>
              <w:spacing w:after="0"/>
              <w:rPr>
                <w:sz w:val="24"/>
                <w:szCs w:val="24"/>
                <w:color w:val="auto"/>
              </w:rPr>
            </w:pPr>
          </w:p>
        </w:tc>
        <w:tc>
          <w:tcPr>
            <w:tcW w:w="18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 John J. Christmann IV</w:t>
            </w:r>
          </w:p>
        </w:tc>
        <w:tc>
          <w:tcPr>
            <w:tcW w:w="2940" w:type="dxa"/>
            <w:vAlign w:val="bottom"/>
            <w:gridSpan w:val="3"/>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John J. Christmann IV</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Stephen J. Riney</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w:t>
            </w:r>
          </w:p>
        </w:tc>
        <w:tc>
          <w:tcPr>
            <w:tcW w:w="18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14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Stephen J. Riney</w:t>
            </w:r>
          </w:p>
        </w:tc>
        <w:tc>
          <w:tcPr>
            <w:tcW w:w="3360" w:type="dxa"/>
            <w:vAlign w:val="bottom"/>
            <w:gridSpan w:val="9"/>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Financial Officer (principal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Rebecca A. Hoyt</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Accounting Officer and</w:t>
            </w:r>
          </w:p>
        </w:tc>
        <w:tc>
          <w:tcPr>
            <w:tcW w:w="18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14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Rebecca A. Hoyt</w:t>
            </w:r>
          </w:p>
        </w:tc>
        <w:tc>
          <w:tcPr>
            <w:tcW w:w="3340" w:type="dxa"/>
            <w:vAlign w:val="bottom"/>
            <w:gridSpan w:val="8"/>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Controller (principal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Annell R. Bay</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Annell R. Bay</w:t>
            </w:r>
          </w:p>
        </w:tc>
        <w:tc>
          <w:tcPr>
            <w:tcW w:w="3540" w:type="dxa"/>
            <w:vAlign w:val="bottom"/>
            <w:gridSpan w:val="12"/>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6"/>
              </w:rPr>
              <w:t>/s/ Chansoo Joung</w:t>
            </w:r>
          </w:p>
        </w:tc>
        <w:tc>
          <w:tcPr>
            <w:tcW w:w="3460" w:type="dxa"/>
            <w:vAlign w:val="bottom"/>
            <w:gridSpan w:val="11"/>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Chansoo Joung</w:t>
            </w: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9"/>
              </w:rPr>
              <w:t>/s/ George D. Lawrence</w:t>
            </w:r>
          </w:p>
        </w:tc>
        <w:tc>
          <w:tcPr>
            <w:tcW w:w="3060" w:type="dxa"/>
            <w:vAlign w:val="bottom"/>
            <w:gridSpan w:val="4"/>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George D. Lawrence</w:t>
            </w: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John E. Lowe</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E. Lowe</w:t>
            </w:r>
          </w:p>
        </w:tc>
        <w:tc>
          <w:tcPr>
            <w:tcW w:w="3580" w:type="dxa"/>
            <w:vAlign w:val="bottom"/>
            <w:gridSpan w:val="13"/>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William C. Montgomery</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198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William C. Montgomery</w:t>
            </w:r>
          </w:p>
        </w:tc>
        <w:tc>
          <w:tcPr>
            <w:tcW w:w="2800" w:type="dxa"/>
            <w:vAlign w:val="bottom"/>
            <w:gridSpan w:val="2"/>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Amy H. Nelson</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Amy H. Nelson</w:t>
            </w:r>
          </w:p>
        </w:tc>
        <w:tc>
          <w:tcPr>
            <w:tcW w:w="3440" w:type="dxa"/>
            <w:vAlign w:val="bottom"/>
            <w:gridSpan w:val="10"/>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Rodman D. Patton</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15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Rodman D. Patton</w:t>
            </w:r>
          </w:p>
        </w:tc>
        <w:tc>
          <w:tcPr>
            <w:tcW w:w="3240" w:type="dxa"/>
            <w:vAlign w:val="bottom"/>
            <w:gridSpan w:val="5"/>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4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7"/>
              </w:rPr>
              <w:t>/s/ Charles J. Pitman</w:t>
            </w:r>
          </w:p>
        </w:tc>
        <w:tc>
          <w:tcPr>
            <w:tcW w:w="3300" w:type="dxa"/>
            <w:vAlign w:val="bottom"/>
            <w:gridSpan w:val="6"/>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Charles J. Pitman</w:t>
            </w: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4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 Daniel W. Rabun</w:t>
            </w:r>
          </w:p>
        </w:tc>
        <w:tc>
          <w:tcPr>
            <w:tcW w:w="3320" w:type="dxa"/>
            <w:vAlign w:val="bottom"/>
            <w:gridSpan w:val="7"/>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Daniel W. Rabun</w:t>
            </w: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/s/ Peter A. Ragauss</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r>
      <w:tr>
        <w:trPr>
          <w:trHeight w:val="237"/>
        </w:trPr>
        <w:tc>
          <w:tcPr>
            <w:tcW w:w="40" w:type="dxa"/>
            <w:vAlign w:val="bottom"/>
          </w:tcPr>
          <w:p>
            <w:pPr>
              <w:spacing w:after="0"/>
              <w:rPr>
                <w:sz w:val="20"/>
                <w:szCs w:val="20"/>
                <w:color w:val="auto"/>
              </w:rPr>
            </w:pPr>
          </w:p>
        </w:tc>
        <w:tc>
          <w:tcPr>
            <w:tcW w:w="14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Peter A. Ragauss</w:t>
            </w:r>
          </w:p>
        </w:tc>
        <w:tc>
          <w:tcPr>
            <w:tcW w:w="3340" w:type="dxa"/>
            <w:vAlign w:val="bottom"/>
            <w:gridSpan w:val="8"/>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0" w:right="239" w:bottom="1440" w:gutter="0" w:footer="0" w:header="0"/>
          <w:type w:val="continuous"/>
        </w:sectPr>
      </w:pPr>
    </w:p>
    <w:bookmarkStart w:id="43" w:name="page44"/>
    <w:bookmarkEnd w:id="43"/>
    <w:p>
      <w:pPr>
        <w:ind w:left="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9547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95475" cy="480060"/>
                    </a:xfrm>
                    <a:prstGeom prst="rect">
                      <a:avLst/>
                    </a:prstGeom>
                    <a:noFill/>
                  </pic:spPr>
                </pic:pic>
              </a:graphicData>
            </a:graphic>
          </wp:anchor>
        </w:drawing>
        <w:t>TBPE REGISTERED ENGINEERING FIRM F-1580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FAX (713) 651-0849</w:t>
      </w:r>
    </w:p>
    <w:p>
      <w:pPr>
        <w:spacing w:after="0" w:line="55" w:lineRule="exact"/>
        <w:rPr>
          <w:sz w:val="20"/>
          <w:szCs w:val="20"/>
          <w:color w:val="auto"/>
        </w:rPr>
      </w:pPr>
    </w:p>
    <w:p>
      <w:pPr>
        <w:sectPr>
          <w:pgSz w:w="11900" w:h="16838" w:orient="portrait"/>
          <w:cols w:equalWidth="0" w:num="2">
            <w:col w:w="4460" w:space="720"/>
            <w:col w:w="6240"/>
          </w:cols>
          <w:pgMar w:left="240" w:top="928" w:right="239" w:bottom="1440" w:gutter="0" w:footer="0" w:header="0"/>
        </w:sectPr>
      </w:pPr>
    </w:p>
    <w:p>
      <w:pPr>
        <w:ind w:left="900"/>
        <w:spacing w:after="0"/>
        <w:rPr>
          <w:sz w:val="20"/>
          <w:szCs w:val="20"/>
          <w:color w:val="auto"/>
        </w:rPr>
      </w:pPr>
      <w:r>
        <w:rPr>
          <w:rFonts w:ascii="Arial" w:cs="Arial" w:eastAsia="Arial" w:hAnsi="Arial"/>
          <w:sz w:val="14"/>
          <w:szCs w:val="14"/>
          <w:color w:val="auto"/>
        </w:rPr>
        <w:t>1100 LOUISIANA SUITE 4600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HOUSTON, TEXAS 77002-5218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TELEPHONE (713) 651-9191</w:t>
      </w:r>
    </w:p>
    <w:p>
      <w:pPr>
        <w:spacing w:after="0" w:line="200" w:lineRule="exact"/>
        <w:rPr>
          <w:sz w:val="20"/>
          <w:szCs w:val="20"/>
          <w:color w:val="auto"/>
        </w:rPr>
      </w:pPr>
    </w:p>
    <w:p>
      <w:pPr>
        <w:sectPr>
          <w:pgSz w:w="11900" w:h="16838" w:orient="portrait"/>
          <w:cols w:equalWidth="0" w:num="3">
            <w:col w:w="2860" w:space="240"/>
            <w:col w:w="2080" w:space="440"/>
            <w:col w:w="5800"/>
          </w:cols>
          <w:pgMar w:left="240" w:top="92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Ryder Scott Company, L.P.</w:t>
      </w: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22"/>
          <w:szCs w:val="22"/>
          <w:color w:val="auto"/>
        </w:rPr>
        <w:t>As independent petroleum engineers, we hereby consent to the incorporation by reference in this Form 10-K of Apache Offshore Investment Partnership to our Firm’s name and our Firm’s review of the proved oil and gas reserve quantities of Apache Offshore Investment Partnership as of December 31, 2016, and to the inclusion of our report, dated January 25, 2017, as an exhibit to this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Ryder Scott Company, L.P.</w:t>
      </w:r>
    </w:p>
    <w:p>
      <w:pPr>
        <w:spacing w:after="0" w:line="214"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Ryder Scott Company, L.P.</w:t>
      </w:r>
    </w:p>
    <w:p>
      <w:pPr>
        <w:spacing w:after="0" w:line="2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TBPE Firm Registration No. F-1580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23, 2017</w:t>
      </w:r>
    </w:p>
    <w:p>
      <w:pPr>
        <w:spacing w:after="0" w:line="200" w:lineRule="exact"/>
        <w:rPr>
          <w:sz w:val="20"/>
          <w:szCs w:val="20"/>
          <w:color w:val="auto"/>
        </w:rPr>
      </w:pP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4960" w:type="dxa"/>
            <w:vAlign w:val="bottom"/>
          </w:tcPr>
          <w:p>
            <w:pPr>
              <w:jc w:val="center"/>
              <w:spacing w:after="0"/>
              <w:rPr>
                <w:sz w:val="20"/>
                <w:szCs w:val="20"/>
                <w:color w:val="auto"/>
              </w:rPr>
            </w:pPr>
            <w:r>
              <w:rPr>
                <w:rFonts w:ascii="Arial" w:cs="Arial" w:eastAsia="Arial" w:hAnsi="Arial"/>
                <w:sz w:val="15"/>
                <w:szCs w:val="15"/>
                <w:color w:val="auto"/>
              </w:rPr>
              <w:t>SUITE 600, 1015 4TH STREET, S.W.  CALGARY, ALBERTA T2R 1J4</w:t>
            </w:r>
          </w:p>
        </w:tc>
        <w:tc>
          <w:tcPr>
            <w:tcW w:w="1540" w:type="dxa"/>
            <w:vAlign w:val="bottom"/>
          </w:tcPr>
          <w:p>
            <w:pPr>
              <w:ind w:left="60"/>
              <w:spacing w:after="0"/>
              <w:rPr>
                <w:sz w:val="20"/>
                <w:szCs w:val="20"/>
                <w:color w:val="auto"/>
              </w:rPr>
            </w:pPr>
            <w:r>
              <w:rPr>
                <w:rFonts w:ascii="Arial" w:cs="Arial" w:eastAsia="Arial" w:hAnsi="Arial"/>
                <w:sz w:val="15"/>
                <w:szCs w:val="15"/>
                <w:color w:val="auto"/>
              </w:rPr>
              <w:t>TEL (403) 262-2799</w:t>
            </w:r>
          </w:p>
        </w:tc>
        <w:tc>
          <w:tcPr>
            <w:tcW w:w="1480" w:type="dxa"/>
            <w:vAlign w:val="bottom"/>
          </w:tcPr>
          <w:p>
            <w:pPr>
              <w:ind w:left="60"/>
              <w:spacing w:after="0"/>
              <w:rPr>
                <w:sz w:val="20"/>
                <w:szCs w:val="20"/>
                <w:color w:val="auto"/>
              </w:rPr>
            </w:pPr>
            <w:r>
              <w:rPr>
                <w:rFonts w:ascii="Arial" w:cs="Arial" w:eastAsia="Arial" w:hAnsi="Arial"/>
                <w:sz w:val="15"/>
                <w:szCs w:val="15"/>
                <w:color w:val="auto"/>
              </w:rPr>
              <w:t>FAX (403) 262-2790</w:t>
            </w:r>
          </w:p>
        </w:tc>
      </w:tr>
      <w:tr>
        <w:trPr>
          <w:trHeight w:val="184"/>
        </w:trPr>
        <w:tc>
          <w:tcPr>
            <w:tcW w:w="4960" w:type="dxa"/>
            <w:vAlign w:val="bottom"/>
          </w:tcPr>
          <w:p>
            <w:pPr>
              <w:jc w:val="center"/>
              <w:spacing w:after="0"/>
              <w:rPr>
                <w:sz w:val="20"/>
                <w:szCs w:val="20"/>
                <w:color w:val="auto"/>
              </w:rPr>
            </w:pPr>
            <w:r>
              <w:rPr>
                <w:rFonts w:ascii="Arial" w:cs="Arial" w:eastAsia="Arial" w:hAnsi="Arial"/>
                <w:sz w:val="15"/>
                <w:szCs w:val="15"/>
                <w:color w:val="auto"/>
              </w:rPr>
              <w:t>621 17TH STREET, SUITE 1550   DENVER, COLORADO 80293-1501</w:t>
            </w:r>
          </w:p>
        </w:tc>
        <w:tc>
          <w:tcPr>
            <w:tcW w:w="1540" w:type="dxa"/>
            <w:vAlign w:val="bottom"/>
          </w:tcPr>
          <w:p>
            <w:pPr>
              <w:ind w:left="100"/>
              <w:spacing w:after="0"/>
              <w:rPr>
                <w:sz w:val="20"/>
                <w:szCs w:val="20"/>
                <w:color w:val="auto"/>
              </w:rPr>
            </w:pPr>
            <w:r>
              <w:rPr>
                <w:rFonts w:ascii="Arial" w:cs="Arial" w:eastAsia="Arial" w:hAnsi="Arial"/>
                <w:sz w:val="15"/>
                <w:szCs w:val="15"/>
                <w:color w:val="auto"/>
              </w:rPr>
              <w:t>TEL (303) 623-9147</w:t>
            </w:r>
          </w:p>
        </w:tc>
        <w:tc>
          <w:tcPr>
            <w:tcW w:w="1480" w:type="dxa"/>
            <w:vAlign w:val="bottom"/>
          </w:tcPr>
          <w:p>
            <w:pPr>
              <w:ind w:left="100"/>
              <w:spacing w:after="0"/>
              <w:rPr>
                <w:sz w:val="20"/>
                <w:szCs w:val="20"/>
                <w:color w:val="auto"/>
              </w:rPr>
            </w:pPr>
            <w:r>
              <w:rPr>
                <w:rFonts w:ascii="Arial" w:cs="Arial" w:eastAsia="Arial" w:hAnsi="Arial"/>
                <w:sz w:val="15"/>
                <w:szCs w:val="15"/>
                <w:color w:val="auto"/>
              </w:rPr>
              <w:t>FAX (303) 623-4258</w:t>
            </w:r>
          </w:p>
        </w:tc>
      </w:tr>
    </w:tbl>
    <w:p>
      <w:pPr>
        <w:sectPr>
          <w:pgSz w:w="11900" w:h="16838" w:orient="portrait"/>
          <w:cols w:equalWidth="0" w:num="1">
            <w:col w:w="11420"/>
          </w:cols>
          <w:pgMar w:left="240" w:top="928"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IV, certify that:</w:t>
      </w:r>
    </w:p>
    <w:p>
      <w:pPr>
        <w:spacing w:after="0" w:line="171" w:lineRule="exact"/>
        <w:rPr>
          <w:sz w:val="20"/>
          <w:szCs w:val="20"/>
          <w:color w:val="auto"/>
        </w:rPr>
      </w:pPr>
    </w:p>
    <w:p>
      <w:pPr>
        <w:ind w:left="260" w:hanging="225"/>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Apache Offshore Investment Partnership;</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J. Christmann IV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of Apache Corporation, Managing Partner</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2017</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171" w:lineRule="exact"/>
        <w:rPr>
          <w:sz w:val="20"/>
          <w:szCs w:val="20"/>
          <w:color w:val="auto"/>
        </w:rPr>
      </w:pPr>
    </w:p>
    <w:p>
      <w:pPr>
        <w:ind w:left="260" w:hanging="225"/>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Apache Offshore Investment Partnership;</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Riney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of Apache Corporation, Managing Partner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24, 2017</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Apache Corporation, Managing Partner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 John J. Christmann IV, certify pursuant to 18 U.S.C. Section 1350, as adopted pursuant to Section 906 of the Sarbanes-Oxley Act of 2002, that, to my knowledge, the annual report on Form 10-K of Apache Offshore Investment Partnership for the period ending December 31, 2016,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840" w:type="dxa"/>
            <w:vAlign w:val="bottom"/>
            <w:gridSpan w:val="2"/>
          </w:tcPr>
          <w:p>
            <w:pPr>
              <w:ind w:left="40"/>
              <w:spacing w:after="0"/>
              <w:rPr>
                <w:sz w:val="20"/>
                <w:szCs w:val="20"/>
                <w:color w:val="auto"/>
              </w:rPr>
            </w:pPr>
            <w:r>
              <w:rPr>
                <w:rFonts w:ascii="Arial" w:cs="Arial" w:eastAsia="Arial" w:hAnsi="Arial"/>
                <w:sz w:val="18"/>
                <w:szCs w:val="18"/>
                <w:color w:val="auto"/>
              </w:rPr>
              <w:t>/s/ John J. Christmann IV</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vMerge w:val="continue"/>
          </w:tcPr>
          <w:p>
            <w:pPr>
              <w:spacing w:after="0"/>
              <w:rPr>
                <w:sz w:val="20"/>
                <w:szCs w:val="20"/>
                <w:color w:val="auto"/>
              </w:rPr>
            </w:pPr>
          </w:p>
        </w:tc>
        <w:tc>
          <w:tcPr>
            <w:tcW w:w="4840" w:type="dxa"/>
            <w:vAlign w:val="bottom"/>
            <w:gridSpan w:val="2"/>
          </w:tcPr>
          <w:p>
            <w:pPr>
              <w:ind w:left="40"/>
              <w:spacing w:after="0"/>
              <w:rPr>
                <w:sz w:val="20"/>
                <w:szCs w:val="20"/>
                <w:color w:val="auto"/>
              </w:rPr>
            </w:pPr>
            <w:r>
              <w:rPr>
                <w:rFonts w:ascii="Arial" w:cs="Arial" w:eastAsia="Arial" w:hAnsi="Arial"/>
                <w:sz w:val="18"/>
                <w:szCs w:val="18"/>
                <w:color w:val="auto"/>
              </w:rPr>
              <w:t>John J. Christmann IV</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gridSpan w:val="2"/>
          </w:tcPr>
          <w:p>
            <w:pPr>
              <w:ind w:left="40"/>
              <w:spacing w:after="0"/>
              <w:rPr>
                <w:sz w:val="20"/>
                <w:szCs w:val="20"/>
                <w:color w:val="auto"/>
              </w:rPr>
            </w:pPr>
            <w:r>
              <w:rPr>
                <w:rFonts w:ascii="Arial" w:cs="Arial" w:eastAsia="Arial" w:hAnsi="Arial"/>
                <w:sz w:val="18"/>
                <w:szCs w:val="18"/>
                <w:color w:val="auto"/>
                <w:w w:val="92"/>
              </w:rPr>
              <w:t>Chief Executive Officer and President (principal executive officer)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4840" w:type="dxa"/>
            <w:vAlign w:val="bottom"/>
            <w:gridSpan w:val="2"/>
          </w:tcPr>
          <w:p>
            <w:pPr>
              <w:ind w:left="40"/>
              <w:spacing w:after="0"/>
              <w:rPr>
                <w:sz w:val="20"/>
                <w:szCs w:val="20"/>
                <w:color w:val="auto"/>
              </w:rPr>
            </w:pPr>
            <w:r>
              <w:rPr>
                <w:rFonts w:ascii="Arial" w:cs="Arial" w:eastAsia="Arial" w:hAnsi="Arial"/>
                <w:sz w:val="18"/>
                <w:szCs w:val="18"/>
                <w:color w:val="auto"/>
              </w:rPr>
              <w:t>of Apache Corporation, Managing Partner</w:t>
            </w:r>
          </w:p>
        </w:tc>
        <w:tc>
          <w:tcPr>
            <w:tcW w:w="0" w:type="dxa"/>
            <w:vAlign w:val="bottom"/>
          </w:tcPr>
          <w:p>
            <w:pPr>
              <w:spacing w:after="0"/>
              <w:rPr>
                <w:sz w:val="1"/>
                <w:szCs w:val="1"/>
                <w:color w:val="auto"/>
              </w:rPr>
            </w:pP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gridSpan w:val="2"/>
          </w:tcPr>
          <w:p>
            <w:pPr>
              <w:ind w:left="40"/>
              <w:spacing w:after="0"/>
              <w:rPr>
                <w:sz w:val="20"/>
                <w:szCs w:val="20"/>
                <w:color w:val="auto"/>
              </w:rPr>
            </w:pPr>
            <w:r>
              <w:rPr>
                <w:rFonts w:ascii="Arial" w:cs="Arial" w:eastAsia="Arial" w:hAnsi="Arial"/>
                <w:sz w:val="18"/>
                <w:szCs w:val="18"/>
                <w:color w:val="auto"/>
              </w:rPr>
              <w:t>February 24, 2017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I, Stephen J. Riney, certify pursuant to 18 U.S.C. Section 1350, as adopted pursuant to Section 906 of the Sarbanes-Oxley Act of 2002, that, to my knowledge, the annual report on Form 10-K of Apache Offshore Investment Partnership for the period ending December 31, 2016,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5860" w:type="dxa"/>
            <w:vAlign w:val="bottom"/>
            <w:gridSpan w:val="2"/>
          </w:tcPr>
          <w:p>
            <w:pPr>
              <w:ind w:left="40"/>
              <w:spacing w:after="0"/>
              <w:rPr>
                <w:sz w:val="20"/>
                <w:szCs w:val="20"/>
                <w:color w:val="auto"/>
              </w:rPr>
            </w:pPr>
            <w:r>
              <w:rPr>
                <w:rFonts w:ascii="Arial" w:cs="Arial" w:eastAsia="Arial" w:hAnsi="Arial"/>
                <w:sz w:val="18"/>
                <w:szCs w:val="18"/>
                <w:color w:val="auto"/>
              </w:rPr>
              <w:t>/s/ Stephen J. Riney</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60" w:type="dxa"/>
            <w:vAlign w:val="bottom"/>
            <w:gridSpan w:val="2"/>
          </w:tcPr>
          <w:p>
            <w:pPr>
              <w:ind w:left="40"/>
              <w:spacing w:after="0"/>
              <w:rPr>
                <w:sz w:val="20"/>
                <w:szCs w:val="20"/>
                <w:color w:val="auto"/>
              </w:rPr>
            </w:pPr>
            <w:r>
              <w:rPr>
                <w:rFonts w:ascii="Arial" w:cs="Arial" w:eastAsia="Arial" w:hAnsi="Arial"/>
                <w:sz w:val="18"/>
                <w:szCs w:val="18"/>
                <w:color w:val="auto"/>
              </w:rPr>
              <w:t>Stephen J. Riney</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40"/>
              <w:spacing w:after="0"/>
              <w:rPr>
                <w:sz w:val="20"/>
                <w:szCs w:val="20"/>
                <w:color w:val="auto"/>
              </w:rPr>
            </w:pPr>
            <w:r>
              <w:rPr>
                <w:rFonts w:ascii="Arial" w:cs="Arial" w:eastAsia="Arial" w:hAnsi="Arial"/>
                <w:sz w:val="18"/>
                <w:szCs w:val="18"/>
                <w:color w:val="auto"/>
                <w:w w:val="92"/>
              </w:rPr>
              <w:t>Executive Vice President and Chief Financial Officer (principal financial officer)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60" w:type="dxa"/>
            <w:vAlign w:val="bottom"/>
            <w:gridSpan w:val="2"/>
          </w:tcPr>
          <w:p>
            <w:pPr>
              <w:ind w:left="40"/>
              <w:spacing w:after="0"/>
              <w:rPr>
                <w:sz w:val="20"/>
                <w:szCs w:val="20"/>
                <w:color w:val="auto"/>
              </w:rPr>
            </w:pPr>
            <w:r>
              <w:rPr>
                <w:rFonts w:ascii="Arial" w:cs="Arial" w:eastAsia="Arial" w:hAnsi="Arial"/>
                <w:sz w:val="18"/>
                <w:szCs w:val="18"/>
                <w:color w:val="auto"/>
              </w:rPr>
              <w:t>of Apache Corporation, Managing Partner</w:t>
            </w:r>
          </w:p>
        </w:tc>
        <w:tc>
          <w:tcPr>
            <w:tcW w:w="0" w:type="dxa"/>
            <w:vAlign w:val="bottom"/>
          </w:tcPr>
          <w:p>
            <w:pPr>
              <w:spacing w:after="0"/>
              <w:rPr>
                <w:sz w:val="1"/>
                <w:szCs w:val="1"/>
                <w:color w:val="auto"/>
              </w:rPr>
            </w:pPr>
          </w:p>
        </w:tc>
      </w:tr>
      <w:tr>
        <w:trPr>
          <w:trHeight w:val="567"/>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gridSpan w:val="2"/>
          </w:tcPr>
          <w:p>
            <w:pPr>
              <w:ind w:left="40"/>
              <w:spacing w:after="0"/>
              <w:rPr>
                <w:sz w:val="20"/>
                <w:szCs w:val="20"/>
                <w:color w:val="auto"/>
              </w:rPr>
            </w:pPr>
            <w:r>
              <w:rPr>
                <w:rFonts w:ascii="Arial" w:cs="Arial" w:eastAsia="Arial" w:hAnsi="Arial"/>
                <w:sz w:val="18"/>
                <w:szCs w:val="18"/>
                <w:color w:val="auto"/>
              </w:rPr>
              <w:t>February 24, 2017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auto"/>
        </w:rPr>
        <w:t>APACHE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Leasehold and Royalty Interests</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 The</w:t>
      </w:r>
    </w:p>
    <w:p>
      <w:pPr>
        <w:spacing w:after="0" w:line="26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Shell Offshore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 Parameters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 Ali A. Porbandarwala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10795</wp:posOffset>
            </wp:positionV>
            <wp:extent cx="3919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Ali A. Porbandarwala, P.E.</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TBPE License No. 107652</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RYDER SCOTT COMPANY, L.P.</w:t>
      </w:r>
    </w:p>
    <w:p>
      <w:pPr>
        <w:ind w:left="3140"/>
        <w:spacing w:after="0"/>
        <w:rPr>
          <w:sz w:val="20"/>
          <w:szCs w:val="20"/>
          <w:color w:val="auto"/>
        </w:rPr>
      </w:pPr>
      <w:r>
        <w:rPr>
          <w:rFonts w:ascii="Arial" w:cs="Arial" w:eastAsia="Arial" w:hAnsi="Arial"/>
          <w:sz w:val="20"/>
          <w:szCs w:val="20"/>
          <w:color w:val="auto"/>
        </w:rPr>
        <w:t>TBPE Firm License No. F-1580</w:t>
      </w:r>
    </w:p>
    <w:p>
      <w:pPr>
        <w:spacing w:after="0" w:line="25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1440" w:right="239" w:bottom="1440" w:gutter="0" w:footer="0" w:header="0"/>
        </w:sectPr>
      </w:pPr>
    </w:p>
    <w:bookmarkStart w:id="48" w:name="page49"/>
    <w:bookmarkEnd w:id="4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51145" cy="53149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January 25, 2017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Apache Corporation</w:t>
      </w:r>
    </w:p>
    <w:p>
      <w:pPr>
        <w:spacing w:after="0"/>
        <w:rPr>
          <w:sz w:val="20"/>
          <w:szCs w:val="20"/>
          <w:color w:val="auto"/>
        </w:rPr>
      </w:pPr>
      <w:r>
        <w:rPr>
          <w:rFonts w:ascii="Arial" w:cs="Arial" w:eastAsia="Arial" w:hAnsi="Arial"/>
          <w:sz w:val="20"/>
          <w:szCs w:val="20"/>
          <w:color w:val="auto"/>
        </w:rPr>
        <w:t>2000 Post Oak Boulevard, Suite 100</w:t>
      </w:r>
    </w:p>
    <w:p>
      <w:pPr>
        <w:spacing w:after="0"/>
        <w:rPr>
          <w:sz w:val="20"/>
          <w:szCs w:val="20"/>
          <w:color w:val="auto"/>
        </w:rPr>
      </w:pPr>
      <w:r>
        <w:rPr>
          <w:rFonts w:ascii="Arial" w:cs="Arial" w:eastAsia="Arial" w:hAnsi="Arial"/>
          <w:sz w:val="20"/>
          <w:szCs w:val="20"/>
          <w:color w:val="auto"/>
        </w:rPr>
        <w:t>Houston, Texas 77056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leasehold and royalty interests in the Shell Offshore Venture for Apache Corporation (Apache) as of December 31, 2016. Additionally, at Apache’s request, this report includes an estimate of the probable and possible reserves, but does not address the future production or income attributable to the probable and possible reserve quantities contained herein. The subject properties are located in the federal waters offshore Louisiana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The results of our third party study, completed on January 19, 2017, are presented herein.</w:t>
      </w:r>
    </w:p>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properties evaluated by Ryder Scott represent 100 percent of the total net proved, probable and possible liquid hydrocarbon reserves and 100 percent of the total net proved, probable and possible gas reserves of the Shell Offshore Venture for Apache as of December 31, 2016.</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2016,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SUITE 600, 1015 4TH STREET, S.W.  CALGARY, ALBERTA T2R 1J4</w:t>
            </w:r>
          </w:p>
        </w:tc>
        <w:tc>
          <w:tcPr>
            <w:tcW w:w="1460" w:type="dxa"/>
            <w:vAlign w:val="bottom"/>
          </w:tcPr>
          <w:p>
            <w:pPr>
              <w:ind w:left="40"/>
              <w:spacing w:after="0"/>
              <w:rPr>
                <w:sz w:val="20"/>
                <w:szCs w:val="20"/>
                <w:color w:val="auto"/>
              </w:rPr>
            </w:pPr>
            <w:r>
              <w:rPr>
                <w:rFonts w:ascii="Arial" w:cs="Arial" w:eastAsia="Arial" w:hAnsi="Arial"/>
                <w:sz w:val="14"/>
                <w:szCs w:val="14"/>
                <w:color w:val="auto"/>
              </w:rPr>
              <w:t>TEL (403) 262-2799</w:t>
            </w:r>
          </w:p>
        </w:tc>
        <w:tc>
          <w:tcPr>
            <w:tcW w:w="1400" w:type="dxa"/>
            <w:vAlign w:val="bottom"/>
          </w:tcPr>
          <w:p>
            <w:pPr>
              <w:ind w:left="40"/>
              <w:spacing w:after="0"/>
              <w:rPr>
                <w:sz w:val="20"/>
                <w:szCs w:val="20"/>
                <w:color w:val="auto"/>
              </w:rPr>
            </w:pPr>
            <w:r>
              <w:rPr>
                <w:rFonts w:ascii="Arial" w:cs="Arial" w:eastAsia="Arial" w:hAnsi="Arial"/>
                <w:sz w:val="14"/>
                <w:szCs w:val="14"/>
                <w:color w:val="auto"/>
              </w:rPr>
              <w:t>FAX (403) 262-2790</w:t>
            </w:r>
          </w:p>
        </w:tc>
      </w:tr>
      <w:tr>
        <w:trPr>
          <w:trHeight w:val="172"/>
        </w:trPr>
        <w:tc>
          <w:tcPr>
            <w:tcW w:w="4640" w:type="dxa"/>
            <w:vAlign w:val="bottom"/>
          </w:tcPr>
          <w:p>
            <w:pPr>
              <w:spacing w:after="0"/>
              <w:rPr>
                <w:sz w:val="20"/>
                <w:szCs w:val="20"/>
                <w:color w:val="auto"/>
              </w:rPr>
            </w:pPr>
            <w:r>
              <w:rPr>
                <w:rFonts w:ascii="Arial" w:cs="Arial" w:eastAsia="Arial" w:hAnsi="Arial"/>
                <w:sz w:val="14"/>
                <w:szCs w:val="14"/>
                <w:color w:val="auto"/>
              </w:rPr>
              <w:t>621 17TH STREET, SUITE 1550   DENVER, COLORADO 80293-1501</w:t>
            </w:r>
          </w:p>
        </w:tc>
        <w:tc>
          <w:tcPr>
            <w:tcW w:w="1460" w:type="dxa"/>
            <w:vAlign w:val="bottom"/>
          </w:tcPr>
          <w:p>
            <w:pPr>
              <w:ind w:left="120"/>
              <w:spacing w:after="0"/>
              <w:rPr>
                <w:sz w:val="20"/>
                <w:szCs w:val="20"/>
                <w:color w:val="auto"/>
              </w:rPr>
            </w:pPr>
            <w:r>
              <w:rPr>
                <w:rFonts w:ascii="Arial" w:cs="Arial" w:eastAsia="Arial" w:hAnsi="Arial"/>
                <w:sz w:val="14"/>
                <w:szCs w:val="14"/>
                <w:color w:val="auto"/>
              </w:rPr>
              <w:t>TEL (303) 623-9147</w:t>
            </w:r>
          </w:p>
        </w:tc>
        <w:tc>
          <w:tcPr>
            <w:tcW w:w="1400" w:type="dxa"/>
            <w:vAlign w:val="bottom"/>
          </w:tcPr>
          <w:p>
            <w:pPr>
              <w:ind w:left="120"/>
              <w:spacing w:after="0"/>
              <w:rPr>
                <w:sz w:val="20"/>
                <w:szCs w:val="20"/>
                <w:color w:val="auto"/>
              </w:rPr>
            </w:pPr>
            <w:r>
              <w:rPr>
                <w:rFonts w:ascii="Arial" w:cs="Arial" w:eastAsia="Arial" w:hAnsi="Arial"/>
                <w:sz w:val="14"/>
                <w:szCs w:val="14"/>
                <w:color w:val="auto"/>
                <w:w w:val="99"/>
              </w:rPr>
              <w:t>FAX (303) 623-4258</w:t>
            </w:r>
          </w:p>
        </w:tc>
      </w:tr>
    </w:tbl>
    <w:p>
      <w:pPr>
        <w:sectPr>
          <w:pgSz w:w="11900" w:h="16838" w:orient="portrait"/>
          <w:cols w:equalWidth="0" w:num="1">
            <w:col w:w="11420"/>
          </w:cols>
          <w:pgMar w:left="240" w:top="1440"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Apache Corporation</w:t>
      </w:r>
    </w:p>
    <w:p>
      <w:pPr>
        <w:jc w:val="center"/>
        <w:spacing w:after="0" w:line="237" w:lineRule="auto"/>
        <w:rPr>
          <w:sz w:val="20"/>
          <w:szCs w:val="20"/>
          <w:color w:val="auto"/>
        </w:rPr>
      </w:pPr>
      <w:r>
        <w:rPr>
          <w:rFonts w:ascii="Arial" w:cs="Arial" w:eastAsia="Arial" w:hAnsi="Arial"/>
          <w:sz w:val="19"/>
          <w:szCs w:val="19"/>
          <w:color w:val="auto"/>
        </w:rPr>
        <w:t>Estimated Net Reserves and Income Data</w:t>
      </w:r>
    </w:p>
    <w:p>
      <w:pPr>
        <w:jc w:val="center"/>
        <w:spacing w:after="0" w:line="237" w:lineRule="auto"/>
        <w:rPr>
          <w:sz w:val="20"/>
          <w:szCs w:val="20"/>
          <w:color w:val="auto"/>
        </w:rPr>
      </w:pPr>
      <w:r>
        <w:rPr>
          <w:rFonts w:ascii="Arial" w:cs="Arial" w:eastAsia="Arial" w:hAnsi="Arial"/>
          <w:sz w:val="19"/>
          <w:szCs w:val="19"/>
          <w:color w:val="auto"/>
        </w:rPr>
        <w:t>Certain Leasehold and Royalty Interests in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Shell Offshore Venture</w:t>
      </w:r>
    </w:p>
    <w:p>
      <w:pPr>
        <w:spacing w:after="0" w:line="16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5192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8"/>
          </w:tcPr>
          <w:p>
            <w:pPr>
              <w:jc w:val="center"/>
              <w:ind w:right="420"/>
              <w:spacing w:after="0"/>
              <w:rPr>
                <w:sz w:val="20"/>
                <w:szCs w:val="20"/>
                <w:color w:val="auto"/>
              </w:rPr>
            </w:pPr>
            <w:r>
              <w:rPr>
                <w:rFonts w:ascii="Arial" w:cs="Arial" w:eastAsia="Arial" w:hAnsi="Arial"/>
                <w:sz w:val="18"/>
                <w:szCs w:val="18"/>
                <w:color w:val="auto"/>
                <w:w w:val="98"/>
              </w:rPr>
              <w:t>Proved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7"/>
          </w:tcPr>
          <w:p>
            <w:pPr>
              <w:ind w:left="560"/>
              <w:spacing w:after="0"/>
              <w:rPr>
                <w:sz w:val="20"/>
                <w:szCs w:val="20"/>
                <w:color w:val="auto"/>
              </w:rPr>
            </w:pPr>
            <w:r>
              <w:rPr>
                <w:rFonts w:ascii="Arial" w:cs="Arial" w:eastAsia="Arial" w:hAnsi="Arial"/>
                <w:sz w:val="18"/>
                <w:szCs w:val="18"/>
                <w:color w:val="auto"/>
              </w:rPr>
              <w:t>Developed</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40" w:type="dxa"/>
            <w:vAlign w:val="bottom"/>
            <w:gridSpan w:val="6"/>
          </w:tcPr>
          <w:p>
            <w:pPr>
              <w:jc w:val="right"/>
              <w:ind w:right="1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40" w:type="dxa"/>
            <w:vAlign w:val="bottom"/>
            <w:gridSpan w:val="6"/>
            <w:vMerge w:val="restart"/>
          </w:tcPr>
          <w:p>
            <w:pPr>
              <w:jc w:val="right"/>
              <w:ind w:right="1460"/>
              <w:spacing w:after="0"/>
              <w:rPr>
                <w:sz w:val="20"/>
                <w:szCs w:val="20"/>
                <w:color w:val="auto"/>
              </w:rPr>
            </w:pPr>
            <w:r>
              <w:rPr>
                <w:rFonts w:ascii="Arial" w:cs="Arial" w:eastAsia="Arial" w:hAnsi="Arial"/>
                <w:sz w:val="18"/>
                <w:szCs w:val="18"/>
                <w:color w:val="auto"/>
                <w:w w:val="98"/>
              </w:rPr>
              <w:t>Proved</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7"/>
          </w:tcPr>
          <w:p>
            <w:pPr>
              <w:ind w:left="380"/>
              <w:spacing w:after="0"/>
              <w:rPr>
                <w:sz w:val="20"/>
                <w:szCs w:val="20"/>
                <w:color w:val="auto"/>
              </w:rPr>
            </w:pPr>
            <w:r>
              <w:rPr>
                <w:rFonts w:ascii="Arial" w:cs="Arial" w:eastAsia="Arial" w:hAnsi="Arial"/>
                <w:sz w:val="18"/>
                <w:szCs w:val="18"/>
                <w:color w:val="auto"/>
              </w:rPr>
              <w:t>Producing</w:t>
            </w:r>
          </w:p>
        </w:tc>
        <w:tc>
          <w:tcPr>
            <w:tcW w:w="40" w:type="dxa"/>
            <w:vAlign w:val="bottom"/>
          </w:tcPr>
          <w:p>
            <w:pPr>
              <w:spacing w:after="0"/>
              <w:rPr>
                <w:sz w:val="20"/>
                <w:szCs w:val="20"/>
                <w:color w:val="auto"/>
              </w:rPr>
            </w:pPr>
          </w:p>
        </w:tc>
        <w:tc>
          <w:tcPr>
            <w:tcW w:w="2220" w:type="dxa"/>
            <w:vAlign w:val="bottom"/>
            <w:gridSpan w:val="8"/>
          </w:tcPr>
          <w:p>
            <w:pPr>
              <w:jc w:val="center"/>
              <w:ind w:right="300"/>
              <w:spacing w:after="0"/>
              <w:rPr>
                <w:sz w:val="20"/>
                <w:szCs w:val="20"/>
                <w:color w:val="auto"/>
              </w:rPr>
            </w:pPr>
            <w:r>
              <w:rPr>
                <w:rFonts w:ascii="Arial" w:cs="Arial" w:eastAsia="Arial" w:hAnsi="Arial"/>
                <w:sz w:val="18"/>
                <w:szCs w:val="18"/>
                <w:color w:val="auto"/>
                <w:w w:val="99"/>
              </w:rPr>
              <w:t>Non-Producing</w:t>
            </w:r>
          </w:p>
        </w:tc>
        <w:tc>
          <w:tcPr>
            <w:tcW w:w="560" w:type="dxa"/>
            <w:vAlign w:val="bottom"/>
          </w:tcPr>
          <w:p>
            <w:pPr>
              <w:spacing w:after="0"/>
              <w:rPr>
                <w:sz w:val="20"/>
                <w:szCs w:val="20"/>
                <w:color w:val="auto"/>
              </w:rPr>
            </w:pPr>
          </w:p>
        </w:tc>
        <w:tc>
          <w:tcPr>
            <w:tcW w:w="20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48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Net Remaining Reserves</w:t>
            </w: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2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Oil/Condensate – Barrels</w:t>
            </w:r>
          </w:p>
        </w:tc>
        <w:tc>
          <w:tcPr>
            <w:tcW w:w="4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38,679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326,179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364,858</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Plant Products – Barrels</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46,924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52,655</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Gas – MMCF</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9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(M$</w:t>
            </w:r>
            <w:r>
              <w:rPr>
                <w:rFonts w:ascii="Arial" w:cs="Arial" w:eastAsia="Arial" w:hAnsi="Arial"/>
                <w:sz w:val="18"/>
                <w:szCs w:val="18"/>
                <w:b w:val="1"/>
                <w:bCs w:val="1"/>
                <w:i w:val="1"/>
                <w:iCs w:val="1"/>
                <w:color w:val="auto"/>
              </w:rPr>
              <w:t>)</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Future Gross Revenue</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2,213,616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center"/>
              <w:ind w:left="790"/>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18,461,546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20,675,162</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Deductions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1,859,758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10,698,112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12,557,870</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80" w:type="dxa"/>
            <w:vAlign w:val="bottom"/>
            <w:gridSpan w:val="5"/>
            <w:vMerge w:val="restart"/>
          </w:tcPr>
          <w:p>
            <w:pPr>
              <w:spacing w:after="0"/>
              <w:rPr>
                <w:sz w:val="20"/>
                <w:szCs w:val="20"/>
                <w:color w:val="auto"/>
              </w:rPr>
            </w:pPr>
            <w:r>
              <w:rPr>
                <w:rFonts w:ascii="Arial" w:cs="Arial" w:eastAsia="Arial" w:hAnsi="Arial"/>
                <w:sz w:val="18"/>
                <w:szCs w:val="18"/>
                <w:color w:val="auto"/>
              </w:rPr>
              <w:t>Future Net Income (FNI)</w:t>
            </w:r>
          </w:p>
        </w:tc>
        <w:tc>
          <w:tcPr>
            <w:tcW w:w="1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4"/>
                <w:szCs w:val="24"/>
                <w:color w:val="auto"/>
              </w:rPr>
            </w:pPr>
          </w:p>
        </w:tc>
        <w:tc>
          <w:tcPr>
            <w:tcW w:w="2480" w:type="dxa"/>
            <w:vAlign w:val="bottom"/>
            <w:gridSpan w:val="5"/>
            <w:vMerge w:val="continue"/>
          </w:tcPr>
          <w:p>
            <w:pPr>
              <w:spacing w:after="0"/>
              <w:rPr>
                <w:sz w:val="24"/>
                <w:szCs w:val="24"/>
                <w:color w:val="auto"/>
              </w:rPr>
            </w:pPr>
          </w:p>
        </w:tc>
        <w:tc>
          <w:tcPr>
            <w:tcW w:w="17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353,858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7,763,434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8,117,292</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Discounted FNI @ 10%</w:t>
            </w:r>
          </w:p>
        </w:tc>
        <w:tc>
          <w:tcPr>
            <w:tcW w:w="17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327,243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4,343,725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4,670,968</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8"/>
          </w:tcPr>
          <w:p>
            <w:pPr>
              <w:jc w:val="center"/>
              <w:ind w:right="340"/>
              <w:spacing w:after="0"/>
              <w:rPr>
                <w:sz w:val="20"/>
                <w:szCs w:val="20"/>
                <w:color w:val="auto"/>
              </w:rPr>
            </w:pPr>
            <w:r>
              <w:rPr>
                <w:rFonts w:ascii="Arial" w:cs="Arial" w:eastAsia="Arial" w:hAnsi="Arial"/>
                <w:sz w:val="18"/>
                <w:szCs w:val="18"/>
                <w:color w:val="auto"/>
                <w:w w:val="99"/>
              </w:rPr>
              <w:t>Probable</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7"/>
          </w:tcPr>
          <w:p>
            <w:pPr>
              <w:ind w:left="540"/>
              <w:spacing w:after="0"/>
              <w:rPr>
                <w:sz w:val="20"/>
                <w:szCs w:val="20"/>
                <w:color w:val="auto"/>
              </w:rPr>
            </w:pPr>
            <w:r>
              <w:rPr>
                <w:rFonts w:ascii="Arial" w:cs="Arial" w:eastAsia="Arial" w:hAnsi="Arial"/>
                <w:sz w:val="18"/>
                <w:szCs w:val="18"/>
                <w:color w:val="auto"/>
              </w:rPr>
              <w:t>Developed</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40" w:type="dxa"/>
            <w:vAlign w:val="bottom"/>
            <w:gridSpan w:val="6"/>
          </w:tcPr>
          <w:p>
            <w:pPr>
              <w:jc w:val="right"/>
              <w:ind w:right="16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80" w:type="dxa"/>
            <w:vAlign w:val="bottom"/>
            <w:gridSpan w:val="7"/>
          </w:tcPr>
          <w:p>
            <w:pPr>
              <w:ind w:left="460"/>
              <w:spacing w:after="0"/>
              <w:rPr>
                <w:sz w:val="20"/>
                <w:szCs w:val="20"/>
                <w:color w:val="auto"/>
              </w:rPr>
            </w:pPr>
            <w:r>
              <w:rPr>
                <w:rFonts w:ascii="Arial" w:cs="Arial" w:eastAsia="Arial" w:hAnsi="Arial"/>
                <w:sz w:val="18"/>
                <w:szCs w:val="18"/>
                <w:color w:val="auto"/>
              </w:rPr>
              <w:t>Producing</w:t>
            </w:r>
          </w:p>
        </w:tc>
        <w:tc>
          <w:tcPr>
            <w:tcW w:w="40" w:type="dxa"/>
            <w:vAlign w:val="bottom"/>
          </w:tcPr>
          <w:p>
            <w:pPr>
              <w:spacing w:after="0"/>
              <w:rPr>
                <w:sz w:val="23"/>
                <w:szCs w:val="23"/>
                <w:color w:val="auto"/>
              </w:rPr>
            </w:pPr>
          </w:p>
        </w:tc>
        <w:tc>
          <w:tcPr>
            <w:tcW w:w="2220" w:type="dxa"/>
            <w:vAlign w:val="bottom"/>
            <w:gridSpan w:val="8"/>
          </w:tcPr>
          <w:p>
            <w:pPr>
              <w:jc w:val="center"/>
              <w:ind w:right="420"/>
              <w:spacing w:after="0"/>
              <w:rPr>
                <w:sz w:val="20"/>
                <w:szCs w:val="20"/>
                <w:color w:val="auto"/>
              </w:rPr>
            </w:pPr>
            <w:r>
              <w:rPr>
                <w:rFonts w:ascii="Arial" w:cs="Arial" w:eastAsia="Arial" w:hAnsi="Arial"/>
                <w:sz w:val="18"/>
                <w:szCs w:val="18"/>
                <w:color w:val="auto"/>
                <w:w w:val="99"/>
              </w:rPr>
              <w:t>Non-Producing</w:t>
            </w:r>
          </w:p>
        </w:tc>
        <w:tc>
          <w:tcPr>
            <w:tcW w:w="2600" w:type="dxa"/>
            <w:vAlign w:val="bottom"/>
            <w:gridSpan w:val="7"/>
          </w:tcPr>
          <w:p>
            <w:pPr>
              <w:jc w:val="right"/>
              <w:ind w:right="1480"/>
              <w:spacing w:after="0"/>
              <w:rPr>
                <w:sz w:val="20"/>
                <w:szCs w:val="20"/>
                <w:color w:val="auto"/>
              </w:rPr>
            </w:pPr>
            <w:r>
              <w:rPr>
                <w:rFonts w:ascii="Arial" w:cs="Arial" w:eastAsia="Arial" w:hAnsi="Arial"/>
                <w:sz w:val="18"/>
                <w:szCs w:val="18"/>
                <w:color w:val="auto"/>
              </w:rPr>
              <w:t>Probable</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12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w w:val="99"/>
              </w:rPr>
              <w:t>Net Remaining Reserves</w:t>
            </w:r>
          </w:p>
        </w:tc>
        <w:tc>
          <w:tcPr>
            <w:tcW w:w="36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940" w:type="dxa"/>
            <w:vAlign w:val="bottom"/>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Oil/Condensate – Barrels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30,269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33,451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Plant Products – Barrels</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3,379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3,765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8"/>
                <w:szCs w:val="18"/>
                <w:color w:val="auto"/>
              </w:rPr>
              <w:t>Gas – MMCF</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5"/>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8"/>
          </w:tcPr>
          <w:p>
            <w:pPr>
              <w:ind w:left="500"/>
              <w:spacing w:after="0"/>
              <w:rPr>
                <w:sz w:val="20"/>
                <w:szCs w:val="20"/>
                <w:color w:val="auto"/>
              </w:rPr>
            </w:pPr>
            <w:r>
              <w:rPr>
                <w:rFonts w:ascii="Arial" w:cs="Arial" w:eastAsia="Arial" w:hAnsi="Arial"/>
                <w:sz w:val="18"/>
                <w:szCs w:val="18"/>
                <w:color w:val="auto"/>
              </w:rPr>
              <w:t>Possible</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7"/>
          </w:tcPr>
          <w:p>
            <w:pPr>
              <w:ind w:left="380"/>
              <w:spacing w:after="0"/>
              <w:rPr>
                <w:sz w:val="20"/>
                <w:szCs w:val="20"/>
                <w:color w:val="auto"/>
              </w:rPr>
            </w:pPr>
            <w:r>
              <w:rPr>
                <w:rFonts w:ascii="Arial" w:cs="Arial" w:eastAsia="Arial" w:hAnsi="Arial"/>
                <w:sz w:val="18"/>
                <w:szCs w:val="18"/>
                <w:color w:val="auto"/>
              </w:rPr>
              <w:t>Developed</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4"/>
          </w:tcPr>
          <w:p>
            <w:pPr>
              <w:jc w:val="right"/>
              <w:ind w:righ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4"/>
          </w:tcPr>
          <w:p>
            <w:pPr>
              <w:jc w:val="right"/>
              <w:ind w:right="660"/>
              <w:spacing w:after="0"/>
              <w:rPr>
                <w:sz w:val="20"/>
                <w:szCs w:val="20"/>
                <w:color w:val="auto"/>
              </w:rPr>
            </w:pPr>
            <w:r>
              <w:rPr>
                <w:rFonts w:ascii="Arial" w:cs="Arial" w:eastAsia="Arial" w:hAnsi="Arial"/>
                <w:sz w:val="18"/>
                <w:szCs w:val="18"/>
                <w:color w:val="auto"/>
              </w:rPr>
              <w:t>Producing</w:t>
            </w:r>
          </w:p>
        </w:tc>
        <w:tc>
          <w:tcPr>
            <w:tcW w:w="140" w:type="dxa"/>
            <w:vAlign w:val="bottom"/>
          </w:tcPr>
          <w:p>
            <w:pPr>
              <w:spacing w:after="0"/>
              <w:rPr>
                <w:sz w:val="23"/>
                <w:szCs w:val="23"/>
                <w:color w:val="auto"/>
              </w:rPr>
            </w:pPr>
          </w:p>
        </w:tc>
        <w:tc>
          <w:tcPr>
            <w:tcW w:w="2020" w:type="dxa"/>
            <w:vAlign w:val="bottom"/>
            <w:gridSpan w:val="7"/>
          </w:tcPr>
          <w:p>
            <w:pPr>
              <w:ind w:left="300"/>
              <w:spacing w:after="0"/>
              <w:rPr>
                <w:sz w:val="20"/>
                <w:szCs w:val="20"/>
                <w:color w:val="auto"/>
              </w:rPr>
            </w:pPr>
            <w:r>
              <w:rPr>
                <w:rFonts w:ascii="Arial" w:cs="Arial" w:eastAsia="Arial" w:hAnsi="Arial"/>
                <w:sz w:val="18"/>
                <w:szCs w:val="18"/>
                <w:color w:val="auto"/>
              </w:rPr>
              <w:t>Non-Producing</w:t>
            </w:r>
          </w:p>
        </w:tc>
        <w:tc>
          <w:tcPr>
            <w:tcW w:w="140" w:type="dxa"/>
            <w:vAlign w:val="bottom"/>
          </w:tcPr>
          <w:p>
            <w:pPr>
              <w:spacing w:after="0"/>
              <w:rPr>
                <w:sz w:val="23"/>
                <w:szCs w:val="23"/>
                <w:color w:val="auto"/>
              </w:rPr>
            </w:pPr>
          </w:p>
        </w:tc>
        <w:tc>
          <w:tcPr>
            <w:tcW w:w="1860" w:type="dxa"/>
            <w:vAlign w:val="bottom"/>
            <w:gridSpan w:val="7"/>
          </w:tcPr>
          <w:p>
            <w:pPr>
              <w:jc w:val="right"/>
              <w:ind w:right="390"/>
              <w:spacing w:after="0"/>
              <w:rPr>
                <w:sz w:val="20"/>
                <w:szCs w:val="20"/>
                <w:color w:val="auto"/>
              </w:rPr>
            </w:pPr>
            <w:r>
              <w:rPr>
                <w:rFonts w:ascii="Arial" w:cs="Arial" w:eastAsia="Arial" w:hAnsi="Arial"/>
                <w:sz w:val="18"/>
                <w:szCs w:val="18"/>
                <w:color w:val="auto"/>
              </w:rPr>
              <w:t>Undeveloped</w:t>
            </w:r>
          </w:p>
        </w:tc>
        <w:tc>
          <w:tcPr>
            <w:tcW w:w="180" w:type="dxa"/>
            <w:vAlign w:val="bottom"/>
          </w:tcPr>
          <w:p>
            <w:pPr>
              <w:spacing w:after="0"/>
              <w:rPr>
                <w:sz w:val="23"/>
                <w:szCs w:val="23"/>
                <w:color w:val="auto"/>
              </w:rPr>
            </w:pPr>
          </w:p>
        </w:tc>
        <w:tc>
          <w:tcPr>
            <w:tcW w:w="1700" w:type="dxa"/>
            <w:vAlign w:val="bottom"/>
            <w:gridSpan w:val="4"/>
          </w:tcPr>
          <w:p>
            <w:pPr>
              <w:jc w:val="right"/>
              <w:ind w:right="520"/>
              <w:spacing w:after="0"/>
              <w:rPr>
                <w:sz w:val="20"/>
                <w:szCs w:val="20"/>
                <w:color w:val="auto"/>
              </w:rPr>
            </w:pPr>
            <w:r>
              <w:rPr>
                <w:rFonts w:ascii="Arial" w:cs="Arial" w:eastAsia="Arial" w:hAnsi="Arial"/>
                <w:sz w:val="18"/>
                <w:szCs w:val="18"/>
                <w:color w:val="auto"/>
              </w:rPr>
              <w:t>Possible</w:t>
            </w:r>
          </w:p>
        </w:tc>
        <w:tc>
          <w:tcPr>
            <w:tcW w:w="0" w:type="dxa"/>
            <w:vAlign w:val="bottom"/>
          </w:tcPr>
          <w:p>
            <w:pPr>
              <w:spacing w:after="0"/>
              <w:rPr>
                <w:sz w:val="1"/>
                <w:szCs w:val="1"/>
                <w:color w:val="auto"/>
              </w:rPr>
            </w:pPr>
          </w:p>
        </w:tc>
      </w:tr>
      <w:tr>
        <w:trPr>
          <w:trHeight w:val="27"/>
        </w:trPr>
        <w:tc>
          <w:tcPr>
            <w:tcW w:w="342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Net Remaining Reserves</w:t>
            </w: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20" w:type="dxa"/>
            <w:vAlign w:val="bottom"/>
            <w:gridSpan w:val="6"/>
            <w:vMerge w:val="continue"/>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Oil/Condensate – Barrels</w:t>
            </w:r>
          </w:p>
        </w:tc>
        <w:tc>
          <w:tcPr>
            <w:tcW w:w="1320" w:type="dxa"/>
            <w:vAlign w:val="bottom"/>
            <w:gridSpan w:val="4"/>
          </w:tcPr>
          <w:p>
            <w:pPr>
              <w:spacing w:after="0"/>
              <w:rPr>
                <w:sz w:val="24"/>
                <w:szCs w:val="24"/>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9,858</w:t>
            </w:r>
          </w:p>
        </w:tc>
        <w:tc>
          <w:tcPr>
            <w:tcW w:w="160" w:type="dxa"/>
            <w:vAlign w:val="bottom"/>
          </w:tcPr>
          <w:p>
            <w:pPr>
              <w:spacing w:after="0"/>
              <w:rPr>
                <w:sz w:val="24"/>
                <w:szCs w:val="24"/>
                <w:color w:val="auto"/>
              </w:rPr>
            </w:pPr>
          </w:p>
        </w:tc>
        <w:tc>
          <w:tcPr>
            <w:tcW w:w="1880" w:type="dxa"/>
            <w:vAlign w:val="bottom"/>
            <w:gridSpan w:val="5"/>
          </w:tcPr>
          <w:p>
            <w:pPr>
              <w:jc w:val="right"/>
              <w:ind w:right="20"/>
              <w:spacing w:after="0"/>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70"/>
        </w:trPr>
        <w:tc>
          <w:tcPr>
            <w:tcW w:w="3420" w:type="dxa"/>
            <w:vAlign w:val="bottom"/>
            <w:gridSpan w:val="6"/>
          </w:tcPr>
          <w:p>
            <w:pPr>
              <w:spacing w:after="0"/>
              <w:rPr>
                <w:sz w:val="20"/>
                <w:szCs w:val="20"/>
                <w:color w:val="auto"/>
              </w:rPr>
            </w:pPr>
            <w:r>
              <w:rPr>
                <w:rFonts w:ascii="Arial" w:cs="Arial" w:eastAsia="Arial" w:hAnsi="Arial"/>
                <w:sz w:val="18"/>
                <w:szCs w:val="18"/>
                <w:color w:val="auto"/>
              </w:rPr>
              <w:t>Plant Products – Barrels</w:t>
            </w:r>
          </w:p>
        </w:tc>
        <w:tc>
          <w:tcPr>
            <w:tcW w:w="1700" w:type="dxa"/>
            <w:vAlign w:val="bottom"/>
            <w:gridSpan w:val="3"/>
          </w:tcPr>
          <w:p>
            <w:pPr>
              <w:jc w:val="right"/>
              <w:ind w:right="7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23"/>
                <w:szCs w:val="23"/>
                <w:color w:val="auto"/>
              </w:rPr>
            </w:pPr>
          </w:p>
        </w:tc>
        <w:tc>
          <w:tcPr>
            <w:tcW w:w="1880" w:type="dxa"/>
            <w:vAlign w:val="bottom"/>
            <w:gridSpan w:val="5"/>
          </w:tcPr>
          <w:p>
            <w:pPr>
              <w:jc w:val="right"/>
              <w:ind w:right="2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70"/>
        </w:trPr>
        <w:tc>
          <w:tcPr>
            <w:tcW w:w="3420" w:type="dxa"/>
            <w:vAlign w:val="bottom"/>
            <w:gridSpan w:val="6"/>
          </w:tcPr>
          <w:p>
            <w:pPr>
              <w:spacing w:after="0"/>
              <w:rPr>
                <w:sz w:val="20"/>
                <w:szCs w:val="20"/>
                <w:color w:val="auto"/>
              </w:rPr>
            </w:pPr>
            <w:r>
              <w:rPr>
                <w:rFonts w:ascii="Arial" w:cs="Arial" w:eastAsia="Arial" w:hAnsi="Arial"/>
                <w:sz w:val="18"/>
                <w:szCs w:val="18"/>
                <w:color w:val="auto"/>
              </w:rPr>
              <w:t>Gas – MMCF</w:t>
            </w:r>
          </w:p>
        </w:tc>
        <w:tc>
          <w:tcPr>
            <w:tcW w:w="1700" w:type="dxa"/>
            <w:vAlign w:val="bottom"/>
            <w:gridSpan w:val="3"/>
          </w:tcPr>
          <w:p>
            <w:pPr>
              <w:jc w:val="right"/>
              <w:ind w:right="7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3"/>
                <w:szCs w:val="23"/>
                <w:color w:val="auto"/>
              </w:rPr>
            </w:pPr>
          </w:p>
        </w:tc>
        <w:tc>
          <w:tcPr>
            <w:tcW w:w="1880" w:type="dxa"/>
            <w:vAlign w:val="bottom"/>
            <w:gridSpan w:val="5"/>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Liquid hydrocarbons are expressed in standard 42 gallon barrels. All gas volumes are reported on an “as sold basis” expressed in millions of cubic feet (MMCF) at the official temperature and pressure bases of 60º Fahrenheit and 14.73 psia. In this report, the revenues, deductions, and income data are expressed as thousands of U.S. dollars (M$).</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The estimates of the proved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w:t>
      </w:r>
    </w:p>
    <w:p>
      <w:pPr>
        <w:sectPr>
          <w:pgSz w:w="11900" w:h="16838" w:orient="portrait"/>
          <w:cols w:equalWidth="0" w:num="1">
            <w:col w:w="11420"/>
          </w:cols>
          <w:pgMar w:left="240" w:top="136" w:right="2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Reserves Software, a copyrighted program of Halliburton. The program was used at the request of Apache.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0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deductions incorporate the normal direct costs of operating the wells, recompletion costs, development costs, transportation costs (incorporated as other costs in the cash flow projections) and certain abandonment costs net of salvage. The future net income is before the deduction of state and federal income taxes and general administrative overhead, and has not been adjusted for outstanding loans that may exist, nor does it include any adjustment for cash on hand or undistributed income. Liquid hydrocarbon reserves account for approximately 90 percent and gas reserves account for the remaining 10 percent of total future gross revenue from proved reserves.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discounted future net income shown above was calculated using a discount rate of 10 percent per annum compounded monthly. Proved future net income was discounted at four other discount rates which were also compounded monthly. These results are shown in summary form as follows.</w:t>
      </w:r>
    </w:p>
    <w:p>
      <w:pPr>
        <w:spacing w:after="0" w:line="385" w:lineRule="exact"/>
        <w:rPr>
          <w:sz w:val="20"/>
          <w:szCs w:val="20"/>
          <w:color w:val="auto"/>
        </w:rPr>
      </w:pPr>
    </w:p>
    <w:tbl>
      <w:tblPr>
        <w:tblLayout w:type="fixed"/>
        <w:tblInd w:w="1700" w:type="dxa"/>
        <w:tblCellMar>
          <w:top w:w="0" w:type="dxa"/>
          <w:left w:w="0" w:type="dxa"/>
          <w:bottom w:w="0" w:type="dxa"/>
          <w:right w:w="0" w:type="dxa"/>
        </w:tblCellMar>
      </w:tblPr>
      <w:tr>
        <w:trPr>
          <w:trHeight w:val="217"/>
        </w:trPr>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Discounted Future Net Income (M$)</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gridSpan w:val="2"/>
          </w:tcPr>
          <w:p>
            <w:pPr>
              <w:jc w:val="center"/>
              <w:spacing w:after="0"/>
              <w:rPr>
                <w:sz w:val="20"/>
                <w:szCs w:val="20"/>
                <w:color w:val="auto"/>
              </w:rPr>
            </w:pPr>
            <w:r>
              <w:rPr>
                <w:rFonts w:ascii="Arial" w:cs="Arial" w:eastAsia="Arial" w:hAnsi="Arial"/>
                <w:sz w:val="18"/>
                <w:szCs w:val="18"/>
                <w:color w:val="auto"/>
                <w:w w:val="99"/>
              </w:rPr>
              <w:t>As of December 31, 2016</w:t>
            </w:r>
          </w:p>
        </w:tc>
        <w:tc>
          <w:tcPr>
            <w:tcW w:w="0" w:type="dxa"/>
            <w:vAlign w:val="bottom"/>
          </w:tcPr>
          <w:p>
            <w:pPr>
              <w:spacing w:after="0"/>
              <w:rPr>
                <w:sz w:val="1"/>
                <w:szCs w:val="1"/>
                <w:color w:val="auto"/>
              </w:rPr>
            </w:pPr>
          </w:p>
        </w:tc>
      </w:tr>
      <w:tr>
        <w:trPr>
          <w:trHeight w:val="27"/>
        </w:trPr>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9"/>
              </w:rPr>
              <w:t>Discount Rate</w:t>
            </w:r>
          </w:p>
        </w:tc>
        <w:tc>
          <w:tcPr>
            <w:tcW w:w="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Pr>
          <w:p>
            <w:pPr>
              <w:jc w:val="center"/>
              <w:ind w:right="8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7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$6,145,930</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$3,615,469</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$2,860,630</w:t>
            </w:r>
          </w:p>
        </w:tc>
        <w:tc>
          <w:tcPr>
            <w:tcW w:w="0" w:type="dxa"/>
            <w:vAlign w:val="bottom"/>
          </w:tcPr>
          <w:p>
            <w:pPr>
              <w:spacing w:after="0"/>
              <w:rPr>
                <w:sz w:val="1"/>
                <w:szCs w:val="1"/>
                <w:color w:val="auto"/>
              </w:rPr>
            </w:pPr>
          </w:p>
        </w:tc>
      </w:tr>
      <w:tr>
        <w:trPr>
          <w:trHeight w:val="270"/>
        </w:trPr>
        <w:tc>
          <w:tcPr>
            <w:tcW w:w="176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$2,312,771</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probable and possible reserves included herein conform to the definitions as set forth in the Securities and Exchange Commission’s Regulations Part 210.4-10(a). An abridged version of the SEC reserves definitions from 210.4-10(a) entitled “Petroleum Reserves Definitions” is included as an attachment to this report.</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various reserve status categories are defined under the attachment entitled “Petroleum Reserves Status Definitions and Guidelines” in this report. The proved, probable and possible developed non-producing reserves included herein consist of the shut-in and behind pipe categories.</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No attempt was made to quantify or otherwise account for any accumulated gas production imbalances that may exist. The proved, probable and possible gas volumes presented herein do not include volumes of gas consumed in operations as reserves.</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Apache’s request, this report addresses the proved, probable and possible reserves attributable to the properties evaluated herein.</w:t>
      </w:r>
    </w:p>
    <w:p>
      <w:pPr>
        <w:spacing w:after="0" w:line="22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SEC has defined reasonable certainty for proved reserves, when based on deterministic methods, as a “high degree of confidence that the quantities will be recovered.” Probable reserves are “those additional reserves that are less certain to be recovered than proved reserves but which, together with proved reserves, are as likely as not to be recovered.” Possible reserves are “those additional reserves which are less certain to be recovered than probable reserves” and thus the probability of achieving or exceeding the proved plus probable plus possible reserves is low.</w:t>
      </w:r>
    </w:p>
    <w:p>
      <w:pPr>
        <w:spacing w:after="0" w:line="22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reserves included herein were estimated using deterministic methods and presented as incremental quantities. Under the deterministic incremental approach, discrete quantities of reserves are estimated and assigned separately as proved, probable or possible based on their individual level of uncertainty. Because of the differences in uncertainty, caution should be exercised when aggregating quantities of oil and gas from different reserves categories. Furthermore, the reserves and income quantities attributable to the different reserve categories that are included herein have not been adjusted to reflect these varying degrees of risk associated with them and thus are not comparable.</w:t>
      </w:r>
    </w:p>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probable and possible reserves may be revised as a result of future operations, effects of regulation by governmental agencies or geopolitical or economic risks. Therefore, the proved, probable and possible reserves included in this report are estimates only and should not be construed as being exact quantities. In the case of the proved reserves presented herein, the revenues therefrom, and the actual costs related thereto, could be more or less than the estimated amounts.</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Apache’s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probable and possible reserves actually recovered and amounts of proved income actually received to differ significantly from the estimated quantities.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reserves presented herein were based upon a detailed study of the properties in which Apache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probable and possible reserves for the properties included herein were estimated by performance methods, the volumetric method, analogy, or a combination of methods. Approximately 95 percent of the proved, probable and possible producing reserves attributable to producing wells and/or reservoirs were estimated by performance methods or a combination of methods. These performance methods include, but may not be limited to, decline curve analysis and/or material balance which utilized extrapolations of historical production and pressure data available through November 2016 in those cases where such data were considered to be definitive. The data utilized in this analysis were furnished to Ryder Scott by Apache or obtained from public data sources and were considered sufficient for the purpose thereof. The remaining 5 percent of the producing reserves were estimated by the volumetric method, analogy, or a combination of methods. These methods were used where there were inadequate historical performance data to establish a definitive trend and where the use of production performance data as a basis for the reserve estimates was considered to be inappropriate.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Approximately 100 percent of the proved, probable and possible developed non-producing and undeveloped reserves included herein were estimated by the volumetric method or analogy. The volumetric analysis utilized pertinent well and seismic data furnished to Ryder Scott by Apache or which we have obtained from public data sources that were available through November 2016. The data utilized from the analogues as well as well and seismic data incorporated into our volumetric analysis were considered sufficient for the purpose thereof.</w:t>
      </w:r>
    </w:p>
    <w:p>
      <w:pPr>
        <w:spacing w:after="0" w:line="22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probable and possible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probable and possible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Apache has informed us that they have furnished us all of the material accounts, records, geological and engineering data, and reports and other data required for this investigation. In preparing our forecast of future proved production and income, and probable and possible production, we have relied upon data furnished by Apache with respect to property interests owned, production and well tests from examined wells, normal direct costs of operating the wells or leases, other costs such as transportation and/or processing fees,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Apache. We consider the factual data used in this report appropriate and sufficient for the purpose of preparing the estimates of reserves and future net revenues herein.</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probable and possible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probable and possible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Apache.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Apache furnished us with the above mentioned average prices in effect on December 31, 2016.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that were actually used to determine the proved future gross revenue for each property reflect adjustments to the benchmark prices for gravity, quality, local conditions, and/or distance from market, referred to herein as “differentials.” The differentials used in the preparation of this report were furnished to us by Apache. The differentials furnished to us were accepted as factual data and reviewed by us for their reasonableness; however, we have not conducted an independent verification of the data used by Apache to determine these differentials.</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proved future gross revenue before production taxes and the total proved net reserves for the geographic area and presented in accordance with SEC disclosure requirements for each of the geographic areas included in the report.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100" w:type="dxa"/>
            <w:vAlign w:val="bottom"/>
            <w:tcBorders>
              <w:top w:val="single" w:sz="8" w:color="00000A"/>
              <w:left w:val="single" w:sz="8" w:color="00000A"/>
              <w:right w:val="single" w:sz="8" w:color="00000A"/>
            </w:tcBorders>
          </w:tcPr>
          <w:p>
            <w:pPr>
              <w:spacing w:after="0"/>
              <w:rPr>
                <w:sz w:val="22"/>
                <w:szCs w:val="22"/>
                <w:color w:val="auto"/>
              </w:rPr>
            </w:pPr>
          </w:p>
        </w:tc>
        <w:tc>
          <w:tcPr>
            <w:tcW w:w="2060" w:type="dxa"/>
            <w:vAlign w:val="bottom"/>
            <w:tcBorders>
              <w:top w:val="single" w:sz="8" w:color="00000A"/>
              <w:right w:val="single" w:sz="8" w:color="00000A"/>
            </w:tcBorders>
          </w:tcPr>
          <w:p>
            <w:pPr>
              <w:spacing w:after="0"/>
              <w:rPr>
                <w:sz w:val="22"/>
                <w:szCs w:val="22"/>
                <w:color w:val="auto"/>
              </w:rPr>
            </w:pPr>
          </w:p>
        </w:tc>
        <w:tc>
          <w:tcPr>
            <w:tcW w:w="3520" w:type="dxa"/>
            <w:vAlign w:val="bottom"/>
            <w:tcBorders>
              <w:top w:val="single" w:sz="8" w:color="00000A"/>
              <w:right w:val="single" w:sz="8" w:color="00000A"/>
            </w:tcBorders>
          </w:tcPr>
          <w:p>
            <w:pPr>
              <w:spacing w:after="0"/>
              <w:rPr>
                <w:sz w:val="22"/>
                <w:szCs w:val="22"/>
                <w:color w:val="auto"/>
              </w:rPr>
            </w:pPr>
          </w:p>
        </w:tc>
        <w:tc>
          <w:tcPr>
            <w:tcW w:w="1940" w:type="dxa"/>
            <w:vAlign w:val="bottom"/>
            <w:tcBorders>
              <w:top w:val="single" w:sz="8" w:color="00000A"/>
              <w:right w:val="single" w:sz="8" w:color="00000A"/>
            </w:tcBorders>
          </w:tcPr>
          <w:p>
            <w:pPr>
              <w:spacing w:after="0"/>
              <w:rPr>
                <w:sz w:val="22"/>
                <w:szCs w:val="22"/>
                <w:color w:val="auto"/>
              </w:rPr>
            </w:pP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r>
      <w:tr>
        <w:trPr>
          <w:trHeight w:val="216"/>
        </w:trPr>
        <w:tc>
          <w:tcPr>
            <w:tcW w:w="2100" w:type="dxa"/>
            <w:vAlign w:val="bottom"/>
            <w:tcBorders>
              <w:left w:val="single" w:sz="8" w:color="00000A"/>
              <w:right w:val="single" w:sz="8" w:color="00000A"/>
            </w:tcBorders>
          </w:tcPr>
          <w:p>
            <w:pPr>
              <w:spacing w:after="0"/>
              <w:rPr>
                <w:sz w:val="18"/>
                <w:szCs w:val="18"/>
                <w:color w:val="auto"/>
              </w:rPr>
            </w:pPr>
          </w:p>
        </w:tc>
        <w:tc>
          <w:tcPr>
            <w:tcW w:w="2060" w:type="dxa"/>
            <w:vAlign w:val="bottom"/>
            <w:tcBorders>
              <w:right w:val="single" w:sz="8" w:color="00000A"/>
            </w:tcBorders>
          </w:tcPr>
          <w:p>
            <w:pPr>
              <w:spacing w:after="0"/>
              <w:rPr>
                <w:sz w:val="18"/>
                <w:szCs w:val="18"/>
                <w:color w:val="auto"/>
              </w:rPr>
            </w:pPr>
          </w:p>
        </w:tc>
        <w:tc>
          <w:tcPr>
            <w:tcW w:w="3520" w:type="dxa"/>
            <w:vAlign w:val="bottom"/>
            <w:tcBorders>
              <w:right w:val="single" w:sz="8" w:color="00000A"/>
            </w:tcBorders>
          </w:tcPr>
          <w:p>
            <w:pPr>
              <w:spacing w:after="0"/>
              <w:rPr>
                <w:sz w:val="18"/>
                <w:szCs w:val="18"/>
                <w:color w:val="auto"/>
              </w:rPr>
            </w:pP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6"/>
              </w:rPr>
              <w:t>Average</w:t>
            </w:r>
          </w:p>
        </w:tc>
        <w:tc>
          <w:tcPr>
            <w:tcW w:w="18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7"/>
              </w:rPr>
              <w:t>Proved</w:t>
            </w:r>
          </w:p>
        </w:tc>
      </w:tr>
      <w:tr>
        <w:trPr>
          <w:trHeight w:val="216"/>
        </w:trPr>
        <w:tc>
          <w:tcPr>
            <w:tcW w:w="2100" w:type="dxa"/>
            <w:vAlign w:val="bottom"/>
            <w:tcBorders>
              <w:left w:val="single" w:sz="8" w:color="00000A"/>
              <w:right w:val="single" w:sz="8" w:color="00000A"/>
            </w:tcBorders>
          </w:tcPr>
          <w:p>
            <w:pPr>
              <w:spacing w:after="0"/>
              <w:rPr>
                <w:sz w:val="18"/>
                <w:szCs w:val="18"/>
                <w:color w:val="auto"/>
              </w:rPr>
            </w:pPr>
          </w:p>
        </w:tc>
        <w:tc>
          <w:tcPr>
            <w:tcW w:w="2060" w:type="dxa"/>
            <w:vAlign w:val="bottom"/>
            <w:tcBorders>
              <w:right w:val="single" w:sz="8" w:color="00000A"/>
            </w:tcBorders>
          </w:tcPr>
          <w:p>
            <w:pPr>
              <w:spacing w:after="0"/>
              <w:rPr>
                <w:sz w:val="18"/>
                <w:szCs w:val="18"/>
                <w:color w:val="auto"/>
              </w:rPr>
            </w:pPr>
          </w:p>
        </w:tc>
        <w:tc>
          <w:tcPr>
            <w:tcW w:w="35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8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7"/>
              </w:rPr>
              <w:t>Realized</w:t>
            </w:r>
          </w:p>
        </w:tc>
      </w:tr>
      <w:tr>
        <w:trPr>
          <w:trHeight w:val="242"/>
        </w:trPr>
        <w:tc>
          <w:tcPr>
            <w:tcW w:w="21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2060" w:type="dxa"/>
            <w:vAlign w:val="bottom"/>
            <w:tcBorders>
              <w:bottom w:val="single" w:sz="8" w:color="00000A"/>
              <w:right w:val="single" w:sz="8" w:color="00000A"/>
            </w:tcBorders>
          </w:tcPr>
          <w:p>
            <w:pPr>
              <w:ind w:left="680"/>
              <w:spacing w:after="0"/>
              <w:rPr>
                <w:sz w:val="20"/>
                <w:szCs w:val="20"/>
                <w:color w:val="auto"/>
              </w:rPr>
            </w:pPr>
            <w:r>
              <w:rPr>
                <w:rFonts w:ascii="Arial" w:cs="Arial" w:eastAsia="Arial" w:hAnsi="Arial"/>
                <w:sz w:val="20"/>
                <w:szCs w:val="20"/>
                <w:color w:val="auto"/>
              </w:rPr>
              <w:t>Product</w:t>
            </w:r>
          </w:p>
        </w:tc>
        <w:tc>
          <w:tcPr>
            <w:tcW w:w="3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1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2060" w:type="dxa"/>
            <w:vAlign w:val="bottom"/>
            <w:tcBorders>
              <w:bottom w:val="single" w:sz="8" w:color="00000A"/>
              <w:right w:val="single" w:sz="8" w:color="00000A"/>
            </w:tcBorders>
          </w:tcPr>
          <w:p>
            <w:pPr>
              <w:spacing w:after="0"/>
              <w:rPr>
                <w:sz w:val="22"/>
                <w:szCs w:val="22"/>
                <w:color w:val="auto"/>
              </w:rPr>
            </w:pPr>
          </w:p>
        </w:tc>
        <w:tc>
          <w:tcPr>
            <w:tcW w:w="352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c>
          <w:tcPr>
            <w:tcW w:w="1820" w:type="dxa"/>
            <w:vAlign w:val="bottom"/>
            <w:tcBorders>
              <w:bottom w:val="single" w:sz="8" w:color="00000A"/>
              <w:right w:val="single" w:sz="8" w:color="00000A"/>
            </w:tcBorders>
          </w:tcPr>
          <w:p>
            <w:pPr>
              <w:spacing w:after="0"/>
              <w:rPr>
                <w:sz w:val="22"/>
                <w:szCs w:val="22"/>
                <w:color w:val="auto"/>
              </w:rPr>
            </w:pPr>
          </w:p>
        </w:tc>
      </w:tr>
      <w:tr>
        <w:trPr>
          <w:trHeight w:val="262"/>
        </w:trPr>
        <w:tc>
          <w:tcPr>
            <w:tcW w:w="2100" w:type="dxa"/>
            <w:vAlign w:val="bottom"/>
            <w:tcBorders>
              <w:left w:val="single" w:sz="8" w:color="00000A"/>
              <w:right w:val="single" w:sz="8" w:color="00000A"/>
            </w:tcBorders>
          </w:tcPr>
          <w:p>
            <w:pPr>
              <w:spacing w:after="0"/>
              <w:rPr>
                <w:sz w:val="22"/>
                <w:szCs w:val="22"/>
                <w:color w:val="auto"/>
              </w:rPr>
            </w:pPr>
          </w:p>
        </w:tc>
        <w:tc>
          <w:tcPr>
            <w:tcW w:w="20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3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$42.82/Bbl</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$46.75/Bbl</w:t>
            </w:r>
          </w:p>
        </w:tc>
      </w:tr>
      <w:tr>
        <w:trPr>
          <w:trHeight w:val="265"/>
        </w:trPr>
        <w:tc>
          <w:tcPr>
            <w:tcW w:w="21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20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3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Mt. Belvieu Non-Tet Propane</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$19.87/Bbl</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$27.82/Bbl</w:t>
            </w:r>
          </w:p>
        </w:tc>
      </w:tr>
      <w:tr>
        <w:trPr>
          <w:trHeight w:val="264"/>
        </w:trPr>
        <w:tc>
          <w:tcPr>
            <w:tcW w:w="2100" w:type="dxa"/>
            <w:vAlign w:val="bottom"/>
            <w:tcBorders>
              <w:left w:val="single" w:sz="8" w:color="00000A"/>
              <w:bottom w:val="single" w:sz="8" w:color="00000A"/>
              <w:right w:val="single" w:sz="8" w:color="00000A"/>
            </w:tcBorders>
          </w:tcPr>
          <w:p>
            <w:pPr>
              <w:spacing w:after="0"/>
              <w:rPr>
                <w:sz w:val="22"/>
                <w:szCs w:val="22"/>
                <w:color w:val="auto"/>
              </w:rPr>
            </w:pPr>
          </w:p>
        </w:tc>
        <w:tc>
          <w:tcPr>
            <w:tcW w:w="20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3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$2.48/MMBTU</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$2.19/MCF</w:t>
            </w:r>
          </w:p>
        </w:tc>
      </w:tr>
    </w:tbl>
    <w:p>
      <w:pPr>
        <w:spacing w:after="0" w:line="22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5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Operating costs for the leases and wells in this report were furnished by Apache and are based on the operating expense reports of Apache and include only those costs directly applicable to the leases or wells.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Transportation costs are included as deductions and incorporated as other costs. The operating costs furnished to us were accepted as factual data and reviewed by us for their reasonableness; however, we have not conducted an independent verification of the operating cost data used by Apache. No deduction was made for loan repayments, interest expenses, or exploration and development prepayments that were not charged directly to the leases or wells.</w:t>
      </w:r>
    </w:p>
    <w:p>
      <w:pPr>
        <w:spacing w:after="0" w:line="22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Development costs were furnished to us by Apache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significant. The estimates of the net abandonment costs furnished by Apache were accepted without independent verification.</w:t>
      </w:r>
    </w:p>
    <w:p>
      <w:pPr>
        <w:spacing w:after="0" w:line="22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proved, probable and possible developed non-producing and undeveloped reserves in this report have been incorporated herein in accordance with Apache’s plans to develop these reserves as of December 31, 2016. The implementation of Apache’s development plans as presented to us and incorporated herein is subject to the approval process adopted by Apache’s management. As the result of our inquiries during the course of preparing this report, Apache has informed us that the development activities included herein have been subjected to and received the internal approvals required by Apache’s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Apache. Additionally, Apache has informed us that they are not aware of any legal, regulatory or political obstacles that would significantly alter their plans. While these plans could change from those under existing economic conditions as of December 31, 2016, such changes were, in accordance with rules adopted by the SEC, omitted from consideration in making this evaluation.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Apache were held constant throughout the life of the properties.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136" w:right="21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Apache.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Apache Corporation – Shell Offshore Venture</w:t>
      </w:r>
    </w:p>
    <w:p>
      <w:pPr>
        <w:spacing w:after="0"/>
        <w:rPr>
          <w:sz w:val="20"/>
          <w:szCs w:val="20"/>
          <w:color w:val="auto"/>
        </w:rPr>
      </w:pPr>
      <w:r>
        <w:rPr>
          <w:rFonts w:ascii="Arial" w:cs="Arial" w:eastAsia="Arial" w:hAnsi="Arial"/>
          <w:sz w:val="20"/>
          <w:szCs w:val="20"/>
          <w:color w:val="auto"/>
        </w:rPr>
        <w:t>January 25, 2017</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results of our third party study, presented in report form herein, were prepared for the exclusive use and sole benefit of Apache Corporation and may not be put to other use without our prior written consent for such use. The data and work papers used in the preparation of this report are available for examination by authorized parties in our offices. Please contact us if we can be of further service.</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/s/ Ali A. Porbandarwala</w:t>
      </w: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Ali A. Porbandarwala, P.E.</w:t>
      </w:r>
    </w:p>
    <w:p>
      <w:pPr>
        <w:ind w:left="4540"/>
        <w:spacing w:after="0"/>
        <w:rPr>
          <w:sz w:val="20"/>
          <w:szCs w:val="20"/>
          <w:color w:val="auto"/>
        </w:rPr>
      </w:pPr>
      <w:r>
        <w:rPr>
          <w:rFonts w:ascii="Arial" w:cs="Arial" w:eastAsia="Arial" w:hAnsi="Arial"/>
          <w:sz w:val="20"/>
          <w:szCs w:val="20"/>
          <w:color w:val="auto"/>
        </w:rPr>
        <w:t>TBPE License No. 107652</w:t>
      </w:r>
    </w:p>
    <w:p>
      <w:pPr>
        <w:ind w:left="9080"/>
        <w:spacing w:after="0"/>
        <w:rPr>
          <w:sz w:val="20"/>
          <w:szCs w:val="20"/>
          <w:color w:val="auto"/>
        </w:rPr>
      </w:pPr>
      <w:r>
        <w:rPr>
          <w:rFonts w:ascii="Arial" w:cs="Arial" w:eastAsia="Arial" w:hAnsi="Arial"/>
          <w:sz w:val="20"/>
          <w:szCs w:val="20"/>
          <w:color w:val="auto"/>
        </w:rPr>
        <w:t>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AAP (FWZ)/pl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53"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Ali A. Porbandarwala was the primary technical person responsible for overseeing the estimate of the reserves, future production and income prepared by Ryder Scott presented herein.</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Porbandarwala, an employee of Ryder Scott Company, L.P. (Ryder Scott) since 2008, is a Vice President responsible for coordinating and supervising staff and consulting engineers of the company in ongoing reservoir evaluation studies worldwide. Before joining Ryder Scott, Mr. Porbandarwala served in a number of engineering positions with ExxonMobil Corporation. For more information regarding Mr. Porbandarwala’s geographic and job specific experience, please refer to the Ryder Scott Company website at </w:t>
      </w:r>
      <w:r>
        <w:rPr>
          <w:rFonts w:ascii="Arial" w:cs="Arial" w:eastAsia="Arial" w:hAnsi="Arial"/>
          <w:sz w:val="20"/>
          <w:szCs w:val="20"/>
          <w:u w:val="single" w:color="auto"/>
          <w:color w:val="0021FF"/>
        </w:rPr>
        <w:t>www.ryderscott.com/Company/Employees</w:t>
      </w:r>
      <w:r>
        <w:rPr>
          <w:rFonts w:ascii="Arial" w:cs="Arial" w:eastAsia="Arial" w:hAnsi="Arial"/>
          <w:sz w:val="20"/>
          <w:szCs w:val="20"/>
          <w:color w:val="auto"/>
        </w:rPr>
        <w:t>.</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Mr. Porbandarwala earned a Bachelor of Science degree in Chemical Engineering from The University of Kansas in 2001 and a Masters in Business Administration from The University of Texas at Austin in 2007 and is a licensed Professional Engineer in the State of Texas. He is also a member of the Society of Petroleum Engineers and the Society of Petroleum Evaluation Engineers.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Porbandarwala fulfills. As part of his 2016 continuing education hours, Mr. Porbandarwala attended 20 hours of formalized training including the 2016 RSC Reserves Conference and/or various professional society presentations specifically relating to the definitions and disclosure guidelines contained in the United States Securities and Exchange Commission Title 17, Code of Federal Regulations, Modernization of Oil and Gas Reporting, Final Rule released January 14, 2009 in the Federal Register.</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7 years of practical experience in the estimation and evaluation of petroleum reserves, Mr. Porbandarwala has attained the professional qualifications as a Reserves Estimator and Reserves Auditor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44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29" w:lineRule="exact"/>
        <w:rPr>
          <w:rFonts w:ascii="Arial" w:cs="Arial" w:eastAsia="Arial" w:hAnsi="Arial"/>
          <w:sz w:val="20"/>
          <w:szCs w:val="20"/>
          <w:i w:val="1"/>
          <w:iCs w:val="1"/>
          <w:color w:val="auto"/>
        </w:rPr>
      </w:pPr>
    </w:p>
    <w:p>
      <w:pPr>
        <w:ind w:left="1300" w:firstLine="5"/>
        <w:spacing w:after="0" w:line="267" w:lineRule="auto"/>
        <w:tabs>
          <w:tab w:leader="none" w:pos="1628" w:val="left"/>
        </w:tabs>
        <w:numPr>
          <w:ilvl w:val="1"/>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77" w:lineRule="exact"/>
        <w:rPr>
          <w:rFonts w:ascii="Arial" w:cs="Arial" w:eastAsia="Arial" w:hAnsi="Arial"/>
          <w:sz w:val="20"/>
          <w:szCs w:val="20"/>
          <w:i w:val="1"/>
          <w:iCs w:val="1"/>
          <w:color w:val="auto"/>
        </w:rPr>
      </w:pPr>
    </w:p>
    <w:p>
      <w:pPr>
        <w:jc w:val="both"/>
        <w:ind w:left="660" w:hanging="4"/>
        <w:spacing w:after="0" w:line="253" w:lineRule="auto"/>
        <w:tabs>
          <w:tab w:leader="none" w:pos="943"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PROVED RESERVES (SEC DEFINITIONS) CONTINUED</w:t>
      </w:r>
    </w:p>
    <w:p>
      <w:pPr>
        <w:spacing w:after="0" w:line="233" w:lineRule="exact"/>
        <w:rPr>
          <w:sz w:val="20"/>
          <w:szCs w:val="20"/>
          <w:color w:val="auto"/>
        </w:rPr>
      </w:pPr>
    </w:p>
    <w:p>
      <w:pPr>
        <w:jc w:val="both"/>
        <w:ind w:left="660" w:hanging="4"/>
        <w:spacing w:after="0" w:line="249" w:lineRule="auto"/>
        <w:tabs>
          <w:tab w:leader="none" w:pos="1005" w:val="left"/>
        </w:tabs>
        <w:numPr>
          <w:ilvl w:val="0"/>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21"/>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21"/>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PROBABLE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§210.4-10(a)(18) defines probable oil and gas reserves as follows:</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b w:val="1"/>
          <w:bCs w:val="1"/>
          <w:i w:val="1"/>
          <w:iCs w:val="1"/>
          <w:color w:val="auto"/>
        </w:rPr>
        <w:t xml:space="preserve">Probable reserves. </w:t>
      </w:r>
      <w:r>
        <w:rPr>
          <w:rFonts w:ascii="Arial" w:cs="Arial" w:eastAsia="Arial" w:hAnsi="Arial"/>
          <w:sz w:val="20"/>
          <w:szCs w:val="20"/>
          <w:i w:val="1"/>
          <w:iCs w:val="1"/>
          <w:color w:val="auto"/>
        </w:rPr>
        <w:t>Probable reserves are those additional reserves that are less certain to be recovered than proved reserves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but which, together with proved reserves, are as likely as not to be recovered.</w:t>
      </w:r>
    </w:p>
    <w:p>
      <w:pPr>
        <w:spacing w:after="0" w:line="171" w:lineRule="exact"/>
        <w:rPr>
          <w:sz w:val="20"/>
          <w:szCs w:val="20"/>
          <w:color w:val="auto"/>
        </w:rPr>
      </w:pPr>
    </w:p>
    <w:p>
      <w:pPr>
        <w:jc w:val="both"/>
        <w:ind w:left="660" w:hanging="4"/>
        <w:spacing w:after="0" w:line="253" w:lineRule="auto"/>
        <w:tabs>
          <w:tab w:leader="none" w:pos="910" w:val="left"/>
        </w:tabs>
        <w:numPr>
          <w:ilvl w:val="0"/>
          <w:numId w:val="22"/>
        </w:numPr>
        <w:rPr>
          <w:rFonts w:ascii="Arial" w:cs="Arial" w:eastAsia="Arial" w:hAnsi="Arial"/>
          <w:sz w:val="20"/>
          <w:szCs w:val="20"/>
          <w:i w:val="1"/>
          <w:iCs w:val="1"/>
          <w:color w:val="auto"/>
        </w:rPr>
      </w:pPr>
      <w:r>
        <w:rPr>
          <w:rFonts w:ascii="Arial" w:cs="Arial" w:eastAsia="Arial" w:hAnsi="Arial"/>
          <w:sz w:val="20"/>
          <w:szCs w:val="20"/>
          <w:i w:val="1"/>
          <w:iCs w:val="1"/>
          <w:color w:val="auto"/>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91" w:lineRule="exact"/>
        <w:rPr>
          <w:rFonts w:ascii="Arial" w:cs="Arial" w:eastAsia="Arial" w:hAnsi="Arial"/>
          <w:sz w:val="20"/>
          <w:szCs w:val="20"/>
          <w:i w:val="1"/>
          <w:iCs w:val="1"/>
          <w:color w:val="auto"/>
        </w:rPr>
      </w:pPr>
    </w:p>
    <w:p>
      <w:pPr>
        <w:jc w:val="both"/>
        <w:ind w:left="660" w:hanging="4"/>
        <w:spacing w:after="0" w:line="246" w:lineRule="auto"/>
        <w:tabs>
          <w:tab w:leader="none" w:pos="987" w:val="left"/>
        </w:tabs>
        <w:numPr>
          <w:ilvl w:val="0"/>
          <w:numId w:val="22"/>
        </w:numPr>
        <w:rPr>
          <w:rFonts w:ascii="Arial" w:cs="Arial" w:eastAsia="Arial" w:hAnsi="Arial"/>
          <w:sz w:val="20"/>
          <w:szCs w:val="20"/>
          <w:i w:val="1"/>
          <w:iCs w:val="1"/>
          <w:color w:val="auto"/>
        </w:rPr>
      </w:pPr>
      <w:r>
        <w:rPr>
          <w:rFonts w:ascii="Arial" w:cs="Arial" w:eastAsia="Arial" w:hAnsi="Arial"/>
          <w:sz w:val="20"/>
          <w:szCs w:val="20"/>
          <w:i w:val="1"/>
          <w:iCs w:val="1"/>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w:t>
      </w:r>
    </w:p>
    <w:p>
      <w:pPr>
        <w:spacing w:after="0" w:line="1" w:lineRule="exact"/>
        <w:rPr>
          <w:rFonts w:ascii="Arial" w:cs="Arial" w:eastAsia="Arial" w:hAnsi="Arial"/>
          <w:sz w:val="20"/>
          <w:szCs w:val="20"/>
          <w:i w:val="1"/>
          <w:iCs w:val="1"/>
          <w:color w:val="auto"/>
        </w:rPr>
      </w:pPr>
    </w:p>
    <w:p>
      <w:pPr>
        <w:ind w:left="660"/>
        <w:spacing w:after="0" w:line="247" w:lineRule="auto"/>
        <w:rPr>
          <w:rFonts w:ascii="Arial" w:cs="Arial" w:eastAsia="Arial" w:hAnsi="Arial"/>
          <w:sz w:val="20"/>
          <w:szCs w:val="20"/>
          <w:i w:val="1"/>
          <w:iCs w:val="1"/>
          <w:color w:val="auto"/>
        </w:rPr>
      </w:pPr>
      <w:r>
        <w:rPr>
          <w:rFonts w:ascii="Arial" w:cs="Arial" w:eastAsia="Arial" w:hAnsi="Arial"/>
          <w:sz w:val="20"/>
          <w:szCs w:val="20"/>
          <w:i w:val="1"/>
          <w:iCs w:val="1"/>
          <w:color w:val="auto"/>
        </w:rPr>
        <w:t>Probable reserves may be assigned to areas that are structurally higher than the proved area if these areas are in communication with the proved reservoir.</w:t>
      </w:r>
    </w:p>
    <w:p>
      <w:pPr>
        <w:spacing w:after="0" w:line="195" w:lineRule="exact"/>
        <w:rPr>
          <w:rFonts w:ascii="Arial" w:cs="Arial" w:eastAsia="Arial" w:hAnsi="Arial"/>
          <w:sz w:val="20"/>
          <w:szCs w:val="20"/>
          <w:i w:val="1"/>
          <w:iCs w:val="1"/>
          <w:color w:val="auto"/>
        </w:rPr>
      </w:pPr>
    </w:p>
    <w:p>
      <w:pPr>
        <w:ind w:left="660" w:hanging="4"/>
        <w:spacing w:after="0" w:line="267" w:lineRule="auto"/>
        <w:tabs>
          <w:tab w:leader="none" w:pos="1036" w:val="left"/>
        </w:tabs>
        <w:numPr>
          <w:ilvl w:val="0"/>
          <w:numId w:val="22"/>
        </w:numPr>
        <w:rPr>
          <w:rFonts w:ascii="Arial" w:cs="Arial" w:eastAsia="Arial" w:hAnsi="Arial"/>
          <w:sz w:val="20"/>
          <w:szCs w:val="20"/>
          <w:i w:val="1"/>
          <w:iCs w:val="1"/>
          <w:color w:val="auto"/>
        </w:rPr>
      </w:pPr>
      <w:r>
        <w:rPr>
          <w:rFonts w:ascii="Arial" w:cs="Arial" w:eastAsia="Arial" w:hAnsi="Arial"/>
          <w:sz w:val="20"/>
          <w:szCs w:val="20"/>
          <w:i w:val="1"/>
          <w:iCs w:val="1"/>
          <w:color w:val="auto"/>
        </w:rPr>
        <w:t>Probable reserves estimates also include potential incremental quantities associated with a greater percentage recovery of the hydrocarbons in place than assumed for proved reserves.</w:t>
      </w:r>
    </w:p>
    <w:p>
      <w:pPr>
        <w:spacing w:after="0" w:line="177" w:lineRule="exact"/>
        <w:rPr>
          <w:rFonts w:ascii="Arial" w:cs="Arial" w:eastAsia="Arial" w:hAnsi="Arial"/>
          <w:sz w:val="20"/>
          <w:szCs w:val="20"/>
          <w:i w:val="1"/>
          <w:iCs w:val="1"/>
          <w:color w:val="auto"/>
        </w:rPr>
      </w:pPr>
    </w:p>
    <w:p>
      <w:pPr>
        <w:ind w:left="980" w:hanging="324"/>
        <w:spacing w:after="0"/>
        <w:tabs>
          <w:tab w:leader="none" w:pos="980" w:val="left"/>
        </w:tabs>
        <w:numPr>
          <w:ilvl w:val="0"/>
          <w:numId w:val="22"/>
        </w:numPr>
        <w:rPr>
          <w:rFonts w:ascii="Arial" w:cs="Arial" w:eastAsia="Arial" w:hAnsi="Arial"/>
          <w:sz w:val="20"/>
          <w:szCs w:val="20"/>
          <w:i w:val="1"/>
          <w:iCs w:val="1"/>
          <w:color w:val="auto"/>
        </w:rPr>
      </w:pPr>
      <w:r>
        <w:rPr>
          <w:rFonts w:ascii="Arial" w:cs="Arial" w:eastAsia="Arial" w:hAnsi="Arial"/>
          <w:sz w:val="20"/>
          <w:szCs w:val="20"/>
          <w:i w:val="1"/>
          <w:iCs w:val="1"/>
          <w:color w:val="auto"/>
        </w:rPr>
        <w:t>See also guidelines in paragraphs (a)(17)(iv) and (a)(17)(vi) of this section.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POSSIBLE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§210.4-10(a)(17) defines possible oil and gas reserves as follows: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Possible reserves. </w:t>
      </w:r>
      <w:r>
        <w:rPr>
          <w:rFonts w:ascii="Arial" w:cs="Arial" w:eastAsia="Arial" w:hAnsi="Arial"/>
          <w:sz w:val="20"/>
          <w:szCs w:val="20"/>
          <w:i w:val="1"/>
          <w:iCs w:val="1"/>
          <w:color w:val="auto"/>
        </w:rPr>
        <w:t>Possible reserves are those additional reserves that are less certain to be recovered than probable reserves.</w:t>
      </w:r>
    </w:p>
    <w:p>
      <w:pPr>
        <w:spacing w:after="0" w:line="233" w:lineRule="exact"/>
        <w:rPr>
          <w:sz w:val="20"/>
          <w:szCs w:val="20"/>
          <w:color w:val="auto"/>
        </w:rPr>
      </w:pPr>
    </w:p>
    <w:p>
      <w:pPr>
        <w:jc w:val="both"/>
        <w:ind w:left="660" w:hanging="4"/>
        <w:spacing w:after="0" w:line="249" w:lineRule="auto"/>
        <w:tabs>
          <w:tab w:leader="none" w:pos="903"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93" w:lineRule="exact"/>
        <w:rPr>
          <w:rFonts w:ascii="Arial" w:cs="Arial" w:eastAsia="Arial" w:hAnsi="Arial"/>
          <w:sz w:val="20"/>
          <w:szCs w:val="20"/>
          <w:i w:val="1"/>
          <w:iCs w:val="1"/>
          <w:color w:val="auto"/>
        </w:rPr>
      </w:pPr>
    </w:p>
    <w:p>
      <w:pPr>
        <w:jc w:val="both"/>
        <w:ind w:left="660" w:hanging="4"/>
        <w:spacing w:after="0" w:line="249" w:lineRule="auto"/>
        <w:tabs>
          <w:tab w:leader="none" w:pos="972"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93" w:lineRule="exact"/>
        <w:rPr>
          <w:rFonts w:ascii="Arial" w:cs="Arial" w:eastAsia="Arial" w:hAnsi="Arial"/>
          <w:sz w:val="20"/>
          <w:szCs w:val="20"/>
          <w:i w:val="1"/>
          <w:iCs w:val="1"/>
          <w:color w:val="auto"/>
        </w:rPr>
      </w:pPr>
    </w:p>
    <w:p>
      <w:pPr>
        <w:ind w:left="660" w:hanging="4"/>
        <w:spacing w:after="0" w:line="267" w:lineRule="auto"/>
        <w:tabs>
          <w:tab w:leader="none" w:pos="1060"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Possible reserves also include incremental quantities associated with a greater percentage recovery of the hydrocarbons in place than the recovery quantities assumed for probable reserves.</w:t>
      </w:r>
    </w:p>
    <w:p>
      <w:pPr>
        <w:spacing w:after="0" w:line="177" w:lineRule="exact"/>
        <w:rPr>
          <w:rFonts w:ascii="Arial" w:cs="Arial" w:eastAsia="Arial" w:hAnsi="Arial"/>
          <w:sz w:val="20"/>
          <w:szCs w:val="20"/>
          <w:i w:val="1"/>
          <w:iCs w:val="1"/>
          <w:color w:val="auto"/>
        </w:rPr>
      </w:pPr>
    </w:p>
    <w:p>
      <w:pPr>
        <w:jc w:val="both"/>
        <w:ind w:left="660" w:hanging="4"/>
        <w:spacing w:after="0" w:line="253" w:lineRule="auto"/>
        <w:tabs>
          <w:tab w:leader="none" w:pos="1008"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91" w:lineRule="exact"/>
        <w:rPr>
          <w:rFonts w:ascii="Arial" w:cs="Arial" w:eastAsia="Arial" w:hAnsi="Arial"/>
          <w:sz w:val="20"/>
          <w:szCs w:val="20"/>
          <w:i w:val="1"/>
          <w:iCs w:val="1"/>
          <w:color w:val="auto"/>
        </w:rPr>
      </w:pPr>
    </w:p>
    <w:p>
      <w:pPr>
        <w:jc w:val="both"/>
        <w:ind w:left="660" w:hanging="4"/>
        <w:spacing w:after="0" w:line="245" w:lineRule="auto"/>
        <w:tabs>
          <w:tab w:leader="none" w:pos="976"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98" w:lineRule="exact"/>
        <w:rPr>
          <w:rFonts w:ascii="Arial" w:cs="Arial" w:eastAsia="Arial" w:hAnsi="Arial"/>
          <w:sz w:val="20"/>
          <w:szCs w:val="20"/>
          <w:i w:val="1"/>
          <w:iCs w:val="1"/>
          <w:color w:val="auto"/>
        </w:rPr>
      </w:pPr>
    </w:p>
    <w:p>
      <w:pPr>
        <w:jc w:val="both"/>
        <w:ind w:left="660" w:hanging="4"/>
        <w:spacing w:after="0" w:line="246" w:lineRule="auto"/>
        <w:tabs>
          <w:tab w:leader="none" w:pos="1024"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RESOURCES MANAGEMENT SYSTEM (SPE-PRMS)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Sponsored and Approved by: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SOCIETY OF PETROLEUM ENGINEERS (SPE)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WORLD PETROLEUM COUNCIL (WPC)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AMERICAN ASSOCIATION OF PETROLEUM GEOLOGISTS (AAPG)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SOCIETY OF PETROLEUM EVALUATION ENGINEERS (SPEE)</w:t>
      </w:r>
    </w:p>
    <w:p>
      <w:pPr>
        <w:spacing w:after="0" w:line="200" w:lineRule="exact"/>
        <w:rPr>
          <w:sz w:val="20"/>
          <w:szCs w:val="20"/>
          <w:color w:val="auto"/>
        </w:rPr>
      </w:pPr>
    </w:p>
    <w:p>
      <w:pPr>
        <w:spacing w:after="0" w:line="3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24"/>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24"/>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to be recovered from completion intervals that are open and producing at the time of the estimate.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355" w:right="239" w:bottom="1440" w:gutter="0" w:footer="0" w:header="0"/>
        </w:sectPr>
      </w:pPr>
    </w:p>
    <w:bookmarkStart w:id="64" w:name="page65"/>
    <w:bookmarkEnd w:id="64"/>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which are open at the time of the estimate, but which have not started producing;</w:t>
      </w:r>
    </w:p>
    <w:p>
      <w:pPr>
        <w:ind w:left="1300" w:hanging="320"/>
        <w:spacing w:after="0"/>
        <w:tabs>
          <w:tab w:leader="none" w:pos="130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which will require additional completion work or future re-completion prior to start of production.</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ind w:left="1660" w:right="80" w:hanging="355"/>
        <w:spacing w:after="0" w:line="253" w:lineRule="auto"/>
        <w:tabs>
          <w:tab w:leader="none" w:pos="166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rFonts w:ascii="Arial" w:cs="Arial" w:eastAsia="Arial" w:hAnsi="Arial"/>
          <w:sz w:val="20"/>
          <w:szCs w:val="20"/>
          <w:i w:val="1"/>
          <w:iCs w:val="1"/>
          <w:color w:val="auto"/>
        </w:rPr>
      </w:pPr>
    </w:p>
    <w:p>
      <w:pPr>
        <w:jc w:val="both"/>
        <w:ind w:left="1300" w:firstLine="5"/>
        <w:spacing w:after="0" w:line="253" w:lineRule="auto"/>
        <w:tabs>
          <w:tab w:leader="none" w:pos="161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1"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5"/>
    </w:lvl>
  </w:abstractNum>
  <w:abstractNum w:abstractNumId="3">
    <w:nsid w:val="1BEFD79F"/>
    <w:multiLevelType w:val="hybridMultilevel"/>
    <w:lvl w:ilvl="0">
      <w:lvlJc w:val="left"/>
      <w:lvlText w:val="%1."/>
      <w:numFmt w:val="decimal"/>
      <w:start w:val="12"/>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Roman"/>
      <w:start w:val="5"/>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Letter"/>
      <w:start w:val="1"/>
    </w:lvl>
    <w:lvl w:ilvl="1">
      <w:lvlJc w:val="left"/>
      <w:lvlText w:val="(%2)"/>
      <w:numFmt w:val="decimal"/>
      <w:start w:val="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abstractNum>
  <w:abstractNum w:abstractNumId="19">
    <w:nsid w:val="2D1D5AE9"/>
    <w:multiLevelType w:val="hybridMultilevel"/>
    <w:lvl w:ilvl="0">
      <w:lvlJc w:val="left"/>
      <w:lvlText w:val="(%1)"/>
      <w:numFmt w:val="lowerRoman"/>
      <w:start w:val="1"/>
    </w:lvl>
    <w:lvl w:ilvl="1">
      <w:lvlJc w:val="left"/>
      <w:lvlText w:val="(%2)"/>
      <w:numFmt w:val="upperLetter"/>
      <w:start w:val="1"/>
    </w:lvl>
  </w:abstractNum>
  <w:abstractNum w:abstractNumId="20">
    <w:nsid w:val="6763845E"/>
    <w:multiLevelType w:val="hybridMultilevel"/>
    <w:lvl w:ilvl="0">
      <w:lvlJc w:val="left"/>
      <w:lvlText w:val="(%1)"/>
      <w:numFmt w:val="lowerRoman"/>
      <w:start w:val="3"/>
    </w:lvl>
    <w:lvl w:ilvl="1">
      <w:lvlJc w:val="left"/>
      <w:lvlText w:val="(%2)"/>
      <w:numFmt w:val="upperLetter"/>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2019-12-29T08:04:52Z</dcterms:created>
  <dcterms:modified xsi:type="dcterms:W3CDTF">2019-12-29T08:04:52Z</dcterms:modified>
</cp:coreProperties>
</file>