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APA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$0.625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Hotchkis and Wiley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29,771,887.00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31,695,303.00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31,695,303.00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Windsor II Fund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17,561,357.00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17,561,357.00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17,561,357.00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APA CORPORATION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W. Sam Houston Pkwy. S., Suite 200, Houston, Texas 77042-3643</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Hotchkis and Wiley Capital Management, LLC Vanguard Windsor II Fund</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Hotchkis and Wiley Capital Management, LLC 601 S. Figueroa Street, 39th Fl Los Angeles, CA 90017 Vanguard Windsor II Fund Post Office Box 2600 Valley Forge, PA 19482</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Hotchkis and Wiley Capital Management, LLC: Delaware Vanguard Windsor II Fund: Delaware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$0.625 par value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Hotchkis and Wiley Capital Management, LLC: 31,695,303 Vanguard Windsor II Fund: 17,561,357</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Hotchkis and Wiley Capital Management, LLC: 8.97% Vanguard Windsor II Fund: 4.97%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Hotchkis and Wiley Capital Management, LLC: 29,771,887 Vanguard Windsor II Fund: 17,561,357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Hotchkis and Wiley Capital Management, LLC: 0 Vanguard Windsor II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Hotchkis and Wiley Capital Management, LLC: 31,695,303 Vanguard Windsor II Fund: 17,561,357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Hotchkis and Wiley Capital Management, LLC: 0 Vanguard Windsor II Fund: 0 The shares of the Issuer's Common Stock (the "Common Shares") are owned by certain investment vehicles and/or accounts managed or sub-advised by Hotchkis and Wiley Capital Management, LLC ("HWCM"), including Vanguard Windsor II Fund. Certain HWCM clients have retained the power to vote the Common Shares that they directly own. Accordingly, HWCM has the power to dispose of more Common Shares than it can vote. HWCM disclaims beneficial ownership of the reported shares, except to the extent of its pecuniary interest in such shares, if any. Percentage based on 353,470,227 shares of Common Stock outstanding as of April 30, 2026, as reported by the Issuer in the Form 10-Q.</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Hotchkis and Wiley Capital Management, LLC: The securities as to which this Schedule is filed by HWCM, in its capacity as investment adviser, are owned of record by clients of HWCM. Those clients have the right to receive, or the power to direct the receipt of, dividends from, or the proceeds from the sale of, such securities. No such client is known to have such right or power with respect to more than five percent of this class of securities. Vanguard Windsor II Fund: Not Applicable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Hotchkis and Wiley Capital Management, LLC</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Tina H. Kodama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Tina H. Kodama |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Vanguard Windsor II Fund</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Tina H. Kodama</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Tina H. Kodama | Authorized Person of Sub-Advisor (Hotchkis &amp; Wiley Capital Management, LLC), Chief Compliance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 August 12, 2026 Hotchkis and Wiley Capital Management, LLC By: /s/ Tina Kodama Name: Tina Kodama Title: Chief Compliance Officer Vanguard Windsor II Fund By: Hotchkis &amp; Wiley Capital Management, LLC (Sub-Advisor) Its: Authorized Person of Sub-Advisor By: /s/ Tina Kodama Name: Tina Kodama Title: Chief Compliance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1445</Words>
  <Characters>7520</Characters>
  <CharactersWithSpaces>8934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