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filed with the Securities and Exchange Commission on June 1, 2026</w:t>
      </w:r>
    </w:p>
    <w:tbl>
      <w:tblPr>
        <w:tblW w:w="2250" w:type="dxa"/>
        <w:jc w:val="left"/>
        <w:tblInd w:w="0" w:type="dxa"/>
        <w:tblLayout w:type="fixed"/>
        <w:tblCellMar>
          <w:top w:w="28" w:type="dxa"/>
          <w:left w:w="28" w:type="dxa"/>
          <w:bottom w:w="28" w:type="dxa"/>
          <w:right w:w="28" w:type="dxa"/>
        </w:tblCellMar>
      </w:tblPr>
      <w:tblGrid>
        <w:gridCol w:w="719"/>
        <w:gridCol w:w="632"/>
        <w:gridCol w:w="899"/>
      </w:tblGrid>
      <w:tr>
        <w:trPr/>
        <w:tc>
          <w:tcPr>
            <w:tcW w:w="71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bottom w:val="double" w:sz="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Registration No. 333-          </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S-8</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REGISTRATION STATEMENT</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UNDER</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THE SECURITIES ACT OF 1933</w:t>
      </w:r>
    </w:p>
    <w:p>
      <w:pPr>
        <w:pStyle w:val="TextBody"/>
        <w:bidi w:val="0"/>
        <w:spacing w:lineRule="auto" w:line="288" w:before="0" w:after="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APA CORPORATION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center"/>
        <w:rPr>
          <w:color w:val="000000"/>
        </w:rPr>
      </w:pPr>
      <w:r>
        <w:rPr>
          <w:color w:val="000000"/>
        </w:rPr>
        <w:t>—————————————————</w:t>
      </w:r>
    </w:p>
    <w:tbl>
      <w:tblPr>
        <w:tblW w:w="3807" w:type="dxa"/>
        <w:jc w:val="center"/>
        <w:tblInd w:w="0" w:type="dxa"/>
        <w:tblLayout w:type="fixed"/>
        <w:tblCellMar>
          <w:top w:w="28" w:type="dxa"/>
          <w:left w:w="28" w:type="dxa"/>
          <w:bottom w:w="28" w:type="dxa"/>
          <w:right w:w="28" w:type="dxa"/>
        </w:tblCellMar>
      </w:tblPr>
      <w:tblGrid>
        <w:gridCol w:w="833"/>
        <w:gridCol w:w="734"/>
        <w:gridCol w:w="740"/>
        <w:gridCol w:w="437"/>
        <w:gridCol w:w="437"/>
        <w:gridCol w:w="626"/>
      </w:tblGrid>
      <w:tr>
        <w:trPr/>
        <w:tc>
          <w:tcPr>
            <w:tcW w:w="83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2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86-1430562</w:t>
            </w:r>
          </w:p>
        </w:tc>
      </w:tr>
      <w:tr>
        <w:trPr/>
        <w:tc>
          <w:tcPr>
            <w:tcW w:w="2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r>
        <w:trPr/>
        <w:tc>
          <w:tcPr>
            <w:tcW w:w="3807" w:type="dxa"/>
            <w:gridSpan w:val="6"/>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2000 W. Sam Houston Pkwy. S., Suite 200</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Houston, Texas 77042</w:t>
            </w:r>
          </w:p>
        </w:tc>
      </w:tr>
      <w:tr>
        <w:trPr/>
        <w:tc>
          <w:tcPr>
            <w:tcW w:w="38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tc>
      </w:tr>
    </w:tbl>
    <w:p>
      <w:pPr>
        <w:pStyle w:val="TextBody"/>
        <w:bidi w:val="0"/>
        <w:spacing w:lineRule="auto" w:line="288" w:before="0" w:after="0"/>
        <w:jc w:val="center"/>
        <w:rPr>
          <w:color w:val="000000"/>
        </w:rPr>
      </w:pPr>
      <w:r>
        <w:rPr>
          <w:color w:val="000000"/>
        </w:rPr>
        <w:t>—————————————————</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APA Corporation 2016 Omnibus Compensation Plan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(Full title of the plan)</w:t>
      </w:r>
    </w:p>
    <w:p>
      <w:pPr>
        <w:pStyle w:val="TextBody"/>
        <w:bidi w:val="0"/>
        <w:spacing w:lineRule="auto" w:line="288" w:before="0" w:after="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Kimberly O. Warnica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Executive Vice President, Chief Legal Officer, and Corporate Secretary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APA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2000 W. Sam Houston Pkwy. S., Suite 200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Houston, Texas 77042</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(Name and address of agent for service)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(713) 296-6000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(Telephone number, including area code, of agent for service)</w:t>
      </w:r>
    </w:p>
    <w:p>
      <w:pPr>
        <w:pStyle w:val="TextBody"/>
        <w:bidi w:val="0"/>
        <w:spacing w:lineRule="auto" w:line="288" w:before="0" w:after="0"/>
        <w:jc w:val="center"/>
        <w:rPr>
          <w:color w:val="000000"/>
        </w:rPr>
      </w:pP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r>
    </w:p>
    <w:tbl>
      <w:tblPr>
        <w:tblW w:w="5088"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89"/>
        <w:gridCol w:w="689"/>
        <w:gridCol w:w="692"/>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6"/>
        <w:gridCol w:w="2871"/>
        <w:gridCol w:w="4068"/>
      </w:tblGrid>
      <w:tr>
        <w:trPr/>
        <w:tc>
          <w:tcPr>
            <w:tcW w:w="3266"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double" w:sz="6"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left"/>
        <w:rPr/>
      </w:pPr>
      <w:r>
        <w:rPr/>
      </w:r>
    </w:p>
    <w:p>
      <w:pPr>
        <w:pStyle w:val="TextBody"/>
        <w:bidi w:val="0"/>
        <w:spacing w:before="240" w:after="24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40"/>
                        <w:jc w:val="left"/>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18"/>
        </w:rPr>
      </w:pPr>
      <w:r>
        <w:rPr>
          <w:rFonts w:ascii="Times New Roman;serif" w:hAnsi="Times New Roman;serif"/>
          <w:b/>
          <w:color w:val="000000"/>
          <w:sz w:val="18"/>
        </w:rPr>
        <w:t>EXPLANATORY NOTE</w:t>
      </w:r>
    </w:p>
    <w:p>
      <w:pPr>
        <w:pStyle w:val="TextBody"/>
        <w:bidi w:val="0"/>
        <w:spacing w:lineRule="auto" w:line="288" w:before="240" w:after="240"/>
        <w:jc w:val="center"/>
        <w:rPr>
          <w:rFonts w:ascii="Times New Roman;serif" w:hAnsi="Times New Roman;serif"/>
          <w:b/>
          <w:color w:val="000000"/>
          <w:sz w:val="18"/>
        </w:rPr>
      </w:pPr>
      <w:r>
        <w:rPr>
          <w:rFonts w:ascii="Times New Roman;serif" w:hAnsi="Times New Roman;serif"/>
          <w:b/>
          <w:color w:val="000000"/>
          <w:sz w:val="18"/>
        </w:rPr>
        <w:t>REGISTRATION OF ADDITIONAL SHARES PURSUANT TO GENERAL INSTRUCTION E</w:t>
      </w:r>
    </w:p>
    <w:p>
      <w:pPr>
        <w:pStyle w:val="TextBody"/>
        <w:bidi w:val="0"/>
        <w:spacing w:lineRule="auto" w:line="288" w:before="240" w:after="240"/>
        <w:jc w:val="left"/>
        <w:rPr/>
      </w:pPr>
      <w:r>
        <w:rPr>
          <w:rFonts w:ascii="Times New Roman;serif" w:hAnsi="Times New Roman;serif"/>
          <w:b w:val="false"/>
          <w:color w:val="000000"/>
          <w:sz w:val="18"/>
        </w:rPr>
        <w:t>Pursuant to General Instruction E to Form S-8, APA Corporation, a Delaware corporation (the “</w:t>
      </w:r>
      <w:r>
        <w:rPr>
          <w:rFonts w:ascii="Times New Roman;serif" w:hAnsi="Times New Roman;serif"/>
          <w:b/>
          <w:color w:val="000000"/>
          <w:sz w:val="18"/>
        </w:rPr>
        <w:t>Registrant</w:t>
      </w:r>
      <w:r>
        <w:rPr>
          <w:color w:val="000000"/>
        </w:rPr>
        <w:t>”</w:t>
      </w:r>
      <w:r>
        <w:rPr>
          <w:rFonts w:ascii="Times New Roman;serif" w:hAnsi="Times New Roman;serif"/>
          <w:b w:val="false"/>
          <w:color w:val="000000"/>
          <w:sz w:val="18"/>
        </w:rPr>
        <w:t>), is filing this registration statement on Form S-8 (“</w:t>
      </w:r>
      <w:r>
        <w:rPr>
          <w:rFonts w:ascii="Times New Roman;serif" w:hAnsi="Times New Roman;serif"/>
          <w:b/>
          <w:color w:val="000000"/>
          <w:sz w:val="18"/>
        </w:rPr>
        <w:t>Registration Statement</w:t>
      </w:r>
      <w:r>
        <w:rPr>
          <w:color w:val="000000"/>
        </w:rPr>
        <w:t>”</w:t>
      </w:r>
      <w:r>
        <w:rPr>
          <w:rFonts w:ascii="Times New Roman;serif" w:hAnsi="Times New Roman;serif"/>
          <w:b w:val="false"/>
          <w:color w:val="000000"/>
          <w:sz w:val="18"/>
        </w:rPr>
        <w:t>) to register an additional 24,160,000 shares of common stock, par value $0.625 per share (“</w:t>
      </w:r>
      <w:r>
        <w:rPr>
          <w:rFonts w:ascii="Times New Roman;serif" w:hAnsi="Times New Roman;serif"/>
          <w:b/>
          <w:color w:val="000000"/>
          <w:sz w:val="18"/>
        </w:rPr>
        <w:t>Common Stock</w:t>
      </w:r>
      <w:r>
        <w:rPr>
          <w:color w:val="000000"/>
        </w:rPr>
        <w:t>”</w:t>
      </w:r>
      <w:r>
        <w:rPr>
          <w:rFonts w:ascii="Times New Roman;serif" w:hAnsi="Times New Roman;serif"/>
          <w:b w:val="false"/>
          <w:color w:val="000000"/>
          <w:sz w:val="18"/>
        </w:rPr>
        <w:t>), issuable under the APA Corporation 2016 Omnibus Compensation Plan (as amended, restated, supplemented, or otherwise modified, the “</w:t>
      </w:r>
      <w:r>
        <w:rPr>
          <w:rFonts w:ascii="Times New Roman;serif" w:hAnsi="Times New Roman;serif"/>
          <w:b/>
          <w:color w:val="000000"/>
          <w:sz w:val="18"/>
        </w:rPr>
        <w:t>Plan</w:t>
      </w:r>
      <w:r>
        <w:rPr>
          <w:color w:val="000000"/>
        </w:rPr>
        <w:t>”</w:t>
      </w:r>
      <w:r>
        <w:rPr>
          <w:rFonts w:ascii="Times New Roman;serif" w:hAnsi="Times New Roman;serif"/>
          <w:b w:val="false"/>
          <w:color w:val="000000"/>
          <w:sz w:val="18"/>
        </w:rPr>
        <w:t>). The Plan has also been amended to extend its expiration date to May 21, 2036.</w:t>
      </w:r>
    </w:p>
    <w:p>
      <w:pPr>
        <w:pStyle w:val="TextBody"/>
        <w:bidi w:val="0"/>
        <w:spacing w:lineRule="auto" w:line="288" w:before="240" w:after="240"/>
        <w:jc w:val="left"/>
        <w:rPr/>
      </w:pPr>
      <w:r>
        <w:rPr>
          <w:rFonts w:ascii="Times New Roman;serif" w:hAnsi="Times New Roman;serif"/>
          <w:b w:val="false"/>
          <w:color w:val="000000"/>
          <w:sz w:val="18"/>
        </w:rPr>
        <w:t>The information contained in the Registrant’s registration statement on Form S-8 filed with the Securities and Exchange Commission (“</w:t>
      </w:r>
      <w:r>
        <w:rPr>
          <w:rFonts w:ascii="Times New Roman;serif" w:hAnsi="Times New Roman;serif"/>
          <w:b/>
          <w:color w:val="000000"/>
          <w:sz w:val="18"/>
        </w:rPr>
        <w:t>SEC</w:t>
      </w:r>
      <w:r>
        <w:rPr>
          <w:color w:val="000000"/>
        </w:rPr>
        <w:t>”</w:t>
      </w:r>
      <w:r>
        <w:rPr>
          <w:rFonts w:ascii="Times New Roman;serif" w:hAnsi="Times New Roman;serif"/>
          <w:b w:val="false"/>
          <w:color w:val="000000"/>
          <w:sz w:val="18"/>
        </w:rPr>
        <w:t xml:space="preserve">) on March 2, 2021 (SEC File No. </w:t>
      </w:r>
      <w:hyperlink r:id="rId2">
        <w:r>
          <w:rPr>
            <w:rStyle w:val="InternetLink"/>
            <w:rFonts w:ascii="Times New Roman;serif" w:hAnsi="Times New Roman;serif"/>
            <w:b w:val="false"/>
            <w:color w:val="0000FF"/>
            <w:sz w:val="18"/>
            <w:u w:val="single"/>
          </w:rPr>
          <w:t>333-253754</w:t>
        </w:r>
      </w:hyperlink>
      <w:r>
        <w:rPr>
          <w:rFonts w:ascii="Times New Roman;serif" w:hAnsi="Times New Roman;serif"/>
          <w:b w:val="false"/>
          <w:color w:val="000000"/>
          <w:sz w:val="18"/>
        </w:rPr>
        <w:t>), together with all exhibits filed therewith or incorporated therein by reference, is hereby incorporated by reference and made a part hereof, and the shares of Common Stock registered hereunder are in addition to the shares of Common Stock registered on such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18"/>
        </w:rPr>
      </w:pPr>
      <w:r>
        <w:rPr>
          <w:rFonts w:ascii="Times New Roman;serif" w:hAnsi="Times New Roman;serif"/>
          <w:b/>
          <w:color w:val="000000"/>
          <w:sz w:val="18"/>
        </w:rPr>
        <w:t>Part I</w:t>
      </w:r>
    </w:p>
    <w:p>
      <w:pPr>
        <w:pStyle w:val="TextBody"/>
        <w:bidi w:val="0"/>
        <w:spacing w:lineRule="auto" w:line="288" w:before="240" w:after="240"/>
        <w:jc w:val="center"/>
        <w:rPr>
          <w:rFonts w:ascii="Times New Roman;serif" w:hAnsi="Times New Roman;serif"/>
          <w:b/>
          <w:color w:val="000000"/>
          <w:sz w:val="18"/>
        </w:rPr>
      </w:pPr>
      <w:r>
        <w:rPr>
          <w:rFonts w:ascii="Times New Roman;serif" w:hAnsi="Times New Roman;serif"/>
          <w:b/>
          <w:color w:val="000000"/>
          <w:sz w:val="18"/>
        </w:rPr>
        <w:t>INFORMATION REQUIRED IN THE SECTION 10(a) PROSPECTUS</w:t>
      </w:r>
    </w:p>
    <w:p>
      <w:pPr>
        <w:pStyle w:val="TextBody"/>
        <w:bidi w:val="0"/>
        <w:spacing w:lineRule="auto" w:line="288" w:before="240" w:after="240"/>
        <w:jc w:val="left"/>
        <w:rPr/>
      </w:pPr>
      <w:r>
        <w:rPr>
          <w:rFonts w:ascii="Times New Roman;serif" w:hAnsi="Times New Roman;serif"/>
          <w:b w:val="false"/>
          <w:color w:val="000000"/>
          <w:sz w:val="18"/>
        </w:rPr>
        <w:t>The documents containing the information specified in Items 1 and 2 of Part I of Form S-8 will be sent or given to participants in the Plan as specified by Rule 428(b)(1) under the Securities Act of 1933, as amended (the “</w:t>
      </w:r>
      <w:r>
        <w:rPr>
          <w:rFonts w:ascii="Times New Roman;serif" w:hAnsi="Times New Roman;serif"/>
          <w:b/>
          <w:color w:val="000000"/>
          <w:sz w:val="18"/>
        </w:rPr>
        <w:t>Securities Act</w:t>
      </w:r>
      <w:r>
        <w:rPr>
          <w:color w:val="000000"/>
        </w:rPr>
        <w:t>”</w:t>
      </w:r>
      <w:r>
        <w:rPr>
          <w:rFonts w:ascii="Times New Roman;serif" w:hAnsi="Times New Roman;serif"/>
          <w:b w:val="false"/>
          <w:color w:val="000000"/>
          <w:sz w:val="18"/>
        </w:rPr>
        <w:t>). In accordance with Rule 428 and the Note to Part I of Form S-8, such documents are not being filed with the SEC either as part of this Registration Statement or as prospectuses or prospectus supplements pursuant to Rule 424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18"/>
        </w:rPr>
      </w:pPr>
      <w:r>
        <w:rPr>
          <w:rFonts w:ascii="Times New Roman;serif" w:hAnsi="Times New Roman;serif"/>
          <w:b/>
          <w:color w:val="000000"/>
          <w:sz w:val="18"/>
        </w:rPr>
        <w:t>Part II</w:t>
      </w:r>
    </w:p>
    <w:p>
      <w:pPr>
        <w:pStyle w:val="TextBody"/>
        <w:bidi w:val="0"/>
        <w:spacing w:lineRule="auto" w:line="288" w:before="240" w:after="240"/>
        <w:jc w:val="center"/>
        <w:rPr>
          <w:rFonts w:ascii="Times New Roman;serif" w:hAnsi="Times New Roman;serif"/>
          <w:b/>
          <w:color w:val="000000"/>
          <w:sz w:val="18"/>
        </w:rPr>
      </w:pPr>
      <w:r>
        <w:rPr>
          <w:rFonts w:ascii="Times New Roman;serif" w:hAnsi="Times New Roman;serif"/>
          <w:b/>
          <w:color w:val="000000"/>
          <w:sz w:val="18"/>
        </w:rPr>
        <w:t>INFORMATION REQUIRED IN THE REGISTRATION STATEMENT</w:t>
      </w:r>
    </w:p>
    <w:p>
      <w:pPr>
        <w:pStyle w:val="TextBody"/>
        <w:bidi w:val="0"/>
        <w:spacing w:lineRule="auto" w:line="288" w:before="240" w:after="240"/>
        <w:jc w:val="left"/>
        <w:rPr>
          <w:rFonts w:ascii="Times New Roman;serif" w:hAnsi="Times New Roman;serif"/>
          <w:b/>
          <w:color w:val="000000"/>
          <w:sz w:val="18"/>
        </w:rPr>
      </w:pPr>
      <w:r>
        <w:rPr>
          <w:rFonts w:ascii="Times New Roman;serif" w:hAnsi="Times New Roman;serif"/>
          <w:b/>
          <w:color w:val="000000"/>
          <w:sz w:val="18"/>
        </w:rPr>
        <w:t>Item 3. Incorporation of Documents by Reference</w:t>
      </w:r>
    </w:p>
    <w:p>
      <w:pPr>
        <w:pStyle w:val="TextBody"/>
        <w:bidi w:val="0"/>
        <w:spacing w:lineRule="auto" w:line="288" w:before="240" w:after="240"/>
        <w:jc w:val="left"/>
        <w:rPr>
          <w:rFonts w:ascii="Times New Roman;serif" w:hAnsi="Times New Roman;serif"/>
          <w:b w:val="false"/>
          <w:color w:val="000000"/>
          <w:sz w:val="18"/>
        </w:rPr>
      </w:pPr>
      <w:r>
        <w:rPr>
          <w:rFonts w:ascii="Times New Roman;serif" w:hAnsi="Times New Roman;serif"/>
          <w:b w:val="false"/>
          <w:color w:val="000000"/>
          <w:sz w:val="18"/>
        </w:rPr>
        <w:t>The following documents filed with the SEC by the Registrant are incorporated by reference in this Registration Statement:</w:t>
      </w:r>
    </w:p>
    <w:p>
      <w:pPr>
        <w:pStyle w:val="TextBody"/>
        <w:bidi w:val="0"/>
        <w:spacing w:lineRule="auto" w:line="288" w:before="240" w:after="240"/>
        <w:ind w:left="0" w:right="0" w:hanging="360"/>
        <w:jc w:val="left"/>
        <w:rPr/>
      </w:pPr>
      <w:r>
        <w:rPr>
          <w:rFonts w:ascii="Times New Roman;serif" w:hAnsi="Times New Roman;serif"/>
          <w:b w:val="false"/>
          <w:color w:val="000000"/>
          <w:sz w:val="18"/>
        </w:rPr>
        <w:t xml:space="preserve">1.The Registrant’s Annual Report on </w:t>
      </w:r>
      <w:hyperlink r:id="rId3">
        <w:r>
          <w:rPr>
            <w:rStyle w:val="InternetLink"/>
            <w:rFonts w:ascii="Times New Roman;serif" w:hAnsi="Times New Roman;serif"/>
            <w:b w:val="false"/>
            <w:color w:val="0000FF"/>
            <w:sz w:val="18"/>
            <w:u w:val="single"/>
          </w:rPr>
          <w:t>Form 10-K</w:t>
        </w:r>
      </w:hyperlink>
      <w:r>
        <w:rPr>
          <w:color w:val="000000"/>
        </w:rPr>
        <w:t xml:space="preserve"> </w:t>
      </w:r>
      <w:r>
        <w:rPr>
          <w:rFonts w:ascii="Times New Roman;serif" w:hAnsi="Times New Roman;serif"/>
          <w:b w:val="false"/>
          <w:color w:val="000000"/>
          <w:sz w:val="18"/>
        </w:rPr>
        <w:t>for the fiscal year ended December 31, 2025 (filed with the SEC on February 26, 2026);</w:t>
      </w:r>
    </w:p>
    <w:p>
      <w:pPr>
        <w:pStyle w:val="TextBody"/>
        <w:bidi w:val="0"/>
        <w:spacing w:lineRule="auto" w:line="288" w:before="240" w:after="240"/>
        <w:ind w:left="0" w:right="0" w:hanging="360"/>
        <w:jc w:val="left"/>
        <w:rPr/>
      </w:pPr>
      <w:r>
        <w:rPr>
          <w:rFonts w:ascii="Times New Roman;serif" w:hAnsi="Times New Roman;serif"/>
          <w:b w:val="false"/>
          <w:color w:val="000000"/>
          <w:sz w:val="18"/>
        </w:rPr>
        <w:t xml:space="preserve">2.The portions of the Registrant’s definitive proxy statement on </w:t>
      </w:r>
      <w:hyperlink r:id="rId4">
        <w:r>
          <w:rPr>
            <w:rStyle w:val="InternetLink"/>
            <w:rFonts w:ascii="Times New Roman;serif" w:hAnsi="Times New Roman;serif"/>
            <w:b w:val="false"/>
            <w:color w:val="0000FF"/>
            <w:sz w:val="18"/>
            <w:u w:val="single"/>
          </w:rPr>
          <w:t>Schedule 14A</w:t>
        </w:r>
      </w:hyperlink>
      <w:r>
        <w:rPr>
          <w:color w:val="000000"/>
        </w:rPr>
        <w:t xml:space="preserve"> </w:t>
      </w:r>
      <w:r>
        <w:rPr>
          <w:rFonts w:ascii="Times New Roman;serif" w:hAnsi="Times New Roman;serif"/>
          <w:b w:val="false"/>
          <w:color w:val="000000"/>
          <w:sz w:val="18"/>
        </w:rPr>
        <w:t>that are incorporated by reference into Part III of the Registrant’s Annual Report on Form 10-K for the fiscal year ended December 31, 2025 (filed with the SEC on April 9, 2026);</w:t>
      </w:r>
    </w:p>
    <w:p>
      <w:pPr>
        <w:pStyle w:val="TextBody"/>
        <w:bidi w:val="0"/>
        <w:spacing w:lineRule="auto" w:line="288" w:before="240" w:after="240"/>
        <w:ind w:left="0" w:right="0" w:hanging="360"/>
        <w:jc w:val="left"/>
        <w:rPr/>
      </w:pPr>
      <w:r>
        <w:rPr>
          <w:rFonts w:ascii="Times New Roman;serif" w:hAnsi="Times New Roman;serif"/>
          <w:b w:val="false"/>
          <w:color w:val="000000"/>
          <w:sz w:val="18"/>
        </w:rPr>
        <w:t xml:space="preserve">3.The Registrant’s Quarterly Report on </w:t>
      </w:r>
      <w:hyperlink r:id="rId5">
        <w:r>
          <w:rPr>
            <w:rStyle w:val="InternetLink"/>
            <w:rFonts w:ascii="Times New Roman;serif" w:hAnsi="Times New Roman;serif"/>
            <w:b w:val="false"/>
            <w:color w:val="0000FF"/>
            <w:sz w:val="18"/>
            <w:u w:val="single"/>
          </w:rPr>
          <w:t>Form 10-Q</w:t>
        </w:r>
      </w:hyperlink>
      <w:r>
        <w:rPr>
          <w:color w:val="000000"/>
        </w:rPr>
        <w:t xml:space="preserve"> </w:t>
      </w:r>
      <w:r>
        <w:rPr>
          <w:rFonts w:ascii="Times New Roman;serif" w:hAnsi="Times New Roman;serif"/>
          <w:b w:val="false"/>
          <w:color w:val="000000"/>
          <w:sz w:val="18"/>
        </w:rPr>
        <w:t>for the quarter ended March 31, 2026 (filed with the SEC on May 7, 2026);</w:t>
      </w:r>
    </w:p>
    <w:p>
      <w:pPr>
        <w:pStyle w:val="TextBody"/>
        <w:bidi w:val="0"/>
        <w:spacing w:lineRule="auto" w:line="288" w:before="240" w:after="240"/>
        <w:ind w:left="0" w:right="0" w:hanging="360"/>
        <w:jc w:val="left"/>
        <w:rPr/>
      </w:pPr>
      <w:r>
        <w:rPr>
          <w:rFonts w:ascii="Times New Roman;serif" w:hAnsi="Times New Roman;serif"/>
          <w:b w:val="false"/>
          <w:color w:val="000000"/>
          <w:sz w:val="18"/>
        </w:rPr>
        <w:t xml:space="preserve">4.The Registrant’s Current Report on </w:t>
      </w:r>
      <w:hyperlink r:id="rId6">
        <w:r>
          <w:rPr>
            <w:rStyle w:val="InternetLink"/>
            <w:rFonts w:ascii="Times New Roman;serif" w:hAnsi="Times New Roman;serif"/>
            <w:b w:val="false"/>
            <w:color w:val="0000FF"/>
            <w:sz w:val="18"/>
            <w:u w:val="single"/>
          </w:rPr>
          <w:t>Form 8-K</w:t>
        </w:r>
      </w:hyperlink>
      <w:r>
        <w:rPr>
          <w:color w:val="000000"/>
        </w:rPr>
        <w:t xml:space="preserve"> </w:t>
      </w:r>
      <w:r>
        <w:rPr>
          <w:rFonts w:ascii="Times New Roman;serif" w:hAnsi="Times New Roman;serif"/>
          <w:b w:val="false"/>
          <w:color w:val="000000"/>
          <w:sz w:val="18"/>
        </w:rPr>
        <w:t>(filed with the SEC on May 26, 2026); and</w:t>
      </w:r>
    </w:p>
    <w:p>
      <w:pPr>
        <w:pStyle w:val="TextBody"/>
        <w:bidi w:val="0"/>
        <w:spacing w:lineRule="auto" w:line="288" w:before="240" w:after="240"/>
        <w:ind w:left="0" w:right="0" w:hanging="360"/>
        <w:jc w:val="left"/>
        <w:rPr/>
      </w:pPr>
      <w:r>
        <w:rPr>
          <w:rFonts w:ascii="Times New Roman;serif" w:hAnsi="Times New Roman;serif"/>
          <w:b w:val="false"/>
          <w:color w:val="000000"/>
          <w:sz w:val="18"/>
        </w:rPr>
        <w:t xml:space="preserve">5.The description of the Registrant’s securities registered under Section 12 of the Exchange Act contained in </w:t>
      </w:r>
      <w:hyperlink r:id="rId7">
        <w:r>
          <w:rPr>
            <w:rStyle w:val="InternetLink"/>
            <w:rFonts w:ascii="Times New Roman;serif" w:hAnsi="Times New Roman;serif"/>
            <w:b w:val="false"/>
            <w:color w:val="0000FF"/>
            <w:sz w:val="18"/>
            <w:u w:val="single"/>
          </w:rPr>
          <w:t>Exhibit 4.2</w:t>
        </w:r>
      </w:hyperlink>
      <w:r>
        <w:rPr>
          <w:color w:val="000000"/>
        </w:rPr>
        <w:t xml:space="preserve"> </w:t>
      </w:r>
      <w:r>
        <w:rPr>
          <w:rFonts w:ascii="Times New Roman;serif" w:hAnsi="Times New Roman;serif"/>
          <w:b w:val="false"/>
          <w:color w:val="000000"/>
          <w:sz w:val="18"/>
        </w:rPr>
        <w:t>to the Registrant’s Current Report on Form 8-K (filed with the SEC on March 1, 2021) and any amendment thereto or any report subsequently filed for the purpose of updating such description.</w:t>
      </w:r>
    </w:p>
    <w:p>
      <w:pPr>
        <w:pStyle w:val="TextBody"/>
        <w:bidi w:val="0"/>
        <w:spacing w:lineRule="auto" w:line="288" w:before="240" w:after="240"/>
        <w:jc w:val="left"/>
        <w:rPr>
          <w:rFonts w:ascii="Times New Roman;serif" w:hAnsi="Times New Roman;serif"/>
          <w:b w:val="false"/>
          <w:color w:val="000000"/>
          <w:sz w:val="18"/>
        </w:rPr>
      </w:pPr>
      <w:r>
        <w:rPr>
          <w:rFonts w:ascii="Times New Roman;serif" w:hAnsi="Times New Roman;serif"/>
          <w:b w:val="false"/>
          <w:color w:val="000000"/>
          <w:sz w:val="18"/>
        </w:rPr>
        <w:t>In addition, all reports and documents filed by the Registrant pursuant to Sections 13(a), 13(c), 14, or 15(d) of the Exchange Act (other than information furnished pursuant to Item 2.02 or 7.01 of any Current Report on Form 8-K, unless expressly stated otherwise therein), subsequent to the date hereof and prior to the filing of a post-effective amendment that indicates that all securities offered hereby have been sold or that deregisters all securities then remaining unsold, are deemed to be incorporated by reference herein and made a part hereof from the date of the filing of such documents.</w:t>
      </w:r>
    </w:p>
    <w:p>
      <w:pPr>
        <w:pStyle w:val="TextBody"/>
        <w:bidi w:val="0"/>
        <w:spacing w:lineRule="auto" w:line="288" w:before="240" w:after="240"/>
        <w:jc w:val="left"/>
        <w:rPr>
          <w:rFonts w:ascii="Times New Roman;serif" w:hAnsi="Times New Roman;serif"/>
          <w:b w:val="false"/>
          <w:color w:val="000000"/>
          <w:sz w:val="18"/>
        </w:rPr>
      </w:pPr>
      <w:r>
        <w:rPr>
          <w:rFonts w:ascii="Times New Roman;serif" w:hAnsi="Times New Roman;serif"/>
          <w:b w:val="false"/>
          <w:color w:val="000000"/>
          <w:sz w:val="18"/>
        </w:rPr>
        <w:t>Any statement contained in a document incorporated or deemed to be incorporated by reference herein is deemed to be modified or superseded for purposes hereof,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hereof.</w:t>
      </w:r>
    </w:p>
    <w:p>
      <w:pPr>
        <w:pStyle w:val="TextBody"/>
        <w:bidi w:val="0"/>
        <w:spacing w:lineRule="auto" w:line="288" w:before="240" w:after="240"/>
        <w:jc w:val="left"/>
        <w:rPr>
          <w:rFonts w:ascii="Times New Roman;serif" w:hAnsi="Times New Roman;serif"/>
          <w:b/>
          <w:color w:val="000000"/>
          <w:sz w:val="18"/>
        </w:rPr>
      </w:pPr>
      <w:r>
        <w:rPr>
          <w:rFonts w:ascii="Times New Roman;serif" w:hAnsi="Times New Roman;serif"/>
          <w:b/>
          <w:color w:val="000000"/>
          <w:sz w:val="18"/>
        </w:rPr>
        <w:t xml:space="preserve">Item 4. Description of Securities </w:t>
      </w:r>
    </w:p>
    <w:p>
      <w:pPr>
        <w:pStyle w:val="TextBody"/>
        <w:bidi w:val="0"/>
        <w:spacing w:lineRule="auto" w:line="288" w:before="240" w:after="240"/>
        <w:jc w:val="left"/>
        <w:rPr>
          <w:rFonts w:ascii="Times New Roman;serif" w:hAnsi="Times New Roman;serif"/>
          <w:b w:val="false"/>
          <w:color w:val="000000"/>
          <w:sz w:val="18"/>
        </w:rPr>
      </w:pPr>
      <w:r>
        <w:rPr>
          <w:rFonts w:ascii="Times New Roman;serif" w:hAnsi="Times New Roman;serif"/>
          <w:b w:val="false"/>
          <w:color w:val="000000"/>
          <w:sz w:val="18"/>
        </w:rPr>
        <w:t>Not applicable.</w:t>
      </w:r>
    </w:p>
    <w:p>
      <w:pPr>
        <w:pStyle w:val="TextBody"/>
        <w:bidi w:val="0"/>
        <w:spacing w:lineRule="auto" w:line="288" w:before="240" w:after="240"/>
        <w:jc w:val="left"/>
        <w:rPr>
          <w:rFonts w:ascii="Times New Roman;serif" w:hAnsi="Times New Roman;serif"/>
          <w:b/>
          <w:color w:val="000000"/>
          <w:sz w:val="18"/>
        </w:rPr>
      </w:pPr>
      <w:r>
        <w:rPr>
          <w:rFonts w:ascii="Times New Roman;serif" w:hAnsi="Times New Roman;serif"/>
          <w:b/>
          <w:color w:val="000000"/>
          <w:sz w:val="18"/>
        </w:rPr>
        <w:t xml:space="preserve">Item 5. Interests of Named Experts and Counsel </w:t>
      </w:r>
    </w:p>
    <w:p>
      <w:pPr>
        <w:pStyle w:val="TextBody"/>
        <w:bidi w:val="0"/>
        <w:spacing w:lineRule="auto" w:line="288" w:before="240" w:after="240"/>
        <w:jc w:val="left"/>
        <w:rPr>
          <w:rFonts w:ascii="Times New Roman;serif" w:hAnsi="Times New Roman;serif"/>
          <w:b w:val="false"/>
          <w:color w:val="000000"/>
          <w:sz w:val="18"/>
        </w:rPr>
      </w:pPr>
      <w:r>
        <w:rPr>
          <w:rFonts w:ascii="Times New Roman;serif" w:hAnsi="Times New Roman;serif"/>
          <w:b w:val="false"/>
          <w:color w:val="000000"/>
          <w:sz w:val="18"/>
        </w:rPr>
        <w:t>Not applicable.</w:t>
      </w:r>
    </w:p>
    <w:p>
      <w:pPr>
        <w:pStyle w:val="TextBody"/>
        <w:bidi w:val="0"/>
        <w:spacing w:before="240" w:after="24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7660"/>
                <wp:effectExtent l="0" t="0" r="0" b="0"/>
                <wp:wrapNone/>
                <wp:docPr id="2" name="Frame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40"/>
                        <w:jc w:val="left"/>
                        <w:rPr/>
                      </w:pPr>
                      <w:r>
                        <w:rPr/>
                      </w:r>
                    </w:p>
                  </w:txbxContent>
                </v:textbox>
                <w10:wrap type="none"/>
              </v:rect>
            </w:pict>
          </mc:Fallback>
        </mc:AlternateContent>
      </w:r>
    </w:p>
    <w:p>
      <w:pPr>
        <w:pStyle w:val="TextBody"/>
        <w:bidi w:val="0"/>
        <w:spacing w:lineRule="auto" w:line="288" w:before="240" w:after="240"/>
        <w:jc w:val="left"/>
        <w:rPr>
          <w:rFonts w:ascii="Times New Roman;serif" w:hAnsi="Times New Roman;serif"/>
          <w:b/>
          <w:color w:val="000000"/>
          <w:sz w:val="18"/>
        </w:rPr>
      </w:pPr>
      <w:r>
        <w:rPr>
          <w:rFonts w:ascii="Times New Roman;serif" w:hAnsi="Times New Roman;serif"/>
          <w:b/>
          <w:color w:val="000000"/>
          <w:sz w:val="18"/>
        </w:rPr>
        <w:t>Item 6. Indemnification of Directors and Officers.</w:t>
      </w:r>
    </w:p>
    <w:p>
      <w:pPr>
        <w:pStyle w:val="TextBody"/>
        <w:bidi w:val="0"/>
        <w:spacing w:lineRule="auto" w:line="288" w:before="240" w:after="240"/>
        <w:jc w:val="left"/>
        <w:rPr/>
      </w:pPr>
      <w:r>
        <w:rPr>
          <w:rFonts w:ascii="Times New Roman;serif" w:hAnsi="Times New Roman;serif"/>
          <w:b w:val="false"/>
          <w:color w:val="000000"/>
          <w:sz w:val="18"/>
        </w:rPr>
        <w:t>The Registrant’s amended and restated certificate of incorporation, as amended, and its amended and restated bylaws provide that, to the full extent permitted under the Delaware General Corporation Law (“</w:t>
      </w:r>
      <w:r>
        <w:rPr>
          <w:rFonts w:ascii="Times New Roman;serif" w:hAnsi="Times New Roman;serif"/>
          <w:b/>
          <w:color w:val="000000"/>
          <w:sz w:val="18"/>
        </w:rPr>
        <w:t>DGCL</w:t>
      </w:r>
      <w:r>
        <w:rPr>
          <w:color w:val="000000"/>
        </w:rPr>
        <w:t>”</w:t>
      </w:r>
      <w:r>
        <w:rPr>
          <w:rFonts w:ascii="Times New Roman;serif" w:hAnsi="Times New Roman;serif"/>
          <w:b w:val="false"/>
          <w:color w:val="000000"/>
          <w:sz w:val="18"/>
        </w:rPr>
        <w:t>), the Registrant’s directors and officers shall not be personally liable for monetary damages. The Registrant’s amended and restated bylaws provide that the Registrant shall indemnify its officers, directors, employees, and agents.</w:t>
      </w:r>
    </w:p>
    <w:p>
      <w:pPr>
        <w:pStyle w:val="TextBody"/>
        <w:bidi w:val="0"/>
        <w:spacing w:lineRule="auto" w:line="288" w:before="240" w:after="240"/>
        <w:jc w:val="left"/>
        <w:rPr>
          <w:rFonts w:ascii="Times New Roman;serif" w:hAnsi="Times New Roman;serif"/>
          <w:b w:val="false"/>
          <w:color w:val="000000"/>
          <w:sz w:val="18"/>
        </w:rPr>
      </w:pPr>
      <w:r>
        <w:rPr>
          <w:rFonts w:ascii="Times New Roman;serif" w:hAnsi="Times New Roman;serif"/>
          <w:b w:val="false"/>
          <w:color w:val="000000"/>
          <w:sz w:val="18"/>
        </w:rPr>
        <w:t>Section 145 of the DGCL, inter alia, authorizes a corporation to indemnify any person who was or is a party or is threatened to be made a party to any threatened, pending, or completed action, suit, or proceeding, other than an action by or in the right of the corporation, because such person is or was a director, officer, employee, or agent of the corporation or was serving at the request of the corporation as a director, officer, employee, or agent of another corporation or other enterprise, against expenses, including attorneys’ fees, judgments, fines, and amounts paid in settlement actually and reasonably incurred by such person in connection with such suit or proceeding if such person acted in good faith and in a manner such person reasonably believed to be in or not opposed to the best interests of the corporation, and, with respect to any criminal action or proceeding, had no reason to believe such person’s conduct was unlawful. Similar indemnity is authorized for such persons against expenses, including attorneys’ fees, actually and reasonably incurred in defense or settlement of any such pending, completed, or threatened action or suit by or in the right of the corporation if such person acted in good faith and in a manner such person reasonably believed to be in or not opposed to the best interests of the corporation, and provided further that, unless a court of competent jurisdiction otherwise provides, such person shall not have been adjudged liable to the corporation. Any such indemnification may be made only as authorized in each specific case upon a determination by the stockholders or disinterested directors that indemnification is proper because the indemnitee has met the applicable standard of conduct.</w:t>
      </w:r>
    </w:p>
    <w:p>
      <w:pPr>
        <w:pStyle w:val="TextBody"/>
        <w:bidi w:val="0"/>
        <w:spacing w:lineRule="auto" w:line="288" w:before="240" w:after="240"/>
        <w:jc w:val="left"/>
        <w:rPr>
          <w:rFonts w:ascii="Times New Roman;serif" w:hAnsi="Times New Roman;serif"/>
          <w:b w:val="false"/>
          <w:color w:val="000000"/>
          <w:sz w:val="18"/>
        </w:rPr>
      </w:pPr>
      <w:r>
        <w:rPr>
          <w:rFonts w:ascii="Times New Roman;serif" w:hAnsi="Times New Roman;serif"/>
          <w:b w:val="false"/>
          <w:color w:val="000000"/>
          <w:sz w:val="18"/>
        </w:rPr>
        <w:t>Section 145 of the DGCL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such person’s status as such, whether or not the corporation would otherwise have the power to indemnify such person. The Registrant maintains policies insuring its and its subsidiaries’ officers and directors against specified liabilities for actions taken in such capacities, including liabilities under the Securities Act.</w:t>
      </w:r>
    </w:p>
    <w:p>
      <w:pPr>
        <w:pStyle w:val="TextBody"/>
        <w:bidi w:val="0"/>
        <w:spacing w:lineRule="auto" w:line="288" w:before="240" w:after="240"/>
        <w:jc w:val="left"/>
        <w:rPr>
          <w:rFonts w:ascii="Times New Roman;serif" w:hAnsi="Times New Roman;serif"/>
          <w:b w:val="false"/>
          <w:color w:val="000000"/>
          <w:sz w:val="18"/>
        </w:rPr>
      </w:pPr>
      <w:r>
        <w:rPr>
          <w:rFonts w:ascii="Times New Roman;serif" w:hAnsi="Times New Roman;serif"/>
          <w:b w:val="false"/>
          <w:color w:val="000000"/>
          <w:sz w:val="18"/>
        </w:rPr>
        <w:t>Article VII of the Registrant’s amended and restated bylaws provides, in substance, that directors, officers, employees, and agents of the Registrant shall be indemnified to the fullest extent permitted by the DGCL. Additionally, Article Seventeen of the Registrant’s amended and restated certificate of incorporation, as amended, eliminates, to the fullest extent permitted by the DGCL, the monetary liability of directors and officers of the Registrant for a breach of fiduciary duty, subject to applicable statutory exceptions. These provisions do not eliminate or limit the liability of a director or officer where such limitation is not permitted under the DGCL, including:</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18"/>
        </w:rPr>
        <w:t>for a breach of the director’s or officer’s duty of loyalty to the Registrant or its stockholders;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18"/>
        </w:rPr>
        <w:t>for acts or omissions by the director or officer not in good faith;</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18"/>
        </w:rPr>
        <w:t>for acts or omissions by a director or officer involving intentional misconduct or a knowing violation of the law;</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18"/>
        </w:rPr>
        <w:t>under Section 174 of the DGCL, which relates to the declaration of dividends and purchase or redemption of shares in violation of the DGCL; and</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18"/>
        </w:rPr>
        <w:t>for transactions from which the director or officer derived an improper personal benefit.</w:t>
      </w:r>
    </w:p>
    <w:p>
      <w:pPr>
        <w:pStyle w:val="TextBody"/>
        <w:bidi w:val="0"/>
        <w:spacing w:lineRule="auto" w:line="288" w:before="240" w:after="240"/>
        <w:jc w:val="left"/>
        <w:rPr>
          <w:rFonts w:ascii="Times New Roman;serif" w:hAnsi="Times New Roman;serif"/>
          <w:b w:val="false"/>
          <w:color w:val="000000"/>
          <w:sz w:val="18"/>
        </w:rPr>
      </w:pPr>
      <w:r>
        <w:rPr>
          <w:rFonts w:ascii="Times New Roman;serif" w:hAnsi="Times New Roman;serif"/>
          <w:b w:val="false"/>
          <w:color w:val="000000"/>
          <w:sz w:val="18"/>
        </w:rPr>
        <w:t>In addition, the exculpation of officers does not apply to actions by or in the right of the Registrant.</w:t>
      </w:r>
    </w:p>
    <w:p>
      <w:pPr>
        <w:pStyle w:val="TextBody"/>
        <w:bidi w:val="0"/>
        <w:spacing w:lineRule="auto" w:line="288" w:before="240" w:after="240"/>
        <w:jc w:val="left"/>
        <w:rPr>
          <w:rFonts w:ascii="Times New Roman;serif" w:hAnsi="Times New Roman;serif"/>
          <w:b w:val="false"/>
          <w:color w:val="000000"/>
          <w:sz w:val="18"/>
        </w:rPr>
      </w:pPr>
      <w:r>
        <w:rPr>
          <w:rFonts w:ascii="Times New Roman;serif" w:hAnsi="Times New Roman;serif"/>
          <w:b w:val="false"/>
          <w:color w:val="000000"/>
          <w:sz w:val="18"/>
        </w:rPr>
        <w:t>The foregoing statements are subject to the detailed provisions of Section 145 of the DGCL and the Registrant’s amended and restated certificate of incorporation, as amended, and amended and restated bylaws.</w:t>
      </w:r>
    </w:p>
    <w:p>
      <w:pPr>
        <w:pStyle w:val="TextBody"/>
        <w:bidi w:val="0"/>
        <w:spacing w:lineRule="auto" w:line="288" w:before="240" w:after="240"/>
        <w:jc w:val="left"/>
        <w:rPr>
          <w:rFonts w:ascii="Times New Roman;serif" w:hAnsi="Times New Roman;serif"/>
          <w:b/>
          <w:color w:val="000000"/>
          <w:sz w:val="18"/>
        </w:rPr>
      </w:pPr>
      <w:r>
        <w:rPr>
          <w:rFonts w:ascii="Times New Roman;serif" w:hAnsi="Times New Roman;serif"/>
          <w:b/>
          <w:color w:val="000000"/>
          <w:sz w:val="18"/>
        </w:rPr>
        <w:t>Item 7. Exemption from Registration Claimed.</w:t>
      </w:r>
    </w:p>
    <w:p>
      <w:pPr>
        <w:pStyle w:val="TextBody"/>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Not applicable.</w:t>
      </w:r>
    </w:p>
    <w:p>
      <w:pPr>
        <w:pStyle w:val="TextBody"/>
        <w:bidi w:val="0"/>
        <w:spacing w:before="240" w:after="24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7660"/>
                <wp:effectExtent l="0" t="0" r="0" b="0"/>
                <wp:wrapNone/>
                <wp:docPr id="3" name="Frame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40"/>
                        <w:jc w:val="left"/>
                        <w:rPr/>
                      </w:pPr>
                      <w:r>
                        <w:rPr/>
                      </w:r>
                    </w:p>
                  </w:txbxContent>
                </v:textbox>
                <w10:wrap type="none"/>
              </v:rect>
            </w:pict>
          </mc:Fallback>
        </mc:AlternateConten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8. Exhibits.</w:t>
      </w:r>
    </w:p>
    <w:tbl>
      <w:tblPr>
        <w:tblW w:w="10205" w:type="dxa"/>
        <w:jc w:val="left"/>
        <w:tblInd w:w="0" w:type="dxa"/>
        <w:tblLayout w:type="fixed"/>
        <w:tblCellMar>
          <w:top w:w="28" w:type="dxa"/>
          <w:left w:w="28" w:type="dxa"/>
          <w:bottom w:w="28" w:type="dxa"/>
          <w:right w:w="28" w:type="dxa"/>
        </w:tblCellMar>
      </w:tblPr>
      <w:tblGrid>
        <w:gridCol w:w="298"/>
        <w:gridCol w:w="262"/>
        <w:gridCol w:w="263"/>
        <w:gridCol w:w="2199"/>
        <w:gridCol w:w="2165"/>
        <w:gridCol w:w="2190"/>
        <w:gridCol w:w="203"/>
        <w:gridCol w:w="203"/>
        <w:gridCol w:w="197"/>
        <w:gridCol w:w="225"/>
        <w:gridCol w:w="225"/>
        <w:gridCol w:w="226"/>
        <w:gridCol w:w="237"/>
        <w:gridCol w:w="237"/>
        <w:gridCol w:w="238"/>
        <w:gridCol w:w="295"/>
        <w:gridCol w:w="243"/>
        <w:gridCol w:w="299"/>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823"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6554"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282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r>
      <w:tr>
        <w:trPr/>
        <w:tc>
          <w:tcPr>
            <w:tcW w:w="823"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6554"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60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67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71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 Date</w:t>
            </w:r>
          </w:p>
        </w:tc>
        <w:tc>
          <w:tcPr>
            <w:tcW w:w="83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 File No.</w:t>
            </w:r>
          </w:p>
        </w:tc>
      </w:tr>
      <w:tr>
        <w:trPr/>
        <w:tc>
          <w:tcPr>
            <w:tcW w:w="8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65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18"/>
                  <w:u w:val="single"/>
                </w:rPr>
                <w:t>Amended and Restated Certificate of Incorporation of Registrant, dated March 1, 2021.</w:t>
              </w:r>
            </w:hyperlink>
          </w:p>
        </w:tc>
        <w:tc>
          <w:tcPr>
            <w:tcW w:w="6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8-K12B</w:t>
            </w:r>
          </w:p>
        </w:tc>
        <w:tc>
          <w:tcPr>
            <w:tcW w:w="6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7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3/1/2021</w:t>
            </w:r>
          </w:p>
        </w:tc>
        <w:tc>
          <w:tcPr>
            <w:tcW w:w="8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001-40144</w:t>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65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18"/>
                  <w:u w:val="single"/>
                </w:rPr>
                <w:t>Certificate of Amendment of Amended and Restated Certificate of Incorporation of Registrant, dated May 24, 2023, as filed with the Secretary of State of the State of Delaware on May 24, 2023.</w:t>
              </w:r>
            </w:hyperlink>
          </w:p>
        </w:tc>
        <w:tc>
          <w:tcPr>
            <w:tcW w:w="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5/25/2023</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001-40144</w:t>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65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18"/>
                  <w:u w:val="single"/>
                </w:rPr>
                <w:t>Amended and Restated Bylaws of Registrant, dated February 2, 2023.</w:t>
              </w:r>
            </w:hyperlink>
          </w:p>
        </w:tc>
        <w:tc>
          <w:tcPr>
            <w:tcW w:w="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2/8/2023</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001-40144</w:t>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65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18"/>
                  <w:u w:val="single"/>
                </w:rPr>
                <w:t>2016 Omnibus Compensation Plan, dated February 3, 2016, effective May 12, 2016.</w:t>
              </w:r>
            </w:hyperlink>
          </w:p>
        </w:tc>
        <w:tc>
          <w:tcPr>
            <w:tcW w:w="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5/16/2016</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001-04300</w:t>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w:t>
            </w:r>
          </w:p>
        </w:tc>
        <w:tc>
          <w:tcPr>
            <w:tcW w:w="65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18"/>
                  <w:u w:val="single"/>
                </w:rPr>
                <w:t>Second Amendment to the 2016 Omnibus Compensation Plan, dated March 1, 2021.</w:t>
              </w:r>
            </w:hyperlink>
          </w:p>
        </w:tc>
        <w:tc>
          <w:tcPr>
            <w:tcW w:w="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8-K12B</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3/1/2021</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001-40144</w:t>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w:t>
            </w:r>
          </w:p>
        </w:tc>
        <w:tc>
          <w:tcPr>
            <w:tcW w:w="65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18"/>
                  <w:u w:val="single"/>
                </w:rPr>
                <w:t>Third Amendment to the 2016 Omnibus Compensation Plan, dated April 15, 2026.</w:t>
              </w:r>
            </w:hyperlink>
          </w:p>
        </w:tc>
        <w:tc>
          <w:tcPr>
            <w:tcW w:w="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5/26/2026</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001-40144</w:t>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w:t>
            </w:r>
          </w:p>
        </w:tc>
        <w:tc>
          <w:tcPr>
            <w:tcW w:w="6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51-bracewellopinion.htm">
              <w:r>
                <w:rPr>
                  <w:rStyle w:val="InternetLink"/>
                  <w:rFonts w:ascii="Times New Roman;serif" w:hAnsi="Times New Roman;serif"/>
                  <w:b w:val="false"/>
                  <w:color w:val="0000FF"/>
                  <w:sz w:val="18"/>
                  <w:u w:val="single"/>
                </w:rPr>
                <w:t>Opinion of Bracewell LLP.</w:t>
              </w:r>
            </w:hyperlink>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23.1*</w:t>
            </w:r>
          </w:p>
        </w:tc>
        <w:tc>
          <w:tcPr>
            <w:tcW w:w="6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1-eyconsent.htm">
              <w:r>
                <w:rPr>
                  <w:rStyle w:val="InternetLink"/>
                  <w:rFonts w:ascii="Times New Roman;serif" w:hAnsi="Times New Roman;serif"/>
                  <w:b w:val="false"/>
                  <w:color w:val="0000FF"/>
                  <w:sz w:val="18"/>
                  <w:u w:val="single"/>
                </w:rPr>
                <w:t>Consent of Ernst &amp; Young LLP.</w:t>
              </w:r>
            </w:hyperlink>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23.2*</w:t>
            </w:r>
          </w:p>
        </w:tc>
        <w:tc>
          <w:tcPr>
            <w:tcW w:w="6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2-rsconsent.htm">
              <w:r>
                <w:rPr>
                  <w:rStyle w:val="InternetLink"/>
                  <w:rFonts w:ascii="Times New Roman;serif" w:hAnsi="Times New Roman;serif"/>
                  <w:b w:val="false"/>
                  <w:color w:val="0000FF"/>
                  <w:sz w:val="18"/>
                  <w:u w:val="single"/>
                </w:rPr>
                <w:t>Consent of Ryder Scott Company, L.P., Petroleum Consultants.</w:t>
              </w:r>
            </w:hyperlink>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23.3*</w:t>
            </w:r>
          </w:p>
        </w:tc>
        <w:tc>
          <w:tcPr>
            <w:tcW w:w="6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51-bracewellopinion.htm">
              <w:r>
                <w:rPr>
                  <w:rStyle w:val="InternetLink"/>
                  <w:rFonts w:ascii="Times New Roman;serif" w:hAnsi="Times New Roman;serif"/>
                  <w:b w:val="false"/>
                  <w:color w:val="0000FF"/>
                  <w:sz w:val="18"/>
                  <w:u w:val="single"/>
                </w:rPr>
                <w:t>Consent of Bracewell LLP (included in Exhibit 5.1).</w:t>
              </w:r>
            </w:hyperlink>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24.1*</w:t>
            </w:r>
          </w:p>
        </w:tc>
        <w:tc>
          <w:tcPr>
            <w:tcW w:w="6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e5466bf5564c31aa927e63377a11a5_1888">
              <w:r>
                <w:rPr>
                  <w:rStyle w:val="InternetLink"/>
                  <w:rFonts w:ascii="Times New Roman;serif" w:hAnsi="Times New Roman;serif"/>
                  <w:b w:val="false"/>
                  <w:color w:val="0000FF"/>
                  <w:sz w:val="18"/>
                  <w:u w:val="single"/>
                </w:rPr>
                <w:t>Power of Attorney (included on the signature page hereto).</w:t>
              </w:r>
            </w:hyperlink>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w:t>
            </w:r>
          </w:p>
        </w:tc>
        <w:tc>
          <w:tcPr>
            <w:tcW w:w="6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80"/>
                  <w:sz w:val="18"/>
                  <w:u w:val="single"/>
                </w:rPr>
                <w:t>Filing Fee Table</w:t>
              </w:r>
            </w:hyperlink>
            <w:hyperlink w:anchor="exfilingfees.htm">
              <w:r>
                <w:rPr>
                  <w:rStyle w:val="InternetLink"/>
                  <w:rFonts w:ascii="Times New Roman;serif" w:hAnsi="Times New Roman;serif"/>
                  <w:b w:val="false"/>
                  <w:color w:val="000080"/>
                  <w:sz w:val="18"/>
                  <w:u w:val="single"/>
                </w:rPr>
                <w:t>.</w:t>
              </w:r>
            </w:hyperlink>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Times New Roman;serif" w:hAnsi="Times New Roman;serif"/>
          <w:b w:val="false"/>
          <w:color w:val="000000"/>
          <w:sz w:val="18"/>
        </w:rPr>
      </w:pPr>
      <w:r>
        <w:rPr>
          <w:rFonts w:ascii="Times New Roman;serif" w:hAnsi="Times New Roman;serif"/>
          <w:b w:val="false"/>
          <w:color w:val="000000"/>
          <w:sz w:val="18"/>
        </w:rPr>
        <w:t>* Filed herewith.</w:t>
      </w:r>
    </w:p>
    <w:p>
      <w:pPr>
        <w:pStyle w:val="TextBody"/>
        <w:bidi w:val="0"/>
        <w:spacing w:before="0" w:after="160"/>
        <w:jc w:val="left"/>
        <w:rPr/>
      </w:pPr>
      <w:r>
        <w:rPr/>
      </w:r>
    </w:p>
    <w:p>
      <w:pPr>
        <w:pStyle w:val="TextBody"/>
        <w:bidi w:val="0"/>
        <w:spacing w:before="240" w:after="24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7660"/>
                <wp:effectExtent l="0" t="0" r="0" b="0"/>
                <wp:wrapNone/>
                <wp:docPr id="4" name="Frame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40"/>
                        <w:jc w:val="left"/>
                        <w:rPr/>
                      </w:pPr>
                      <w:r>
                        <w:rPr/>
                      </w:r>
                    </w:p>
                  </w:txbxContent>
                </v:textbox>
                <w10:wrap type="none"/>
              </v:rect>
            </w:pict>
          </mc:Fallback>
        </mc:AlternateContent>
      </w:r>
    </w:p>
    <w:p>
      <w:pPr>
        <w:pStyle w:val="TextBody"/>
        <w:bidi w:val="0"/>
        <w:spacing w:before="24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21" w:before="0" w:after="160"/>
        <w:jc w:val="left"/>
        <w:rPr>
          <w:rFonts w:ascii="Times New Roman;serif" w:hAnsi="Times New Roman;serif"/>
          <w:b/>
          <w:color w:val="000000"/>
          <w:sz w:val="18"/>
        </w:rPr>
      </w:pPr>
      <w:r>
        <w:rPr>
          <w:rFonts w:ascii="Times New Roman;serif" w:hAnsi="Times New Roman;serif"/>
          <w:b/>
          <w:color w:val="000000"/>
          <w:sz w:val="18"/>
        </w:rPr>
        <w:t>Item 9. Undertakings.</w:t>
      </w:r>
    </w:p>
    <w:p>
      <w:pPr>
        <w:pStyle w:val="TextBody"/>
        <w:bidi w:val="0"/>
        <w:spacing w:lineRule="auto" w:line="321" w:before="0" w:after="16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    The undersigned Registrant hereby undertakes:</w:t>
      </w:r>
    </w:p>
    <w:p>
      <w:pPr>
        <w:pStyle w:val="TextBody"/>
        <w:bidi w:val="0"/>
        <w:spacing w:lineRule="auto" w:line="321" w:before="0" w:after="16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(1)    To file, during any period in which offers or sales are being made, a post-effective amendment to this registration statement: </w:t>
      </w:r>
    </w:p>
    <w:p>
      <w:pPr>
        <w:pStyle w:val="TextBody"/>
        <w:bidi w:val="0"/>
        <w:spacing w:lineRule="auto" w:line="321" w:before="0" w:after="16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(i)    to include any prospectus required by section 10(a)(3) of the Securities Act; </w:t>
      </w:r>
    </w:p>
    <w:p>
      <w:pPr>
        <w:pStyle w:val="TextBody"/>
        <w:bidi w:val="0"/>
        <w:spacing w:lineRule="auto" w:line="321" w:before="0" w:after="16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w:t>
      </w:r>
    </w:p>
    <w:p>
      <w:pPr>
        <w:pStyle w:val="TextBody"/>
        <w:bidi w:val="0"/>
        <w:spacing w:lineRule="auto" w:line="321" w:before="0" w:after="16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lineRule="auto" w:line="321" w:before="0" w:after="160"/>
        <w:jc w:val="left"/>
        <w:rPr/>
      </w:pPr>
      <w:r>
        <w:rPr>
          <w:rFonts w:ascii="Times New Roman;serif" w:hAnsi="Times New Roman;serif"/>
          <w:b w:val="false"/>
          <w:i/>
          <w:color w:val="000000"/>
          <w:sz w:val="18"/>
        </w:rPr>
        <w:t>provided, however</w:t>
      </w:r>
      <w:r>
        <w:rPr>
          <w:rFonts w:ascii="Times New Roman;serif" w:hAnsi="Times New Roman;serif"/>
          <w:b w:val="false"/>
          <w:color w:val="000000"/>
          <w:sz w:val="18"/>
        </w:rPr>
        <w:t>, that clauses (1)(i) and (1)(ii) above do not apply if the information required to be included in a post-effective amendment by those paragraphs is contained in reports filed with or furnished to the Securities and Exchange Commission by the Registrant pursuant to section 13 or section 15(d) of the Exchange Act that are incorporated by reference in the registration statement.</w:t>
      </w:r>
    </w:p>
    <w:p>
      <w:pPr>
        <w:pStyle w:val="TextBody"/>
        <w:bidi w:val="0"/>
        <w:spacing w:lineRule="auto" w:line="321" w:before="0" w:after="16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321" w:before="0" w:after="16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    To remove from registration by means of a post-effective amendment any of the securities being registered which remain unsold at the termination of the offering.</w:t>
      </w:r>
    </w:p>
    <w:p>
      <w:pPr>
        <w:pStyle w:val="TextBody"/>
        <w:bidi w:val="0"/>
        <w:spacing w:lineRule="auto" w:line="321" w:before="0" w:after="16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321" w:before="0" w:after="16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(5)    That,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and that in the event that a 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center"/>
        <w:rPr/>
      </w:pPr>
      <w:r>
        <w:rPr/>
      </w:r>
    </w:p>
    <w:p>
      <w:pPr>
        <w:pStyle w:val="TextBody"/>
        <w:bidi w:val="0"/>
        <w:spacing w:before="240" w:after="24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7660"/>
                <wp:effectExtent l="0" t="0" r="0" b="0"/>
                <wp:wrapNone/>
                <wp:docPr id="5" name="Frame5"/>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40"/>
                        <w:jc w:val="left"/>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lineRule="auto" w:line="288" w:before="240" w:after="24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this 1st day of June, 2026.</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APA CORPORATION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By:    </w:t>
      </w:r>
      <w:r>
        <w:rPr>
          <w:rFonts w:ascii="Times New Roman;serif" w:hAnsi="Times New Roman;serif"/>
          <w:b w:val="false"/>
          <w:color w:val="000000"/>
          <w:sz w:val="18"/>
          <w:u w:val="single"/>
        </w:rPr>
        <w:t>/s/ John J. Christmann IV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Name:    John J. Christmann IV</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Title:    Chief Executive Officer</w:t>
      </w:r>
    </w:p>
    <w:p>
      <w:pPr>
        <w:pStyle w:val="TextBody"/>
        <w:bidi w:val="0"/>
        <w:spacing w:lineRule="auto" w:line="288" w:before="240" w:after="240"/>
        <w:jc w:val="center"/>
        <w:rPr>
          <w:rFonts w:ascii="Times New Roman;serif" w:hAnsi="Times New Roman;serif"/>
          <w:b/>
          <w:color w:val="000000"/>
          <w:sz w:val="18"/>
        </w:rPr>
      </w:pPr>
      <w:bookmarkStart w:id="0" w:name="ifde5466bf5564c31aa927e63377a11a5_1888"/>
      <w:bookmarkEnd w:id="0"/>
      <w:r>
        <w:rPr>
          <w:rFonts w:ascii="Times New Roman;serif" w:hAnsi="Times New Roman;serif"/>
          <w:b/>
          <w:color w:val="000000"/>
          <w:sz w:val="18"/>
        </w:rPr>
        <w:t>POWER OF ATTORNEY</w:t>
      </w:r>
    </w:p>
    <w:p>
      <w:pPr>
        <w:pStyle w:val="TextBody"/>
        <w:bidi w:val="0"/>
        <w:spacing w:lineRule="auto" w:line="288" w:before="240" w:after="240"/>
        <w:jc w:val="left"/>
        <w:rPr>
          <w:rFonts w:ascii="Times New Roman;serif" w:hAnsi="Times New Roman;serif"/>
          <w:b w:val="false"/>
          <w:color w:val="000000"/>
          <w:sz w:val="18"/>
        </w:rPr>
      </w:pPr>
      <w:r>
        <w:rPr>
          <w:rFonts w:ascii="Times New Roman;serif" w:hAnsi="Times New Roman;serif"/>
          <w:b w:val="false"/>
          <w:color w:val="000000"/>
          <w:sz w:val="18"/>
        </w:rPr>
        <w:t>Each person whose signature appears below hereby constitutes and appoints John J. Christmann IV, Ben C. Rodgers, Kimberly O. Warnica, and Robert P. Rayphole, and each of them, any of whom may act without joinder of the others, his or her lawful attorneys-in-fact and agents, with full power of substitution and re-substitution, for him or her and in his or her name, place, and stead, in any and all capacities, to sign any or all amendments to this Registration Statement, including any and all post-effective amendments, and to file the same with all exhibits thereto and other documents necessary or advisable in connection therewith, with the Securities and Exchange Commission, granting unto such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and each of them, or the substitute or substitutes of any of them, may lawfully do or cause to be done by virtue hereof.</w:t>
      </w:r>
    </w:p>
    <w:p>
      <w:pPr>
        <w:pStyle w:val="TextBody"/>
        <w:bidi w:val="0"/>
        <w:spacing w:lineRule="auto" w:line="288" w:before="240" w:after="24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Act of 1933, as amended, this Registration Statement has been signed on June 1, 2026, by the following persons in the capacities indicated.</w:t>
      </w:r>
    </w:p>
    <w:tbl>
      <w:tblPr>
        <w:tblW w:w="6148" w:type="dxa"/>
        <w:jc w:val="left"/>
        <w:tblInd w:w="0" w:type="dxa"/>
        <w:tblLayout w:type="fixed"/>
        <w:tblCellMar>
          <w:top w:w="28" w:type="dxa"/>
          <w:left w:w="28" w:type="dxa"/>
          <w:bottom w:w="28" w:type="dxa"/>
          <w:right w:w="28" w:type="dxa"/>
        </w:tblCellMar>
      </w:tblPr>
      <w:tblGrid>
        <w:gridCol w:w="705"/>
        <w:gridCol w:w="618"/>
        <w:gridCol w:w="626"/>
        <w:gridCol w:w="1223"/>
        <w:gridCol w:w="1223"/>
        <w:gridCol w:w="1753"/>
      </w:tblGrid>
      <w:tr>
        <w:trPr/>
        <w:tc>
          <w:tcPr>
            <w:tcW w:w="70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Signature</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John J. Christmann IV</w:t>
            </w:r>
          </w:p>
        </w:tc>
        <w:tc>
          <w:tcPr>
            <w:tcW w:w="419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Chief Executive Officer and Director</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r>
        <w:trPr/>
        <w:tc>
          <w:tcPr>
            <w:tcW w:w="19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John J. Christmann IV</w:t>
            </w:r>
          </w:p>
        </w:tc>
        <w:tc>
          <w:tcPr>
            <w:tcW w:w="41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Ben C. Rodgers</w:t>
            </w:r>
          </w:p>
        </w:tc>
        <w:tc>
          <w:tcPr>
            <w:tcW w:w="419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Executive Vice President and Chief Financial Officer</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r>
        <w:trPr/>
        <w:tc>
          <w:tcPr>
            <w:tcW w:w="19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Ben C. Rodgers</w:t>
            </w:r>
          </w:p>
        </w:tc>
        <w:tc>
          <w:tcPr>
            <w:tcW w:w="41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Robert P. Rayphole</w:t>
            </w:r>
          </w:p>
        </w:tc>
        <w:tc>
          <w:tcPr>
            <w:tcW w:w="419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Vice President, Chief Accounting Officer, and Controller</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(Principal Accounting Officer)</w:t>
            </w:r>
          </w:p>
        </w:tc>
      </w:tr>
      <w:tr>
        <w:trPr/>
        <w:tc>
          <w:tcPr>
            <w:tcW w:w="19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Robert P. Rayphole</w:t>
            </w:r>
          </w:p>
        </w:tc>
        <w:tc>
          <w:tcPr>
            <w:tcW w:w="41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H. Lamar McKay</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Non-Executive Chair of the Board and Director</w:t>
            </w:r>
          </w:p>
        </w:tc>
      </w:tr>
      <w:tr>
        <w:trPr/>
        <w:tc>
          <w:tcPr>
            <w:tcW w:w="19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 Lamar McKay</w:t>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Annell R. Bay</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9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Annell R. Bay</w:t>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Juliet S. Ellis</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9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Juliet S. Ellis</w:t>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Kenneth M. Fisher</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9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Kenneth M. Fisher</w:t>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Charles W. Hooper</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9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Charles W. Hooper</w:t>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Chansoo Joung</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9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Chansoo Joung</w:t>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Peter A. Ragauss</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9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Peter A. Ragauss</w:t>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David L. Stover</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9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David L. Stover</w:t>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Anya Weaving</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9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Anya Weaving</w:t>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7660"/>
                <wp:effectExtent l="0" t="0" r="0" b="0"/>
                <wp:wrapNone/>
                <wp:docPr id="6" name="Frame6"/>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4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Exhibit 107</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Calculation of Filing Fee Tables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S-8</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 Type)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APA Corporation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Table 1: Newly Registered Securities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11"/>
        <w:gridCol w:w="273"/>
        <w:gridCol w:w="274"/>
        <w:gridCol w:w="470"/>
        <w:gridCol w:w="447"/>
        <w:gridCol w:w="449"/>
        <w:gridCol w:w="425"/>
        <w:gridCol w:w="425"/>
        <w:gridCol w:w="427"/>
        <w:gridCol w:w="385"/>
        <w:gridCol w:w="385"/>
        <w:gridCol w:w="387"/>
        <w:gridCol w:w="525"/>
        <w:gridCol w:w="525"/>
        <w:gridCol w:w="527"/>
        <w:gridCol w:w="775"/>
        <w:gridCol w:w="460"/>
        <w:gridCol w:w="462"/>
        <w:gridCol w:w="289"/>
        <w:gridCol w:w="289"/>
        <w:gridCol w:w="293"/>
        <w:gridCol w:w="407"/>
        <w:gridCol w:w="407"/>
        <w:gridCol w:w="588"/>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Security Type</w:t>
            </w:r>
          </w:p>
        </w:tc>
        <w:tc>
          <w:tcPr>
            <w:tcW w:w="136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Security Class Title</w:t>
            </w:r>
          </w:p>
        </w:tc>
        <w:tc>
          <w:tcPr>
            <w:tcW w:w="1277"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Fee Calculation Rule</w:t>
            </w:r>
          </w:p>
        </w:tc>
        <w:tc>
          <w:tcPr>
            <w:tcW w:w="11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Amount Registered</w:t>
            </w:r>
            <w:r>
              <w:rPr>
                <w:rFonts w:ascii="Times New Roman;serif" w:hAnsi="Times New Roman;serif"/>
                <w:b/>
                <w:color w:val="000000"/>
                <w:sz w:val="12"/>
              </w:rPr>
              <w:t>(1)</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Proposed Maximum Offering Price Per Unit</w:t>
            </w:r>
            <w:r>
              <w:rPr>
                <w:rFonts w:ascii="Times New Roman;serif" w:hAnsi="Times New Roman;serif"/>
                <w:b/>
                <w:color w:val="000000"/>
                <w:sz w:val="12"/>
              </w:rPr>
              <w:t>(2)</w:t>
            </w:r>
          </w:p>
        </w:tc>
        <w:tc>
          <w:tcPr>
            <w:tcW w:w="1697"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Aggregate Offering Price</w:t>
            </w:r>
          </w:p>
        </w:tc>
        <w:tc>
          <w:tcPr>
            <w:tcW w:w="87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Fee Rate</w:t>
            </w:r>
          </w:p>
        </w:tc>
        <w:tc>
          <w:tcPr>
            <w:tcW w:w="1402"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 Registration Fee</w:t>
            </w:r>
          </w:p>
        </w:tc>
      </w:tr>
      <w:tr>
        <w:trPr/>
        <w:tc>
          <w:tcPr>
            <w:tcW w:w="858"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Equity</w:t>
            </w:r>
          </w:p>
        </w:tc>
        <w:tc>
          <w:tcPr>
            <w:tcW w:w="136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$0.625 per share</w:t>
            </w:r>
          </w:p>
        </w:tc>
        <w:tc>
          <w:tcPr>
            <w:tcW w:w="1277"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Rule 457(c) and Rule 457(h)</w:t>
            </w:r>
          </w:p>
        </w:tc>
        <w:tc>
          <w:tcPr>
            <w:tcW w:w="115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24,160,000</w:t>
            </w:r>
          </w:p>
        </w:tc>
        <w:tc>
          <w:tcPr>
            <w:tcW w:w="15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$36.70</w:t>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$886,672,000.00</w:t>
            </w:r>
          </w:p>
        </w:tc>
        <w:tc>
          <w:tcPr>
            <w:tcW w:w="87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0.0001381</w:t>
            </w:r>
          </w:p>
        </w:tc>
        <w:tc>
          <w:tcPr>
            <w:tcW w:w="140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$122,449.40</w:t>
            </w:r>
          </w:p>
        </w:tc>
      </w:tr>
      <w:tr>
        <w:trPr/>
        <w:tc>
          <w:tcPr>
            <w:tcW w:w="4658" w:type="dxa"/>
            <w:gridSpan w:val="12"/>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 Offering Amounts:</w:t>
            </w:r>
          </w:p>
        </w:tc>
        <w:tc>
          <w:tcPr>
            <w:tcW w:w="157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$886,672,000.00</w:t>
            </w:r>
          </w:p>
        </w:tc>
        <w:tc>
          <w:tcPr>
            <w:tcW w:w="8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$122,449.40</w:t>
            </w:r>
          </w:p>
        </w:tc>
      </w:tr>
      <w:tr>
        <w:trPr/>
        <w:tc>
          <w:tcPr>
            <w:tcW w:w="4658" w:type="dxa"/>
            <w:gridSpan w:val="1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 Fee Offsets:</w:t>
            </w:r>
          </w:p>
        </w:tc>
        <w:tc>
          <w:tcPr>
            <w:tcW w:w="157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4658" w:type="dxa"/>
            <w:gridSpan w:val="1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Net Fee Due:</w:t>
            </w:r>
          </w:p>
        </w:tc>
        <w:tc>
          <w:tcPr>
            <w:tcW w:w="157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$122,449.40</w:t>
            </w:r>
          </w:p>
        </w:tc>
      </w:tr>
    </w:tbl>
    <w:p>
      <w:pPr>
        <w:pStyle w:val="TextBody"/>
        <w:bidi w:val="0"/>
        <w:spacing w:before="0" w:after="0"/>
        <w:jc w:val="left"/>
        <w:rPr/>
      </w:pPr>
      <w:r>
        <w:rPr/>
      </w:r>
    </w:p>
    <w:p>
      <w:pPr>
        <w:pStyle w:val="TextBody"/>
        <w:bidi w:val="0"/>
        <w:spacing w:lineRule="auto" w:line="288" w:before="0" w:after="0"/>
        <w:ind w:left="0" w:right="0" w:hanging="450"/>
        <w:jc w:val="left"/>
        <w:rPr/>
      </w:pPr>
      <w:r>
        <w:rPr>
          <w:rFonts w:ascii="Times New Roman;serif" w:hAnsi="Times New Roman;serif"/>
          <w:b w:val="false"/>
          <w:color w:val="000000"/>
          <w:sz w:val="18"/>
        </w:rPr>
        <w:t>(1)    Pursuant to Rule 416(a) under the Securities Act of 1933, as amended (the “</w:t>
      </w:r>
      <w:r>
        <w:rPr>
          <w:rFonts w:ascii="Times New Roman;serif" w:hAnsi="Times New Roman;serif"/>
          <w:b/>
          <w:color w:val="000000"/>
          <w:sz w:val="18"/>
        </w:rPr>
        <w:t>Securities Act</w:t>
      </w:r>
      <w:r>
        <w:rPr>
          <w:color w:val="000000"/>
        </w:rPr>
        <w:t>”</w:t>
      </w:r>
      <w:r>
        <w:rPr>
          <w:rFonts w:ascii="Times New Roman;serif" w:hAnsi="Times New Roman;serif"/>
          <w:b w:val="false"/>
          <w:color w:val="000000"/>
          <w:sz w:val="18"/>
        </w:rPr>
        <w:t>), this Registration Statement on Form S-8 also covers any additional shares of the Registrant’s common stock, par value $0.625 per share (the “</w:t>
      </w:r>
      <w:r>
        <w:rPr>
          <w:rFonts w:ascii="Times New Roman;serif" w:hAnsi="Times New Roman;serif"/>
          <w:b/>
          <w:color w:val="000000"/>
          <w:sz w:val="18"/>
        </w:rPr>
        <w:t>Common Stock</w:t>
      </w:r>
      <w:r>
        <w:rPr>
          <w:color w:val="000000"/>
        </w:rPr>
        <w:t>”</w:t>
      </w:r>
      <w:r>
        <w:rPr>
          <w:rFonts w:ascii="Times New Roman;serif" w:hAnsi="Times New Roman;serif"/>
          <w:b w:val="false"/>
          <w:color w:val="000000"/>
          <w:sz w:val="18"/>
        </w:rPr>
        <w:t>), that become issuable under the APA Corporation 2016 Omnibus Compensation Plan, as amended, in the event of any stock split, stock dividend, recapitalization, or any other similar transaction.</w:t>
      </w:r>
    </w:p>
    <w:p>
      <w:pPr>
        <w:pStyle w:val="TextBody"/>
        <w:bidi w:val="0"/>
        <w:spacing w:before="0" w:after="0"/>
        <w:ind w:left="0" w:right="0" w:hanging="450"/>
        <w:jc w:val="left"/>
        <w:rPr/>
      </w:pPr>
      <w:r>
        <w:rPr/>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(2)    Estimated in accordance with Rule 457(c) and Rule 457(h) under the Securities Act solely for purpose of calculating the registration fee. The maximum price per share of Common Stock and the maximum aggregate offering price are based on the average of the high and low sale price of the Common Stock as reported on the Nasdaq Stock Market on May 27, 2026, which date is within five business days prior to filing this Registration Statement.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Table 2: Fee Offset Claims and Sources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N/A</w:t>
      </w:r>
    </w:p>
    <w:p>
      <w:pPr>
        <w:pStyle w:val="TextBody"/>
        <w:bidi w:val="0"/>
        <w:spacing w:before="24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Exhibit 5.1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7660"/>
                <wp:effectExtent l="0" t="0" r="0" b="0"/>
                <wp:wrapNone/>
                <wp:docPr id="7" name="Frame7"/>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30.8pt;mso-position-horizontal:left;mso-position-horizontal-relative:text">
                <v:textbox>
                  <w:txbxContent>
                    <w:p>
                      <w:pPr>
                        <w:pStyle w:val="TextBody"/>
                        <w:bidi w:val="0"/>
                        <w:spacing w:before="240" w:after="24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781175" cy="18097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14"/>
                    <a:stretch>
                      <a:fillRect/>
                    </a:stretch>
                  </pic:blipFill>
                  <pic:spPr bwMode="auto">
                    <a:xfrm>
                      <a:off x="0" y="0"/>
                      <a:ext cx="1781175" cy="1809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June 1, 2026</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APA Corporation</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2000 W. Sam Houston Pkwy S, Suite 200</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Houston, Texas 77042</w:t>
      </w:r>
    </w:p>
    <w:p>
      <w:pPr>
        <w:pStyle w:val="TextBody"/>
        <w:bidi w:val="0"/>
        <w:spacing w:before="0" w:after="0"/>
        <w:jc w:val="left"/>
        <w:rPr/>
      </w:pPr>
      <w:r>
        <w:rPr/>
      </w:r>
    </w:p>
    <w:p>
      <w:pPr>
        <w:pStyle w:val="TextBody"/>
        <w:bidi w:val="0"/>
        <w:spacing w:lineRule="auto" w:line="288" w:before="0" w:after="240"/>
        <w:jc w:val="left"/>
        <w:rPr>
          <w:rFonts w:ascii="sans-serif" w:hAnsi="sans-serif"/>
          <w:b w:val="false"/>
          <w:color w:val="000000"/>
          <w:sz w:val="22"/>
        </w:rPr>
      </w:pPr>
      <w:r>
        <w:rPr>
          <w:rFonts w:ascii="sans-serif" w:hAnsi="sans-serif"/>
          <w:b w:val="false"/>
          <w:color w:val="000000"/>
          <w:sz w:val="22"/>
        </w:rPr>
        <w:t xml:space="preserve">Ladies and Gentlemen: </w:t>
      </w:r>
    </w:p>
    <w:p>
      <w:pPr>
        <w:pStyle w:val="TextBody"/>
        <w:bidi w:val="0"/>
        <w:spacing w:lineRule="auto" w:line="288" w:before="0" w:after="240"/>
        <w:jc w:val="both"/>
        <w:rPr/>
      </w:pPr>
      <w:r>
        <w:rPr>
          <w:rFonts w:ascii="sans-serif" w:hAnsi="sans-serif"/>
          <w:b w:val="false"/>
          <w:color w:val="000000"/>
          <w:sz w:val="22"/>
        </w:rPr>
        <w:t>We have acted as counsel to APA Corporation, a Delaware corporation (the “</w:t>
      </w:r>
      <w:r>
        <w:rPr>
          <w:rFonts w:ascii="sans-serif" w:hAnsi="sans-serif"/>
          <w:b w:val="false"/>
          <w:color w:val="000000"/>
          <w:sz w:val="22"/>
          <w:u w:val="single"/>
        </w:rPr>
        <w:t>Company</w:t>
      </w:r>
      <w:r>
        <w:rPr>
          <w:color w:val="000000"/>
        </w:rPr>
        <w:t>”</w:t>
      </w:r>
      <w:r>
        <w:rPr>
          <w:rFonts w:ascii="sans-serif" w:hAnsi="sans-serif"/>
          <w:b w:val="false"/>
          <w:color w:val="000000"/>
          <w:sz w:val="22"/>
        </w:rPr>
        <w:t>), in connection with the preparation of the Registration Statement on Form S-8 (the “</w:t>
      </w:r>
      <w:r>
        <w:rPr>
          <w:rFonts w:ascii="sans-serif" w:hAnsi="sans-serif"/>
          <w:b w:val="false"/>
          <w:color w:val="000000"/>
          <w:sz w:val="22"/>
          <w:u w:val="single"/>
        </w:rPr>
        <w:t>Registration Statement</w:t>
      </w:r>
      <w:r>
        <w:rPr>
          <w:color w:val="000000"/>
        </w:rPr>
        <w:t>”</w:t>
      </w:r>
      <w:r>
        <w:rPr>
          <w:rFonts w:ascii="sans-serif" w:hAnsi="sans-serif"/>
          <w:b w:val="false"/>
          <w:color w:val="000000"/>
          <w:sz w:val="22"/>
        </w:rPr>
        <w:t>) to be filed on the date hereof by the Company with the Securities and Exchange Commission (the “</w:t>
      </w:r>
      <w:r>
        <w:rPr>
          <w:rFonts w:ascii="sans-serif" w:hAnsi="sans-serif"/>
          <w:b w:val="false"/>
          <w:color w:val="000000"/>
          <w:sz w:val="22"/>
          <w:u w:val="single"/>
        </w:rPr>
        <w:t>Commission</w:t>
      </w:r>
      <w:r>
        <w:rPr>
          <w:color w:val="000000"/>
        </w:rPr>
        <w:t>”</w:t>
      </w:r>
      <w:r>
        <w:rPr>
          <w:rFonts w:ascii="sans-serif" w:hAnsi="sans-serif"/>
          <w:b w:val="false"/>
          <w:color w:val="000000"/>
          <w:sz w:val="22"/>
        </w:rPr>
        <w:t>) under the Securities Act of 1933, as amended (the “</w:t>
      </w:r>
      <w:r>
        <w:rPr>
          <w:rFonts w:ascii="sans-serif" w:hAnsi="sans-serif"/>
          <w:b w:val="false"/>
          <w:color w:val="000000"/>
          <w:sz w:val="22"/>
          <w:u w:val="single"/>
        </w:rPr>
        <w:t>Act</w:t>
      </w:r>
      <w:r>
        <w:rPr>
          <w:color w:val="000000"/>
        </w:rPr>
        <w:t>”</w:t>
      </w:r>
      <w:r>
        <w:rPr>
          <w:rFonts w:ascii="sans-serif" w:hAnsi="sans-serif"/>
          <w:b w:val="false"/>
          <w:color w:val="000000"/>
          <w:sz w:val="22"/>
        </w:rPr>
        <w:t>), relating to the issuance by the Company of up to 24,160,000 shares (the “</w:t>
      </w:r>
      <w:r>
        <w:rPr>
          <w:rFonts w:ascii="sans-serif" w:hAnsi="sans-serif"/>
          <w:b w:val="false"/>
          <w:color w:val="000000"/>
          <w:sz w:val="22"/>
          <w:u w:val="single"/>
        </w:rPr>
        <w:t>Shares</w:t>
      </w:r>
      <w:r>
        <w:rPr>
          <w:color w:val="000000"/>
        </w:rPr>
        <w:t>”</w:t>
      </w:r>
      <w:r>
        <w:rPr>
          <w:rFonts w:ascii="sans-serif" w:hAnsi="sans-serif"/>
          <w:b w:val="false"/>
          <w:color w:val="000000"/>
          <w:sz w:val="22"/>
        </w:rPr>
        <w:t>) of common stock, par value $0.625 per share, of the Company, which may be issued under the APA Corporation 2016 Omnibus Compensation Plan (as amended, restated, supplemented, or otherwise modified, the “</w:t>
      </w:r>
      <w:r>
        <w:rPr>
          <w:rFonts w:ascii="sans-serif" w:hAnsi="sans-serif"/>
          <w:b w:val="false"/>
          <w:color w:val="000000"/>
          <w:sz w:val="22"/>
          <w:u w:val="single"/>
        </w:rPr>
        <w:t>Plan</w:t>
      </w:r>
      <w:r>
        <w:rPr>
          <w:color w:val="000000"/>
        </w:rPr>
        <w:t>”</w:t>
      </w:r>
      <w:r>
        <w:rPr>
          <w:rFonts w:ascii="sans-serif" w:hAnsi="sans-serif"/>
          <w:b w:val="false"/>
          <w:color w:val="000000"/>
          <w:sz w:val="22"/>
        </w:rPr>
        <w:t>). We have been asked by the Company to render this opinion.</w: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 xml:space="preserve">We have examined copies of (i) the Registration Statement; (ii) the Amended and Restated Certificate of Incorporation of the Company and the Amended and Restated Bylaws of the Company, in each case as amended to date; (iii) the Plan; (iv) certain resolutions of the Board of Directors, or committees thereof, of the Company; and (v) such other instruments, documents and records as we have deemed necessary and relevant for the purposes hereof. In addition, we have relied upon certificates of officers of the Company and of public officials as to certain matters of fact relating to this opinion and have made such investigations of law as we have deemed necessary and relevant as a basis hereof. In such examinations and investigations, we have assumed the legal capacity of all natural persons, the genuineness of all signatures, the authenticity of all documents, certificates and records submitted to us as originals, the conformity to authentic original documents, certificates and records of all documents, certificates and records submitted to us as copies, and the truthfulness of all statements of fact contained therein. </w: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Based on the foregoing and subject to the limitations, assumptions and qualifications set forth herein, and having due regard for such legal considerations as we deem relevant, we are of the opinion that, when any Shares have been issued and delivered by the Company in accordance with the Plan, such Shares will be validly issued, fully paid and nonassessable.</w:t>
      </w:r>
    </w:p>
    <w:p>
      <w:pPr>
        <w:pStyle w:val="TextBody"/>
        <w:bidi w:val="0"/>
        <w:spacing w:lineRule="auto" w:line="288" w:before="0" w:after="240"/>
        <w:jc w:val="both"/>
        <w:rPr/>
      </w:pPr>
      <w:r>
        <w:rPr>
          <w:rFonts w:ascii="sans-serif" w:hAnsi="sans-serif"/>
          <w:b w:val="false"/>
          <w:color w:val="000000"/>
          <w:sz w:val="22"/>
        </w:rPr>
        <w:t>The foregoing opinion is based on and is limited to the General Corporation Law of the State of Delaware (including all applicable provisions of the Delaware Constitution and the reported judicial cases interpreting those laws currently in effect) and the relevant federal law of the United States of America, and we render no opinion with respect to the law of any other jurisdiction.</w:t>
      </w:r>
      <w:r>
        <w:rPr>
          <w:color w:val="000000"/>
        </w:rPr>
        <w:t xml:space="preserve"> </w: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We hereby consent to the filing of this opinion as Exhibit 5.1 to the Registration Statement. In giving such consent, we do not admit that we are in the category of persons whose consent is required under Section 7 of the Act or the rules and regulations promulgated by the Commission thereunder.</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Very truly yours,</w:t>
      </w:r>
    </w:p>
    <w:p>
      <w:pPr>
        <w:pStyle w:val="TextBody"/>
        <w:bidi w:val="0"/>
        <w:spacing w:lineRule="auto" w:line="288"/>
        <w:jc w:val="left"/>
        <w:rPr>
          <w:rFonts w:ascii="sans-serif" w:hAnsi="sans-serif"/>
          <w:b w:val="false"/>
          <w:color w:val="000000"/>
          <w:sz w:val="22"/>
        </w:rPr>
      </w:pPr>
      <w:r>
        <w:rPr>
          <w:rFonts w:ascii="sans-serif" w:hAnsi="sans-serif"/>
          <w:b w:val="false"/>
          <w:color w:val="000000"/>
          <w:sz w:val="22"/>
        </w:rPr>
        <w:br/>
        <w:t>/s/ Bracewell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Exhibit 23.1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205865"/>
                <wp:effectExtent l="0" t="0" r="0" b="0"/>
                <wp:wrapNone/>
                <wp:docPr id="9" name="Frame8"/>
                <a:graphic xmlns:a="http://schemas.openxmlformats.org/drawingml/2006/main">
                  <a:graphicData uri="http://schemas.microsoft.com/office/word/2010/wordprocessingShape">
                    <wps:wsp>
                      <wps:cNvSpPr txBox="1"/>
                      <wps:spPr>
                        <a:xfrm>
                          <a:off x="0" y="0"/>
                          <a:ext cx="6480175" cy="1205865"/>
                        </a:xfrm>
                        <a:prstGeom prst="rect"/>
                        <a:solidFill>
                          <a:srgbClr val="FFFFFF"/>
                        </a:solidFill>
                      </wps:spPr>
                      <wps:txbx>
                        <w:txbxContent>
                          <w:tbl>
                            <w:tblPr>
                              <w:tblW w:w="6660" w:type="dxa"/>
                              <w:jc w:val="left"/>
                              <w:tblInd w:w="0" w:type="dxa"/>
                              <w:tblLayout w:type="fixed"/>
                              <w:tblCellMar>
                                <w:top w:w="28" w:type="dxa"/>
                                <w:left w:w="28" w:type="dxa"/>
                                <w:bottom w:w="28" w:type="dxa"/>
                                <w:right w:w="28" w:type="dxa"/>
                              </w:tblCellMar>
                            </w:tblPr>
                            <w:tblGrid>
                              <w:gridCol w:w="505"/>
                              <w:gridCol w:w="444"/>
                              <w:gridCol w:w="446"/>
                              <w:gridCol w:w="1542"/>
                              <w:gridCol w:w="1542"/>
                              <w:gridCol w:w="2181"/>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88" w:before="280" w:after="283"/>
                                    <w:jc w:val="left"/>
                                    <w:rPr>
                                      <w:rFonts w:ascii="sans-serif" w:hAnsi="sans-serif"/>
                                      <w:b/>
                                      <w:color w:val="002855"/>
                                      <w:sz w:val="16"/>
                                    </w:rPr>
                                  </w:pPr>
                                  <w:r>
                                    <w:rPr>
                                      <w:rFonts w:ascii="sans-serif" w:hAnsi="sans-serif"/>
                                      <w:b/>
                                      <w:color w:val="002855"/>
                                      <w:sz w:val="16"/>
                                    </w:rPr>
                                    <w:t>Bracewell LLP</w:t>
                                  </w:r>
                                </w:p>
                              </w:tc>
                              <w:tc>
                                <w:tcPr>
                                  <w:tcW w:w="5265" w:type="dxa"/>
                                  <w:gridSpan w:val="3"/>
                                  <w:tcBorders/>
                                  <w:tcMar>
                                    <w:top w:w="0" w:type="dxa"/>
                                    <w:left w:w="0" w:type="dxa"/>
                                    <w:bottom w:w="0" w:type="dxa"/>
                                    <w:right w:w="0" w:type="dxa"/>
                                  </w:tcMar>
                                  <w:vAlign w:val="center"/>
                                </w:tcPr>
                                <w:p>
                                  <w:pPr>
                                    <w:pStyle w:val="TableContents"/>
                                    <w:bidi w:val="0"/>
                                    <w:spacing w:lineRule="auto" w:line="288" w:before="280" w:after="283"/>
                                    <w:jc w:val="left"/>
                                    <w:rPr>
                                      <w:rFonts w:ascii="sans-serif" w:hAnsi="sans-serif"/>
                                      <w:b w:val="false"/>
                                      <w:color w:val="75787B"/>
                                      <w:sz w:val="16"/>
                                    </w:rPr>
                                  </w:pPr>
                                  <w:r>
                                    <w:rPr>
                                      <w:rFonts w:ascii="sans-serif" w:hAnsi="sans-serif"/>
                                      <w:b w:val="false"/>
                                      <w:color w:val="75787B"/>
                                      <w:sz w:val="16"/>
                                    </w:rPr>
                                    <w:t>T: +1.713.223.2300            F: +1.800.404.3970</w:t>
                                    <w:br/>
                                    <w:t>711 Louisiana Street, Suite 2300, Houston, Texas 77002-2770</w:t>
                                    <w:br/>
                                    <w:t>bracewell.com</w:t>
                                  </w:r>
                                </w:p>
                              </w:tc>
                            </w:tr>
                          </w:tbl>
                          <w:p>
                            <w:pPr>
                              <w:pStyle w:val="TextBody"/>
                              <w:bidi w:val="0"/>
                              <w:spacing w:lineRule="auto" w:line="288" w:before="120" w:after="283"/>
                              <w:jc w:val="center"/>
                              <w:rPr>
                                <w:rFonts w:ascii="Calibri Light;sans-serif" w:hAnsi="Calibri Light;sans-serif"/>
                                <w:b w:val="false"/>
                                <w:color w:val="002855"/>
                                <w:sz w:val="14"/>
                              </w:rPr>
                            </w:pPr>
                            <w:r>
                              <w:rPr>
                                <w:rFonts w:ascii="Calibri Light;sans-serif" w:hAnsi="Calibri Light;sans-serif"/>
                                <w:b w:val="false"/>
                                <w:color w:val="002855"/>
                                <w:sz w:val="14"/>
                              </w:rPr>
                              <w:t>AUSTIN  DALLAS  DUBAI  HOUSTON  LONDON  NEW YORK  PARIS  SAN ANTONIO  SEATTLE  WASHINGTON, DC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95pt;mso-wrap-distance-left:0pt;mso-wrap-distance-right:0pt;mso-wrap-distance-top:0pt;mso-wrap-distance-bottom:0pt;margin-top:0pt;mso-position-vertical:top;mso-position-vertical-relative:text;margin-left:-425.3pt;mso-position-horizontal:left;mso-position-horizontal-relative:text">
                <v:textbox>
                  <w:txbxContent>
                    <w:tbl>
                      <w:tblPr>
                        <w:tblW w:w="6660" w:type="dxa"/>
                        <w:jc w:val="left"/>
                        <w:tblInd w:w="0" w:type="dxa"/>
                        <w:tblLayout w:type="fixed"/>
                        <w:tblCellMar>
                          <w:top w:w="28" w:type="dxa"/>
                          <w:left w:w="28" w:type="dxa"/>
                          <w:bottom w:w="28" w:type="dxa"/>
                          <w:right w:w="28" w:type="dxa"/>
                        </w:tblCellMar>
                      </w:tblPr>
                      <w:tblGrid>
                        <w:gridCol w:w="505"/>
                        <w:gridCol w:w="444"/>
                        <w:gridCol w:w="446"/>
                        <w:gridCol w:w="1542"/>
                        <w:gridCol w:w="1542"/>
                        <w:gridCol w:w="2181"/>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88" w:before="280" w:after="283"/>
                              <w:jc w:val="left"/>
                              <w:rPr>
                                <w:rFonts w:ascii="sans-serif" w:hAnsi="sans-serif"/>
                                <w:b/>
                                <w:color w:val="002855"/>
                                <w:sz w:val="16"/>
                              </w:rPr>
                            </w:pPr>
                            <w:r>
                              <w:rPr>
                                <w:rFonts w:ascii="sans-serif" w:hAnsi="sans-serif"/>
                                <w:b/>
                                <w:color w:val="002855"/>
                                <w:sz w:val="16"/>
                              </w:rPr>
                              <w:t>Bracewell LLP</w:t>
                            </w:r>
                          </w:p>
                        </w:tc>
                        <w:tc>
                          <w:tcPr>
                            <w:tcW w:w="5265" w:type="dxa"/>
                            <w:gridSpan w:val="3"/>
                            <w:tcBorders/>
                            <w:tcMar>
                              <w:top w:w="0" w:type="dxa"/>
                              <w:left w:w="0" w:type="dxa"/>
                              <w:bottom w:w="0" w:type="dxa"/>
                              <w:right w:w="0" w:type="dxa"/>
                            </w:tcMar>
                            <w:vAlign w:val="center"/>
                          </w:tcPr>
                          <w:p>
                            <w:pPr>
                              <w:pStyle w:val="TableContents"/>
                              <w:bidi w:val="0"/>
                              <w:spacing w:lineRule="auto" w:line="288" w:before="280" w:after="283"/>
                              <w:jc w:val="left"/>
                              <w:rPr>
                                <w:rFonts w:ascii="sans-serif" w:hAnsi="sans-serif"/>
                                <w:b w:val="false"/>
                                <w:color w:val="75787B"/>
                                <w:sz w:val="16"/>
                              </w:rPr>
                            </w:pPr>
                            <w:r>
                              <w:rPr>
                                <w:rFonts w:ascii="sans-serif" w:hAnsi="sans-serif"/>
                                <w:b w:val="false"/>
                                <w:color w:val="75787B"/>
                                <w:sz w:val="16"/>
                              </w:rPr>
                              <w:t>T: +1.713.223.2300            F: +1.800.404.3970</w:t>
                              <w:br/>
                              <w:t>711 Louisiana Street, Suite 2300, Houston, Texas 77002-2770</w:t>
                              <w:br/>
                              <w:t>bracewell.com</w:t>
                            </w:r>
                          </w:p>
                        </w:tc>
                      </w:tr>
                    </w:tbl>
                    <w:p>
                      <w:pPr>
                        <w:pStyle w:val="TextBody"/>
                        <w:bidi w:val="0"/>
                        <w:spacing w:lineRule="auto" w:line="288" w:before="120" w:after="283"/>
                        <w:jc w:val="center"/>
                        <w:rPr>
                          <w:rFonts w:ascii="Calibri Light;sans-serif" w:hAnsi="Calibri Light;sans-serif"/>
                          <w:b w:val="false"/>
                          <w:color w:val="002855"/>
                          <w:sz w:val="14"/>
                        </w:rPr>
                      </w:pPr>
                      <w:r>
                        <w:rPr>
                          <w:rFonts w:ascii="Calibri Light;sans-serif" w:hAnsi="Calibri Light;sans-serif"/>
                          <w:b w:val="false"/>
                          <w:color w:val="002855"/>
                          <w:sz w:val="14"/>
                        </w:rPr>
                        <w:t>AUSTIN  DALLAS  DUBAI  HOUSTON  LONDON  NEW YORK  PARIS  SAN ANTONIO  SEATTLE  WASHINGTON, DC</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 consent to the incorporation by reference in the Registration Statement (Form S-8) pertaining to the 2016 Omnibus Compensation Plan of APA Corporation of our reports dated February 26, 2026, with respect to the consolidated financial statements of APA Corporation and subsidiaries and the effectiveness of internal control over financial reporting of APA Corporation and subsidiaries included in its Annual Report (Form 10-K) for the year ended December 31, 2025, filed with the Securities and Exchange Commission.</w: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 Ernst &amp; Young LLP</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Houston, Texas</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June 1,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Exhibit 23.2</w:t>
      </w:r>
    </w:p>
    <w:p>
      <w:pPr>
        <w:pStyle w:val="TextBody"/>
        <w:bidi w:val="0"/>
        <w:spacing w:before="0" w:after="0"/>
        <w:jc w:val="left"/>
        <w:rPr/>
      </w:pPr>
      <w:r>
        <w:rPr/>
        <w:drawing>
          <wp:inline distT="0" distB="0" distL="0" distR="0">
            <wp:extent cx="495300" cy="571500"/>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15"/>
                    <a:stretch>
                      <a:fillRect/>
                    </a:stretch>
                  </pic:blipFill>
                  <pic:spPr bwMode="auto">
                    <a:xfrm>
                      <a:off x="0" y="0"/>
                      <a:ext cx="495300" cy="571500"/>
                    </a:xfrm>
                    <a:prstGeom prst="rect">
                      <a:avLst/>
                    </a:prstGeom>
                  </pic:spPr>
                </pic:pic>
              </a:graphicData>
            </a:graphic>
          </wp:inline>
        </w:drawing>
      </w:r>
      <w:r>
        <w:rPr/>
        <w:drawing>
          <wp:inline distT="0" distB="0" distL="0" distR="0">
            <wp:extent cx="1847850" cy="45720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16"/>
                    <a:stretch>
                      <a:fillRect/>
                    </a:stretch>
                  </pic:blipFill>
                  <pic:spPr bwMode="auto">
                    <a:xfrm>
                      <a:off x="0" y="0"/>
                      <a:ext cx="1847850" cy="457200"/>
                    </a:xfrm>
                    <a:prstGeom prst="rect">
                      <a:avLst/>
                    </a:prstGeom>
                  </pic:spPr>
                </pic:pic>
              </a:graphicData>
            </a:graphic>
          </wp:inline>
        </w:drawing>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6"/>
        </w:rPr>
        <w:t>TBPELS REGISTERED ENGINEERING FIRM F-1580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6"/>
        </w:rPr>
        <w:t>1100 LOUISIANA SUITE 4600    HOUSTON, TEXAS 77002-5294    TELEPHONE (713) 651-9191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Consent of Ryder Scott Company, L.P.</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As independent petroleum engineers, we hereby consent to the incorporation by reference in this Registration Statement (Form S-8) of our Firm’s review of the proved oil and gas reserve quantities of APA Corporation as of December 31, 2025, and to all references to our Firm included in such Registration Statement.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 RYDER SCOTT COMPANY, L.P.</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RYDER SCOTT COMPANY, L.P.</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TBPELS Firm Registration No. F-1580</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Houston, Texas</w:t>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June 1, 2026</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56540"/>
                <wp:effectExtent l="0" t="0" r="0" b="0"/>
                <wp:wrapNone/>
                <wp:docPr id="13" name="Frame10"/>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SUITE 2900, 350 7TH AVENUE, S.W.        CALGARY, ALBERTA T2P 3N9        TEL (403) 262-2799</w:t>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555 17TH STREET, SUITE 985         DENVER, COLORADO 80202        TEL (303) 339-8110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SUITE 2900, 350 7TH AVENUE, S.W.        CALGARY, ALBERTA T2P 3N9        TEL (403) 262-2799</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555 17TH STREET, SUITE 985         DENVER, COLORADO 80202        TEL (303) 339-8110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Calibri Light">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1666/000119312521064041/d151649ds8.htm" TargetMode="External"/><Relationship Id="rId3" Type="http://schemas.openxmlformats.org/officeDocument/2006/relationships/hyperlink" Target="https://www.sec.gov/Archives/edgar/data/1841666/000184166626000015/apa-20251231.htm" TargetMode="External"/><Relationship Id="rId4" Type="http://schemas.openxmlformats.org/officeDocument/2006/relationships/hyperlink" Target="https://www.sec.gov/Archives/edgar/data/1841666/000119312526149453/apa-20260409.htm" TargetMode="External"/><Relationship Id="rId5" Type="http://schemas.openxmlformats.org/officeDocument/2006/relationships/hyperlink" Target="https://www.sec.gov/Archives/edgar/data/1841666/000184166626000034/apa-20260331.htm" TargetMode="External"/><Relationship Id="rId6" Type="http://schemas.openxmlformats.org/officeDocument/2006/relationships/hyperlink" Target="https://www.sec.gov/Archives/edgar/data/1841666/000184166626000037/apa8k-20260521.htm" TargetMode="External"/><Relationship Id="rId7" Type="http://schemas.openxmlformats.org/officeDocument/2006/relationships/hyperlink" Target="https://www.sec.gov/Archives/edgar/data/1841666/000119312521063695/d127090dex42.htm" TargetMode="External"/><Relationship Id="rId8" Type="http://schemas.openxmlformats.org/officeDocument/2006/relationships/hyperlink" Target="https://www.sec.gov/Archives/edgar/data/1841666/000119312521063695/d127090dex31.htm" TargetMode="External"/><Relationship Id="rId9" Type="http://schemas.openxmlformats.org/officeDocument/2006/relationships/hyperlink" Target="https://www.sec.gov/Archives/edgar/data/1841666/000119312523154218/d466832dex31.htm" TargetMode="External"/><Relationship Id="rId10" Type="http://schemas.openxmlformats.org/officeDocument/2006/relationships/hyperlink" Target="https://www.sec.gov/Archives/edgar/data/1841666/000119312523028378/d462086dex31.htm" TargetMode="External"/><Relationship Id="rId11" Type="http://schemas.openxmlformats.org/officeDocument/2006/relationships/hyperlink" Target="https://www.sec.gov/Archives/edgar/data/6769/000119312516591733/d169299dex101.htm" TargetMode="External"/><Relationship Id="rId12" Type="http://schemas.openxmlformats.org/officeDocument/2006/relationships/hyperlink" Target="https://www.sec.gov/Archives/edgar/data/1841666/000119312521063695/d127090dex106.htm" TargetMode="External"/><Relationship Id="rId13" Type="http://schemas.openxmlformats.org/officeDocument/2006/relationships/hyperlink" Target="https://www.sec.gov/Archives/edgar/data/1841666/000184166626000037/ex101thirdamendmentto2016o.htm" TargetMode="External"/><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3793</Words>
  <Characters>20414</Characters>
  <CharactersWithSpaces>24099</CharactersWithSpaces>
  <Paragraphs>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