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0"/>
        <w:spacing w:after="0"/>
        <w:rPr>
          <w:sz w:val="20"/>
          <w:szCs w:val="20"/>
          <w:color w:val="auto"/>
        </w:rPr>
      </w:pPr>
      <w:r>
        <w:rPr>
          <w:rFonts w:ascii="Times New Roman" w:cs="Times New Roman" w:eastAsia="Times New Roman" w:hAnsi="Times New Roman"/>
          <w:sz w:val="30"/>
          <w:szCs w:val="30"/>
          <w:b w:val="1"/>
          <w:bCs w:val="1"/>
          <w:color w:val="202529"/>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202529"/>
        </w:rPr>
        <w:t>SECURITIES AND EXCHANGE COMMISSION</w:t>
      </w:r>
    </w:p>
    <w:p>
      <w:pPr>
        <w:spacing w:after="0" w:line="1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0"/>
          <w:szCs w:val="20"/>
          <w:b w:val="1"/>
          <w:bCs w:val="1"/>
          <w:color w:val="202529"/>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2222500</wp:posOffset>
            </wp:positionH>
            <wp:positionV relativeFrom="paragraph">
              <wp:posOffset>94615</wp:posOffset>
            </wp:positionV>
            <wp:extent cx="1731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359"/>
        </w:trPr>
        <w:tc>
          <w:tcPr>
            <w:tcW w:w="2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20" w:type="dxa"/>
            <w:vAlign w:val="bottom"/>
            <w:gridSpan w:val="2"/>
          </w:tcPr>
          <w:p>
            <w:pPr>
              <w:jc w:val="center"/>
              <w:ind w:right="680"/>
              <w:spacing w:after="0"/>
              <w:rPr>
                <w:sz w:val="20"/>
                <w:szCs w:val="20"/>
                <w:color w:val="auto"/>
              </w:rPr>
            </w:pPr>
            <w:r>
              <w:rPr>
                <w:rFonts w:ascii="Times New Roman" w:cs="Times New Roman" w:eastAsia="Times New Roman" w:hAnsi="Times New Roman"/>
                <w:sz w:val="30"/>
                <w:szCs w:val="30"/>
                <w:b w:val="1"/>
                <w:bCs w:val="1"/>
                <w:color w:val="202529"/>
                <w:w w:val="99"/>
              </w:rPr>
              <w:t>SCHEDULE 14A</w:t>
            </w:r>
          </w:p>
        </w:tc>
      </w:tr>
      <w:tr>
        <w:trPr>
          <w:trHeight w:val="229"/>
        </w:trPr>
        <w:tc>
          <w:tcPr>
            <w:tcW w:w="2300" w:type="dxa"/>
            <w:vAlign w:val="bottom"/>
          </w:tcPr>
          <w:p>
            <w:pPr>
              <w:spacing w:after="0"/>
              <w:rPr>
                <w:sz w:val="19"/>
                <w:szCs w:val="19"/>
                <w:color w:val="auto"/>
              </w:rPr>
            </w:pPr>
          </w:p>
        </w:tc>
        <w:tc>
          <w:tcPr>
            <w:tcW w:w="4620" w:type="dxa"/>
            <w:vAlign w:val="bottom"/>
            <w:gridSpan w:val="3"/>
          </w:tcPr>
          <w:p>
            <w:pPr>
              <w:jc w:val="center"/>
              <w:ind w:left="410"/>
              <w:spacing w:after="0"/>
              <w:rPr>
                <w:sz w:val="20"/>
                <w:szCs w:val="20"/>
                <w:color w:val="auto"/>
              </w:rPr>
            </w:pPr>
            <w:r>
              <w:rPr>
                <w:rFonts w:ascii="Times New Roman" w:cs="Times New Roman" w:eastAsia="Times New Roman" w:hAnsi="Times New Roman"/>
                <w:sz w:val="20"/>
                <w:szCs w:val="20"/>
                <w:b w:val="1"/>
                <w:bCs w:val="1"/>
                <w:color w:val="202529"/>
                <w:w w:val="98"/>
              </w:rPr>
              <w:t>Proxy Statement Pursuant to Section 14(a) of the</w:t>
            </w:r>
          </w:p>
        </w:tc>
      </w:tr>
      <w:tr>
        <w:trPr>
          <w:trHeight w:val="230"/>
        </w:trPr>
        <w:tc>
          <w:tcPr>
            <w:tcW w:w="2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20" w:type="dxa"/>
            <w:vAlign w:val="bottom"/>
            <w:gridSpan w:val="2"/>
          </w:tcPr>
          <w:p>
            <w:pPr>
              <w:jc w:val="center"/>
              <w:ind w:right="680"/>
              <w:spacing w:after="0"/>
              <w:rPr>
                <w:sz w:val="20"/>
                <w:szCs w:val="20"/>
                <w:color w:val="auto"/>
              </w:rPr>
            </w:pPr>
            <w:r>
              <w:rPr>
                <w:rFonts w:ascii="Times New Roman" w:cs="Times New Roman" w:eastAsia="Times New Roman" w:hAnsi="Times New Roman"/>
                <w:sz w:val="20"/>
                <w:szCs w:val="20"/>
                <w:b w:val="1"/>
                <w:bCs w:val="1"/>
                <w:color w:val="202529"/>
                <w:w w:val="98"/>
              </w:rPr>
              <w:t>Securities Exchange Act of 1934</w:t>
            </w:r>
          </w:p>
        </w:tc>
      </w:tr>
      <w:tr>
        <w:trPr>
          <w:trHeight w:val="262"/>
        </w:trPr>
        <w:tc>
          <w:tcPr>
            <w:tcW w:w="2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20" w:type="dxa"/>
            <w:vAlign w:val="bottom"/>
            <w:gridSpan w:val="2"/>
          </w:tcPr>
          <w:p>
            <w:pPr>
              <w:jc w:val="center"/>
              <w:ind w:right="700"/>
              <w:spacing w:after="0"/>
              <w:rPr>
                <w:sz w:val="20"/>
                <w:szCs w:val="20"/>
                <w:color w:val="auto"/>
              </w:rPr>
            </w:pPr>
            <w:r>
              <w:rPr>
                <w:rFonts w:ascii="Times New Roman" w:cs="Times New Roman" w:eastAsia="Times New Roman" w:hAnsi="Times New Roman"/>
                <w:sz w:val="20"/>
                <w:szCs w:val="20"/>
                <w:b w:val="1"/>
                <w:bCs w:val="1"/>
                <w:color w:val="202529"/>
                <w:w w:val="99"/>
              </w:rPr>
              <w:t>(Amendment No.)</w:t>
            </w:r>
          </w:p>
        </w:tc>
      </w:tr>
      <w:tr>
        <w:trPr>
          <w:trHeight w:val="129"/>
        </w:trPr>
        <w:tc>
          <w:tcPr>
            <w:tcW w:w="2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r>
      <w:tr>
        <w:trPr>
          <w:trHeight w:val="351"/>
        </w:trPr>
        <w:tc>
          <w:tcPr>
            <w:tcW w:w="23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202529"/>
              </w:rPr>
              <w:t xml:space="preserve">Filed by the Registrant   </w:t>
            </w:r>
            <w:r>
              <w:rPr>
                <w:rFonts w:ascii="MS PGothic" w:cs="MS PGothic" w:eastAsia="MS PGothic" w:hAnsi="MS PGothic"/>
                <w:sz w:val="16"/>
                <w:szCs w:val="16"/>
                <w:color w:val="000000"/>
              </w:rPr>
              <w:t>☒</w:t>
            </w:r>
          </w:p>
        </w:tc>
        <w:tc>
          <w:tcPr>
            <w:tcW w:w="4620" w:type="dxa"/>
            <w:vAlign w:val="bottom"/>
            <w:gridSpan w:val="3"/>
          </w:tcPr>
          <w:p>
            <w:pPr>
              <w:jc w:val="center"/>
              <w:ind w:left="390"/>
              <w:spacing w:after="0" w:line="184" w:lineRule="exact"/>
              <w:rPr>
                <w:sz w:val="20"/>
                <w:szCs w:val="20"/>
                <w:color w:val="auto"/>
              </w:rPr>
            </w:pPr>
            <w:r>
              <w:rPr>
                <w:rFonts w:ascii="Times New Roman" w:cs="Times New Roman" w:eastAsia="Times New Roman" w:hAnsi="Times New Roman"/>
                <w:sz w:val="16"/>
                <w:szCs w:val="16"/>
                <w:color w:val="202529"/>
              </w:rPr>
              <w:t xml:space="preserve">Filed by a Party other than the Registrant   </w:t>
            </w:r>
            <w:r>
              <w:rPr>
                <w:rFonts w:ascii="MS PGothic" w:cs="MS PGothic" w:eastAsia="MS PGothic" w:hAnsi="MS PGothic"/>
                <w:sz w:val="16"/>
                <w:szCs w:val="16"/>
                <w:color w:val="000000"/>
              </w:rPr>
              <w:t>☐</w:t>
            </w:r>
          </w:p>
        </w:tc>
      </w:tr>
      <w:tr>
        <w:trPr>
          <w:trHeight w:val="244"/>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202529"/>
              </w:rPr>
              <w:t>Check the appropriate box:</w:t>
            </w:r>
          </w:p>
        </w:tc>
        <w:tc>
          <w:tcPr>
            <w:tcW w:w="12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195"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6"/>
          <w:szCs w:val="16"/>
          <w:color w:val="202529"/>
        </w:rPr>
      </w:pPr>
      <w:r>
        <w:rPr>
          <w:rFonts w:ascii="Times New Roman" w:cs="Times New Roman" w:eastAsia="Times New Roman" w:hAnsi="Times New Roman"/>
          <w:sz w:val="16"/>
          <w:szCs w:val="16"/>
          <w:color w:val="202529"/>
        </w:rPr>
        <w:t>Preliminary Proxy Statement</w:t>
      </w:r>
    </w:p>
    <w:p>
      <w:pPr>
        <w:spacing w:after="0" w:line="84" w:lineRule="exact"/>
        <w:rPr>
          <w:rFonts w:ascii="MS PGothic" w:cs="MS PGothic" w:eastAsia="MS PGothic" w:hAnsi="MS PGothic"/>
          <w:sz w:val="16"/>
          <w:szCs w:val="16"/>
          <w:color w:val="202529"/>
        </w:rPr>
      </w:pPr>
    </w:p>
    <w:p>
      <w:pPr>
        <w:ind w:left="400" w:hanging="396"/>
        <w:spacing w:after="0"/>
        <w:tabs>
          <w:tab w:leader="none" w:pos="400" w:val="left"/>
        </w:tabs>
        <w:numPr>
          <w:ilvl w:val="0"/>
          <w:numId w:val="1"/>
        </w:numPr>
        <w:rPr>
          <w:rFonts w:ascii="MS PGothic" w:cs="MS PGothic" w:eastAsia="MS PGothic" w:hAnsi="MS PGothic"/>
          <w:sz w:val="16"/>
          <w:szCs w:val="16"/>
          <w:color w:val="202529"/>
        </w:rPr>
      </w:pPr>
      <w:r>
        <w:rPr>
          <w:rFonts w:ascii="Times New Roman" w:cs="Times New Roman" w:eastAsia="Times New Roman" w:hAnsi="Times New Roman"/>
          <w:sz w:val="16"/>
          <w:szCs w:val="16"/>
          <w:b w:val="1"/>
          <w:bCs w:val="1"/>
          <w:color w:val="202529"/>
        </w:rPr>
        <w:t>Confidential, for Use of the Commission Only (as permitted by Rule 14a-6(e)(2))</w:t>
      </w:r>
    </w:p>
    <w:p>
      <w:pPr>
        <w:spacing w:after="0" w:line="54" w:lineRule="exact"/>
        <w:rPr>
          <w:rFonts w:ascii="MS PGothic" w:cs="MS PGothic" w:eastAsia="MS PGothic" w:hAnsi="MS PGothic"/>
          <w:sz w:val="16"/>
          <w:szCs w:val="16"/>
          <w:color w:val="202529"/>
        </w:rPr>
      </w:pPr>
    </w:p>
    <w:p>
      <w:pPr>
        <w:spacing w:after="0" w:line="184" w:lineRule="exact"/>
        <w:rPr>
          <w:rFonts w:ascii="MS PGothic" w:cs="MS PGothic" w:eastAsia="MS PGothic" w:hAnsi="MS PGothic"/>
          <w:sz w:val="16"/>
          <w:szCs w:val="16"/>
          <w:color w:val="202529"/>
        </w:rPr>
      </w:pPr>
      <w:r>
        <w:rPr>
          <w:rFonts w:ascii="MS PGothic" w:cs="MS PGothic" w:eastAsia="MS PGothic" w:hAnsi="MS PGothic"/>
          <w:sz w:val="16"/>
          <w:szCs w:val="16"/>
          <w:color w:val="202529"/>
        </w:rPr>
        <w:t>☒</w:t>
      </w:r>
      <w:r>
        <w:rPr>
          <w:rFonts w:ascii="Times New Roman" w:cs="Times New Roman" w:eastAsia="Times New Roman" w:hAnsi="Times New Roman"/>
          <w:sz w:val="16"/>
          <w:szCs w:val="16"/>
          <w:color w:val="202529"/>
        </w:rPr>
        <w:t xml:space="preserve">  Definitive Proxy Statement</w:t>
      </w:r>
    </w:p>
    <w:p>
      <w:pPr>
        <w:spacing w:after="0" w:line="119" w:lineRule="exact"/>
        <w:rPr>
          <w:rFonts w:ascii="MS PGothic" w:cs="MS PGothic" w:eastAsia="MS PGothic" w:hAnsi="MS PGothic"/>
          <w:sz w:val="16"/>
          <w:szCs w:val="16"/>
          <w:color w:val="202529"/>
        </w:rPr>
      </w:pPr>
    </w:p>
    <w:p>
      <w:pPr>
        <w:ind w:left="400" w:hanging="396"/>
        <w:spacing w:after="0"/>
        <w:tabs>
          <w:tab w:leader="none" w:pos="400" w:val="left"/>
        </w:tabs>
        <w:numPr>
          <w:ilvl w:val="0"/>
          <w:numId w:val="1"/>
        </w:numPr>
        <w:rPr>
          <w:rFonts w:ascii="MS PGothic" w:cs="MS PGothic" w:eastAsia="MS PGothic" w:hAnsi="MS PGothic"/>
          <w:sz w:val="16"/>
          <w:szCs w:val="16"/>
          <w:color w:val="202529"/>
        </w:rPr>
      </w:pPr>
      <w:r>
        <w:rPr>
          <w:rFonts w:ascii="Times New Roman" w:cs="Times New Roman" w:eastAsia="Times New Roman" w:hAnsi="Times New Roman"/>
          <w:sz w:val="16"/>
          <w:szCs w:val="16"/>
          <w:color w:val="202529"/>
        </w:rPr>
        <w:t>Definitive Additional Materials</w:t>
      </w:r>
    </w:p>
    <w:p>
      <w:pPr>
        <w:spacing w:after="0" w:line="86" w:lineRule="exact"/>
        <w:rPr>
          <w:rFonts w:ascii="MS PGothic" w:cs="MS PGothic" w:eastAsia="MS PGothic" w:hAnsi="MS PGothic"/>
          <w:sz w:val="16"/>
          <w:szCs w:val="16"/>
          <w:color w:val="202529"/>
        </w:rPr>
      </w:pPr>
    </w:p>
    <w:p>
      <w:pPr>
        <w:ind w:left="400" w:hanging="396"/>
        <w:spacing w:after="0"/>
        <w:tabs>
          <w:tab w:leader="none" w:pos="400" w:val="left"/>
        </w:tabs>
        <w:numPr>
          <w:ilvl w:val="0"/>
          <w:numId w:val="1"/>
        </w:numPr>
        <w:rPr>
          <w:rFonts w:ascii="MS PGothic" w:cs="MS PGothic" w:eastAsia="MS PGothic" w:hAnsi="MS PGothic"/>
          <w:sz w:val="16"/>
          <w:szCs w:val="16"/>
          <w:color w:val="202529"/>
        </w:rPr>
      </w:pPr>
      <w:r>
        <w:rPr>
          <w:rFonts w:ascii="Times New Roman" w:cs="Times New Roman" w:eastAsia="Times New Roman" w:hAnsi="Times New Roman"/>
          <w:sz w:val="16"/>
          <w:szCs w:val="16"/>
          <w:color w:val="202529"/>
        </w:rPr>
        <w:t>Soliciting Material Under §240.14a-12</w:t>
      </w:r>
    </w:p>
    <w:p>
      <w:pPr>
        <w:spacing w:after="0" w:line="5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6"/>
          <w:szCs w:val="36"/>
          <w:b w:val="1"/>
          <w:bCs w:val="1"/>
          <w:color w:val="202529"/>
        </w:rPr>
        <w:t>APA CORPORATION</w:t>
      </w:r>
    </w:p>
    <w:p>
      <w:pPr>
        <w:spacing w:after="0" w:line="8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202529"/>
        </w:rPr>
        <w:t>(Name of Registrant as Specified in its Charter)</w:t>
      </w:r>
    </w:p>
    <w:p>
      <w:pPr>
        <w:spacing w:after="0" w:line="6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3"/>
          <w:szCs w:val="13"/>
          <w:b w:val="1"/>
          <w:bCs w:val="1"/>
          <w:color w:val="202529"/>
        </w:rPr>
        <w:t>(Name of Person(s) Filing Proxy Statement, if other than the Registrant)</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02529"/>
        </w:rPr>
        <w:t>Payment of Filing Fee (Check all boxes that apply):</w:t>
      </w:r>
    </w:p>
    <w:p>
      <w:pPr>
        <w:spacing w:after="0" w:line="86"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6"/>
          <w:szCs w:val="16"/>
          <w:color w:val="202529"/>
        </w:rPr>
      </w:pPr>
      <w:r>
        <w:rPr>
          <w:rFonts w:ascii="Times New Roman" w:cs="Times New Roman" w:eastAsia="Times New Roman" w:hAnsi="Times New Roman"/>
          <w:sz w:val="16"/>
          <w:szCs w:val="16"/>
          <w:color w:val="202529"/>
        </w:rPr>
        <w:t>No fee required</w:t>
      </w:r>
    </w:p>
    <w:p>
      <w:pPr>
        <w:spacing w:after="0" w:line="86" w:lineRule="exact"/>
        <w:rPr>
          <w:sz w:val="24"/>
          <w:szCs w:val="24"/>
          <w:color w:val="auto"/>
        </w:rPr>
      </w:pPr>
    </w:p>
    <w:p>
      <w:pPr>
        <w:ind w:left="400" w:hanging="396"/>
        <w:spacing w:after="0"/>
        <w:tabs>
          <w:tab w:leader="none" w:pos="400" w:val="left"/>
        </w:tabs>
        <w:numPr>
          <w:ilvl w:val="0"/>
          <w:numId w:val="3"/>
        </w:numPr>
        <w:rPr>
          <w:rFonts w:ascii="MS PGothic" w:cs="MS PGothic" w:eastAsia="MS PGothic" w:hAnsi="MS PGothic"/>
          <w:sz w:val="16"/>
          <w:szCs w:val="16"/>
          <w:color w:val="202529"/>
        </w:rPr>
      </w:pPr>
      <w:r>
        <w:rPr>
          <w:rFonts w:ascii="Times New Roman" w:cs="Times New Roman" w:eastAsia="Times New Roman" w:hAnsi="Times New Roman"/>
          <w:sz w:val="16"/>
          <w:szCs w:val="16"/>
          <w:color w:val="202529"/>
        </w:rPr>
        <w:t>Fee paid previously with preliminary materials</w:t>
      </w:r>
    </w:p>
    <w:p>
      <w:pPr>
        <w:spacing w:after="0" w:line="86" w:lineRule="exact"/>
        <w:rPr>
          <w:rFonts w:ascii="MS PGothic" w:cs="MS PGothic" w:eastAsia="MS PGothic" w:hAnsi="MS PGothic"/>
          <w:sz w:val="16"/>
          <w:szCs w:val="16"/>
          <w:color w:val="202529"/>
        </w:rPr>
      </w:pPr>
    </w:p>
    <w:p>
      <w:pPr>
        <w:ind w:left="400" w:hanging="396"/>
        <w:spacing w:after="0"/>
        <w:tabs>
          <w:tab w:leader="none" w:pos="400" w:val="left"/>
        </w:tabs>
        <w:numPr>
          <w:ilvl w:val="0"/>
          <w:numId w:val="3"/>
        </w:numPr>
        <w:rPr>
          <w:rFonts w:ascii="MS PGothic" w:cs="MS PGothic" w:eastAsia="MS PGothic" w:hAnsi="MS PGothic"/>
          <w:sz w:val="16"/>
          <w:szCs w:val="16"/>
          <w:color w:val="202529"/>
        </w:rPr>
      </w:pPr>
      <w:r>
        <w:rPr>
          <w:rFonts w:ascii="Times New Roman" w:cs="Times New Roman" w:eastAsia="Times New Roman" w:hAnsi="Times New Roman"/>
          <w:sz w:val="16"/>
          <w:szCs w:val="16"/>
          <w:color w:val="202529"/>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659130</wp:posOffset>
            </wp:positionV>
            <wp:extent cx="703770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166370</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183515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98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05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86"/>
          <w:szCs w:val="86"/>
          <w:b w:val="1"/>
          <w:bCs w:val="1"/>
          <w:color w:val="D9AB28"/>
        </w:rPr>
        <w:t>2026</w:t>
      </w:r>
    </w:p>
    <w:p>
      <w:pPr>
        <w:spacing w:after="0" w:line="241" w:lineRule="exact"/>
        <w:rPr>
          <w:sz w:val="20"/>
          <w:szCs w:val="20"/>
          <w:color w:val="auto"/>
        </w:rPr>
      </w:pPr>
    </w:p>
    <w:p>
      <w:pPr>
        <w:ind w:right="559"/>
        <w:spacing w:after="0" w:line="294" w:lineRule="auto"/>
        <w:rPr>
          <w:sz w:val="20"/>
          <w:szCs w:val="20"/>
          <w:color w:val="auto"/>
        </w:rPr>
      </w:pPr>
      <w:r>
        <w:rPr>
          <w:rFonts w:ascii="Arial" w:cs="Arial" w:eastAsia="Arial" w:hAnsi="Arial"/>
          <w:sz w:val="75"/>
          <w:szCs w:val="75"/>
          <w:b w:val="1"/>
          <w:bCs w:val="1"/>
          <w:color w:val="FFFFFF"/>
        </w:rPr>
        <w:t xml:space="preserve">Proxy Statement </w:t>
      </w:r>
      <w:r>
        <w:rPr>
          <w:rFonts w:ascii="Arial" w:cs="Arial" w:eastAsia="Arial" w:hAnsi="Arial"/>
          <w:sz w:val="35"/>
          <w:szCs w:val="35"/>
          <w:color w:val="FFFFFF"/>
        </w:rPr>
        <w:t>and</w:t>
      </w:r>
      <w:r>
        <w:rPr>
          <w:rFonts w:ascii="Arial" w:cs="Arial" w:eastAsia="Arial" w:hAnsi="Arial"/>
          <w:sz w:val="75"/>
          <w:szCs w:val="75"/>
          <w:b w:val="1"/>
          <w:bCs w:val="1"/>
          <w:color w:val="FFFFFF"/>
        </w:rPr>
        <w:t xml:space="preserve"> Notice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5842000</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19"/>
          </w:cols>
          <w:pgMar w:left="840" w:top="1440" w:right="1440"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782955</wp:posOffset>
            </wp:positionV>
            <wp:extent cx="617220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25400"/>
                    </a:xfrm>
                    <a:prstGeom prst="rect">
                      <a:avLst/>
                    </a:prstGeom>
                    <a:noFill/>
                  </pic:spPr>
                </pic:pic>
              </a:graphicData>
            </a:graphic>
          </wp:anchor>
        </w:drawing>
        <w:t>Table of Contents</w:t>
      </w:r>
    </w:p>
    <w:p>
      <w:pPr>
        <w:sectPr>
          <w:pgSz w:w="11900" w:h="16838" w:orient="portrait"/>
          <w:cols w:equalWidth="0" w:num="1">
            <w:col w:w="9720"/>
          </w:cols>
          <w:pgMar w:left="1080" w:top="1257" w:right="1099" w:bottom="1440" w:gutter="0" w:footer="0" w:header="0"/>
        </w:sectPr>
      </w:pPr>
    </w:p>
    <w:p>
      <w:pPr>
        <w:spacing w:after="0" w:line="237" w:lineRule="exact"/>
        <w:rPr>
          <w:sz w:val="20"/>
          <w:szCs w:val="20"/>
          <w:color w:val="auto"/>
        </w:rPr>
      </w:pPr>
    </w:p>
    <w:p>
      <w:pPr>
        <w:ind w:right="1640"/>
        <w:spacing w:after="0" w:line="337" w:lineRule="auto"/>
        <w:rPr>
          <w:sz w:val="20"/>
          <w:szCs w:val="20"/>
          <w:color w:val="auto"/>
        </w:rPr>
      </w:pPr>
      <w:r>
        <w:rPr>
          <w:rFonts w:ascii="Arial" w:cs="Arial" w:eastAsia="Arial" w:hAnsi="Arial"/>
          <w:sz w:val="17"/>
          <w:szCs w:val="17"/>
          <w:b w:val="1"/>
          <w:bCs w:val="1"/>
          <w:color w:val="auto"/>
        </w:rPr>
        <w:t>Message from Our Board Chair Notice of Annual Meeting Purpose of the Annual Meeting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-573405</wp:posOffset>
            </wp:positionV>
            <wp:extent cx="1688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84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-393065</wp:posOffset>
            </wp:positionV>
            <wp:extent cx="1370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09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1682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211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-50165</wp:posOffset>
            </wp:positionV>
            <wp:extent cx="12382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Board Committees, Meetings,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2298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Board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9715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12579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Board Nomination Process and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2040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890" cy="825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10407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Non-Discrimination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8686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53" w:lineRule="exact"/>
        <w:rPr>
          <w:sz w:val="20"/>
          <w:szCs w:val="20"/>
          <w:color w:val="auto"/>
        </w:rPr>
      </w:pPr>
    </w:p>
    <w:p>
      <w:pPr>
        <w:ind w:left="280" w:right="1820"/>
        <w:spacing w:after="0" w:line="334" w:lineRule="auto"/>
        <w:rPr>
          <w:sz w:val="20"/>
          <w:szCs w:val="20"/>
          <w:color w:val="auto"/>
        </w:rPr>
      </w:pPr>
      <w:r>
        <w:rPr>
          <w:rFonts w:ascii="Arial" w:cs="Arial" w:eastAsia="Arial" w:hAnsi="Arial"/>
          <w:sz w:val="16"/>
          <w:szCs w:val="16"/>
          <w:color w:val="auto"/>
        </w:rPr>
        <w:t>Pledging and Hedging Policies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-212725</wp:posOffset>
            </wp:positionV>
            <wp:extent cx="1395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509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-49530</wp:posOffset>
            </wp:positionV>
            <wp:extent cx="9893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ind w:left="280" w:right="360"/>
        <w:spacing w:after="0" w:line="286" w:lineRule="auto"/>
        <w:rPr>
          <w:sz w:val="20"/>
          <w:szCs w:val="20"/>
          <w:color w:val="auto"/>
        </w:rPr>
      </w:pPr>
      <w:r>
        <w:rPr>
          <w:rFonts w:ascii="Arial" w:cs="Arial" w:eastAsia="Arial" w:hAnsi="Arial"/>
          <w:sz w:val="16"/>
          <w:szCs w:val="16"/>
          <w:color w:val="auto"/>
        </w:rPr>
        <w:t>Management Succession Planning and Leadership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-165735</wp:posOffset>
            </wp:positionV>
            <wp:extent cx="23501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501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-45720</wp:posOffset>
            </wp:positionV>
            <wp:extent cx="6057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790"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Shareholder Engagement Program and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2275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75840" cy="8890"/>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Sustainable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10693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Communicating with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14293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9385" cy="825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00506F"/>
        </w:rPr>
        <w:t xml:space="preserve">PROPOSAL 1: </w:t>
      </w:r>
      <w:r>
        <w:rPr>
          <w:rFonts w:ascii="Arial" w:cs="Arial" w:eastAsia="Arial" w:hAnsi="Arial"/>
          <w:sz w:val="18"/>
          <w:szCs w:val="18"/>
          <w:b w:val="1"/>
          <w:bCs w:val="1"/>
          <w:color w:val="000000"/>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2279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79015" cy="8255"/>
                    </a:xfrm>
                    <a:prstGeom prst="rect">
                      <a:avLst/>
                    </a:prstGeom>
                    <a:noFill/>
                  </pic:spPr>
                </pic:pic>
              </a:graphicData>
            </a:graphic>
          </wp:anchor>
        </w:drawing>
      </w:r>
    </w:p>
    <w:p>
      <w:pPr>
        <w:spacing w:after="0" w:line="48" w:lineRule="exact"/>
        <w:rPr>
          <w:sz w:val="20"/>
          <w:szCs w:val="20"/>
          <w:color w:val="auto"/>
        </w:rPr>
      </w:pPr>
    </w:p>
    <w:p>
      <w:pPr>
        <w:ind w:left="280" w:right="900"/>
        <w:spacing w:after="0" w:line="331" w:lineRule="auto"/>
        <w:rPr>
          <w:sz w:val="20"/>
          <w:szCs w:val="20"/>
          <w:color w:val="auto"/>
        </w:rPr>
      </w:pPr>
      <w:r>
        <w:rPr>
          <w:rFonts w:ascii="Arial" w:cs="Arial" w:eastAsia="Arial" w:hAnsi="Arial"/>
          <w:sz w:val="16"/>
          <w:szCs w:val="16"/>
          <w:color w:val="auto"/>
        </w:rPr>
        <w:t>Summary Information About Our Nominees Nominees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-209550</wp:posOffset>
            </wp:positionV>
            <wp:extent cx="19723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7231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-46990</wp:posOffset>
            </wp:positionV>
            <wp:extent cx="15836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83690" cy="8255"/>
                    </a:xfrm>
                    <a:prstGeom prst="rect">
                      <a:avLst/>
                    </a:prstGeom>
                    <a:noFill/>
                  </pic:spPr>
                </pic:pic>
              </a:graphicData>
            </a:graphic>
          </wp:anchor>
        </w:drawing>
      </w:r>
    </w:p>
    <w:p>
      <w:pPr>
        <w:ind w:right="740"/>
        <w:spacing w:after="0" w:line="315" w:lineRule="auto"/>
        <w:rPr>
          <w:sz w:val="20"/>
          <w:szCs w:val="20"/>
          <w:color w:val="auto"/>
        </w:rPr>
      </w:pPr>
      <w:r>
        <w:rPr>
          <w:rFonts w:ascii="Arial" w:cs="Arial" w:eastAsia="Arial" w:hAnsi="Arial"/>
          <w:sz w:val="18"/>
          <w:szCs w:val="18"/>
          <w:b w:val="1"/>
          <w:bCs w:val="1"/>
          <w:color w:val="auto"/>
        </w:rPr>
        <w:t>Information About Our Executive Officers 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-220980</wp:posOffset>
            </wp:positionV>
            <wp:extent cx="2253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5361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-49530</wp:posOffset>
            </wp:positionV>
            <wp:extent cx="2063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63115" cy="8255"/>
                    </a:xfrm>
                    <a:prstGeom prst="rect">
                      <a:avLst/>
                    </a:prstGeom>
                    <a:noFill/>
                  </pic:spPr>
                </pic:pic>
              </a:graphicData>
            </a:graphic>
          </wp:anchor>
        </w:drawing>
      </w:r>
    </w:p>
    <w:p>
      <w:pPr>
        <w:ind w:left="280" w:right="580"/>
        <w:spacing w:after="0" w:line="332" w:lineRule="auto"/>
        <w:rPr>
          <w:sz w:val="20"/>
          <w:szCs w:val="20"/>
          <w:color w:val="auto"/>
        </w:rPr>
      </w:pPr>
      <w:r>
        <w:rPr>
          <w:rFonts w:ascii="Arial" w:cs="Arial" w:eastAsia="Arial" w:hAnsi="Arial"/>
          <w:sz w:val="16"/>
          <w:szCs w:val="16"/>
          <w:color w:val="auto"/>
        </w:rPr>
        <w:t>Compensation Discussion and Analysis (CD&amp;A) Executive Compensation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-372110</wp:posOffset>
            </wp:positionV>
            <wp:extent cx="218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83765" cy="889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-209550</wp:posOffset>
            </wp:positionV>
            <wp:extent cx="11379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3792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-46355</wp:posOffset>
            </wp:positionV>
            <wp:extent cx="10521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521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0506F"/>
        </w:rPr>
        <w:t xml:space="preserve">PROPOSAL 2: </w:t>
      </w:r>
      <w:r>
        <w:rPr>
          <w:rFonts w:ascii="Arial" w:cs="Arial" w:eastAsia="Arial" w:hAnsi="Arial"/>
          <w:sz w:val="18"/>
          <w:szCs w:val="18"/>
          <w:b w:val="1"/>
          <w:bCs w:val="1"/>
          <w:color w:val="000000"/>
        </w:rPr>
        <w:t>RATIFICATION OF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23863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863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8312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30" w:lineRule="exact"/>
        <w:rPr>
          <w:sz w:val="20"/>
          <w:szCs w:val="20"/>
          <w:color w:val="auto"/>
        </w:rPr>
      </w:pPr>
    </w:p>
    <w:p>
      <w:pPr>
        <w:ind w:left="280"/>
        <w:spacing w:after="0" w:line="332" w:lineRule="auto"/>
        <w:rPr>
          <w:sz w:val="20"/>
          <w:szCs w:val="20"/>
          <w:color w:val="auto"/>
        </w:rPr>
      </w:pPr>
      <w:r>
        <w:rPr>
          <w:rFonts w:ascii="Arial" w:cs="Arial" w:eastAsia="Arial" w:hAnsi="Arial"/>
          <w:sz w:val="16"/>
          <w:szCs w:val="16"/>
          <w:color w:val="auto"/>
        </w:rPr>
        <w:t>Fees Paid to the Independent Auditor Pre-Approval of Independent Auditor Services and Fees 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-372110</wp:posOffset>
            </wp:positionV>
            <wp:extent cx="17043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0434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-209550</wp:posOffset>
            </wp:positionV>
            <wp:extent cx="2550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5016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-46355</wp:posOffset>
            </wp:positionV>
            <wp:extent cx="13836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00506F"/>
        </w:rPr>
        <w:t xml:space="preserve">PROPOSAL 3: </w:t>
      </w:r>
      <w:r>
        <w:rPr>
          <w:rFonts w:ascii="Arial" w:cs="Arial" w:eastAsia="Arial" w:hAnsi="Arial"/>
          <w:sz w:val="18"/>
          <w:szCs w:val="18"/>
          <w:b w:val="1"/>
          <w:bCs w:val="1"/>
          <w:color w:val="000000"/>
        </w:rPr>
        <w:t>ADVISORY VOTE ON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22599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599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9328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909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537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7210" cy="825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Effect of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8636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3600" cy="8890"/>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00506F"/>
        </w:rPr>
        <w:t xml:space="preserve">PROPOSAL 4: </w:t>
      </w:r>
      <w:r>
        <w:rPr>
          <w:rFonts w:ascii="Arial" w:cs="Arial" w:eastAsia="Arial" w:hAnsi="Arial"/>
          <w:sz w:val="18"/>
          <w:szCs w:val="18"/>
          <w:b w:val="1"/>
          <w:bCs w:val="1"/>
          <w:color w:val="000000"/>
        </w:rPr>
        <w:t>APPROVAL OF AMENDMENT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26276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276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5969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0" cy="8890"/>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909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9320" cy="825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Rationale for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13379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Share Usage, Dilution, and Burn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17214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21485" cy="8890"/>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Best Practices and Shareholder Protections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19900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90090" cy="8890"/>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Expected Future Equity Usage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13950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spacing w:after="0" w:line="5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Failure to Approve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wp:posOffset>
            </wp:positionV>
            <wp:extent cx="15951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ii</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auto"/>
              </w:rPr>
              <w:t>Board Recommendation</w:t>
            </w:r>
          </w:p>
        </w:tc>
        <w:tc>
          <w:tcPr>
            <w:tcW w:w="2300" w:type="dxa"/>
            <w:vAlign w:val="bottom"/>
            <w:gridSpan w:val="16"/>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13"/>
        </w:trPr>
        <w:tc>
          <w:tcPr>
            <w:tcW w:w="460" w:type="dxa"/>
            <w:vAlign w:val="bottom"/>
            <w:vMerge w:val="continue"/>
          </w:tcPr>
          <w:p>
            <w:pPr>
              <w:spacing w:after="0"/>
              <w:rPr>
                <w:sz w:val="9"/>
                <w:szCs w:val="9"/>
                <w:color w:val="auto"/>
              </w:rPr>
            </w:pPr>
          </w:p>
        </w:tc>
        <w:tc>
          <w:tcPr>
            <w:tcW w:w="280" w:type="dxa"/>
            <w:vAlign w:val="bottom"/>
            <w:vMerge w:val="restart"/>
          </w:tcPr>
          <w:p>
            <w:pPr>
              <w:spacing w:after="0"/>
              <w:rPr>
                <w:sz w:val="9"/>
                <w:szCs w:val="9"/>
                <w:color w:val="auto"/>
              </w:rPr>
            </w:pPr>
          </w:p>
        </w:tc>
        <w:tc>
          <w:tcPr>
            <w:tcW w:w="4320" w:type="dxa"/>
            <w:vAlign w:val="bottom"/>
            <w:gridSpan w:val="24"/>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150"/>
        </w:trPr>
        <w:tc>
          <w:tcPr>
            <w:tcW w:w="4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iii</w:t>
            </w:r>
          </w:p>
        </w:tc>
        <w:tc>
          <w:tcPr>
            <w:tcW w:w="280" w:type="dxa"/>
            <w:vAlign w:val="bottom"/>
            <w:vMerge w:val="continue"/>
          </w:tcPr>
          <w:p>
            <w:pPr>
              <w:spacing w:after="0"/>
              <w:rPr>
                <w:sz w:val="13"/>
                <w:szCs w:val="13"/>
                <w:color w:val="auto"/>
              </w:rPr>
            </w:pPr>
          </w:p>
        </w:tc>
        <w:tc>
          <w:tcPr>
            <w:tcW w:w="4320" w:type="dxa"/>
            <w:vAlign w:val="bottom"/>
            <w:gridSpan w:val="24"/>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vMerge w:val="continue"/>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20" w:type="dxa"/>
            <w:vAlign w:val="bottom"/>
            <w:gridSpan w:val="20"/>
            <w:vMerge w:val="restart"/>
          </w:tcPr>
          <w:p>
            <w:pPr>
              <w:spacing w:after="0"/>
              <w:rPr>
                <w:sz w:val="20"/>
                <w:szCs w:val="20"/>
                <w:color w:val="auto"/>
              </w:rPr>
            </w:pPr>
            <w:r>
              <w:rPr>
                <w:rFonts w:ascii="Arial" w:cs="Arial" w:eastAsia="Arial" w:hAnsi="Arial"/>
                <w:sz w:val="16"/>
                <w:szCs w:val="16"/>
                <w:color w:val="auto"/>
              </w:rPr>
              <w:t>Securities Ownership and Principal Holders</w:t>
            </w: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45"/>
        </w:trPr>
        <w:tc>
          <w:tcPr>
            <w:tcW w:w="4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tcBorders>
              <w:bottom w:val="single" w:sz="8" w:color="0000EE"/>
            </w:tcBorders>
            <w:gridSpan w:val="20"/>
            <w:vMerge w:val="continue"/>
          </w:tcPr>
          <w:p>
            <w:pPr>
              <w:spacing w:after="0"/>
              <w:rPr>
                <w:sz w:val="12"/>
                <w:szCs w:val="12"/>
                <w:color w:val="auto"/>
              </w:rPr>
            </w:pPr>
          </w:p>
        </w:tc>
        <w:tc>
          <w:tcPr>
            <w:tcW w:w="56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tcBorders>
              <w:bottom w:val="single" w:sz="8" w:color="0000EE"/>
            </w:tcBorders>
            <w:gridSpan w:val="15"/>
          </w:tcPr>
          <w:p>
            <w:pPr>
              <w:spacing w:after="0" w:line="156" w:lineRule="exact"/>
              <w:rPr>
                <w:sz w:val="20"/>
                <w:szCs w:val="20"/>
                <w:color w:val="auto"/>
              </w:rPr>
            </w:pPr>
            <w:r>
              <w:rPr>
                <w:rFonts w:ascii="Arial" w:cs="Arial" w:eastAsia="Arial" w:hAnsi="Arial"/>
                <w:sz w:val="16"/>
                <w:szCs w:val="16"/>
                <w:color w:val="auto"/>
              </w:rPr>
              <w:t>Equity Compensation Plan Information</w:t>
            </w:r>
          </w:p>
        </w:tc>
        <w:tc>
          <w:tcPr>
            <w:tcW w:w="2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580" w:type="dxa"/>
            <w:vAlign w:val="bottom"/>
            <w:gridSpan w:val="2"/>
            <w:vMerge w:val="restart"/>
          </w:tcPr>
          <w:p>
            <w:pPr>
              <w:spacing w:after="0"/>
              <w:rPr>
                <w:sz w:val="15"/>
                <w:szCs w:val="15"/>
                <w:color w:val="auto"/>
              </w:rPr>
            </w:pPr>
          </w:p>
        </w:tc>
        <w:tc>
          <w:tcPr>
            <w:tcW w:w="380" w:type="dxa"/>
            <w:vAlign w:val="bottom"/>
            <w:vMerge w:val="restart"/>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60"/>
        </w:trPr>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gridSpan w:val="22"/>
          </w:tcPr>
          <w:p>
            <w:pPr>
              <w:spacing w:after="0" w:line="176" w:lineRule="exact"/>
              <w:rPr>
                <w:sz w:val="20"/>
                <w:szCs w:val="20"/>
                <w:color w:val="auto"/>
              </w:rPr>
            </w:pPr>
            <w:r>
              <w:rPr>
                <w:rFonts w:ascii="Arial" w:cs="Arial" w:eastAsia="Arial" w:hAnsi="Arial"/>
                <w:sz w:val="16"/>
                <w:szCs w:val="16"/>
                <w:color w:val="auto"/>
              </w:rPr>
              <w:t>Delinquent Section 16(a) Reports</w:t>
            </w:r>
          </w:p>
        </w:tc>
        <w:tc>
          <w:tcPr>
            <w:tcW w:w="260" w:type="dxa"/>
            <w:vAlign w:val="bottom"/>
          </w:tcPr>
          <w:p>
            <w:pPr>
              <w:jc w:val="right"/>
              <w:spacing w:after="0" w:line="176"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46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21"/>
            <w:vMerge w:val="restart"/>
          </w:tcPr>
          <w:p>
            <w:pPr>
              <w:spacing w:after="0"/>
              <w:rPr>
                <w:sz w:val="20"/>
                <w:szCs w:val="20"/>
                <w:color w:val="auto"/>
              </w:rPr>
            </w:pPr>
            <w:r>
              <w:rPr>
                <w:rFonts w:ascii="Arial" w:cs="Arial" w:eastAsia="Arial" w:hAnsi="Arial"/>
                <w:sz w:val="16"/>
                <w:szCs w:val="16"/>
                <w:color w:val="auto"/>
              </w:rPr>
              <w:t>How to Register for and Access the Virtual Meeting</w:t>
            </w:r>
          </w:p>
        </w:tc>
        <w:tc>
          <w:tcPr>
            <w:tcW w:w="380" w:type="dxa"/>
            <w:vAlign w:val="bottom"/>
            <w:vMerge w:val="restart"/>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56"/>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Borders>
              <w:bottom w:val="single" w:sz="8" w:color="0000EE"/>
            </w:tcBorders>
            <w:gridSpan w:val="21"/>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60" w:type="dxa"/>
            <w:vAlign w:val="bottom"/>
            <w:gridSpan w:val="22"/>
            <w:vMerge w:val="restart"/>
          </w:tcPr>
          <w:p>
            <w:pPr>
              <w:spacing w:after="0"/>
              <w:rPr>
                <w:sz w:val="20"/>
                <w:szCs w:val="20"/>
                <w:color w:val="auto"/>
              </w:rPr>
            </w:pPr>
            <w:r>
              <w:rPr>
                <w:rFonts w:ascii="Arial" w:cs="Arial" w:eastAsia="Arial" w:hAnsi="Arial"/>
                <w:sz w:val="16"/>
                <w:szCs w:val="16"/>
                <w:color w:val="auto"/>
              </w:rPr>
              <w:t>Voting</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51"/>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60" w:type="dxa"/>
            <w:vAlign w:val="bottom"/>
            <w:gridSpan w:val="2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60" w:type="dxa"/>
            <w:vAlign w:val="bottom"/>
            <w:gridSpan w:val="9"/>
            <w:vMerge w:val="restart"/>
          </w:tcPr>
          <w:p>
            <w:pPr>
              <w:spacing w:after="0"/>
              <w:rPr>
                <w:sz w:val="20"/>
                <w:szCs w:val="20"/>
                <w:color w:val="auto"/>
              </w:rPr>
            </w:pPr>
            <w:r>
              <w:rPr>
                <w:rFonts w:ascii="Arial" w:cs="Arial" w:eastAsia="Arial" w:hAnsi="Arial"/>
                <w:sz w:val="16"/>
                <w:szCs w:val="16"/>
                <w:color w:val="auto"/>
              </w:rPr>
              <w:t>Non-GAAP Financial Measures</w:t>
            </w:r>
          </w:p>
        </w:tc>
        <w:tc>
          <w:tcPr>
            <w:tcW w:w="1800" w:type="dxa"/>
            <w:vAlign w:val="bottom"/>
            <w:gridSpan w:val="13"/>
            <w:vMerge w:val="restart"/>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56"/>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Borders>
              <w:bottom w:val="single" w:sz="8" w:color="0000EE"/>
            </w:tcBorders>
            <w:gridSpan w:val="9"/>
            <w:vMerge w:val="continue"/>
          </w:tcPr>
          <w:p>
            <w:pPr>
              <w:spacing w:after="0"/>
              <w:rPr>
                <w:sz w:val="13"/>
                <w:szCs w:val="13"/>
                <w:color w:val="auto"/>
              </w:rPr>
            </w:pPr>
          </w:p>
        </w:tc>
        <w:tc>
          <w:tcPr>
            <w:tcW w:w="1800" w:type="dxa"/>
            <w:vAlign w:val="bottom"/>
            <w:gridSpan w:val="1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gridSpan w:val="5"/>
            <w:vMerge w:val="restart"/>
          </w:tcPr>
          <w:p>
            <w:pPr>
              <w:spacing w:after="0"/>
              <w:rPr>
                <w:sz w:val="20"/>
                <w:szCs w:val="20"/>
                <w:color w:val="auto"/>
              </w:rPr>
            </w:pPr>
            <w:r>
              <w:rPr>
                <w:rFonts w:ascii="Arial" w:cs="Arial" w:eastAsia="Arial" w:hAnsi="Arial"/>
                <w:sz w:val="16"/>
                <w:szCs w:val="16"/>
                <w:color w:val="auto"/>
              </w:rPr>
              <w:t>Additional Information</w:t>
            </w:r>
          </w:p>
        </w:tc>
        <w:tc>
          <w:tcPr>
            <w:tcW w:w="2480" w:type="dxa"/>
            <w:vAlign w:val="bottom"/>
            <w:gridSpan w:val="17"/>
            <w:vMerge w:val="restart"/>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56"/>
        </w:trPr>
        <w:tc>
          <w:tcPr>
            <w:tcW w:w="460" w:type="dxa"/>
            <w:vAlign w:val="bottom"/>
            <w:vMerge w:val="restart"/>
          </w:tcPr>
          <w:p>
            <w:pPr>
              <w:jc w:val="right"/>
              <w:ind w:right="176"/>
              <w:spacing w:after="0"/>
              <w:rPr>
                <w:sz w:val="20"/>
                <w:szCs w:val="20"/>
                <w:color w:val="auto"/>
              </w:rPr>
            </w:pPr>
            <w:r>
              <w:rPr>
                <w:rFonts w:ascii="Arial" w:cs="Arial" w:eastAsia="Arial" w:hAnsi="Arial"/>
                <w:sz w:val="17"/>
                <w:szCs w:val="17"/>
                <w:color w:val="auto"/>
              </w:rPr>
              <w:t>6</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bottom w:val="single" w:sz="8" w:color="0000EE"/>
            </w:tcBorders>
            <w:gridSpan w:val="5"/>
            <w:vMerge w:val="continue"/>
          </w:tcPr>
          <w:p>
            <w:pPr>
              <w:spacing w:after="0"/>
              <w:rPr>
                <w:sz w:val="13"/>
                <w:szCs w:val="13"/>
                <w:color w:val="auto"/>
              </w:rPr>
            </w:pPr>
          </w:p>
        </w:tc>
        <w:tc>
          <w:tcPr>
            <w:tcW w:w="2480" w:type="dxa"/>
            <w:vAlign w:val="bottom"/>
            <w:gridSpan w:val="1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020" w:type="dxa"/>
            <w:vAlign w:val="bottom"/>
            <w:gridSpan w:val="16"/>
            <w:vMerge w:val="restart"/>
          </w:tcPr>
          <w:p>
            <w:pPr>
              <w:spacing w:after="0"/>
              <w:rPr>
                <w:sz w:val="20"/>
                <w:szCs w:val="20"/>
                <w:color w:val="auto"/>
              </w:rPr>
            </w:pPr>
            <w:r>
              <w:rPr>
                <w:rFonts w:ascii="Arial" w:cs="Arial" w:eastAsia="Arial" w:hAnsi="Arial"/>
                <w:sz w:val="18"/>
                <w:szCs w:val="18"/>
                <w:b w:val="1"/>
                <w:bCs w:val="1"/>
                <w:color w:val="auto"/>
                <w:w w:val="98"/>
              </w:rPr>
              <w:t>Exhibit A: Amendment to 2016 Plan</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67"/>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6</w:t>
            </w:r>
          </w:p>
        </w:tc>
        <w:tc>
          <w:tcPr>
            <w:tcW w:w="280" w:type="dxa"/>
            <w:vAlign w:val="bottom"/>
            <w:vMerge w:val="restart"/>
          </w:tcPr>
          <w:p>
            <w:pPr>
              <w:spacing w:after="0"/>
              <w:rPr>
                <w:sz w:val="14"/>
                <w:szCs w:val="14"/>
                <w:color w:val="auto"/>
              </w:rPr>
            </w:pPr>
          </w:p>
        </w:tc>
        <w:tc>
          <w:tcPr>
            <w:tcW w:w="3020" w:type="dxa"/>
            <w:vAlign w:val="bottom"/>
            <w:tcBorders>
              <w:bottom w:val="single" w:sz="8" w:color="0000EE"/>
            </w:tcBorders>
            <w:gridSpan w:val="16"/>
            <w:vMerge w:val="continue"/>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960" w:type="dxa"/>
            <w:vAlign w:val="bottom"/>
            <w:gridSpan w:val="3"/>
            <w:vMerge w:val="restart"/>
          </w:tcPr>
          <w:p>
            <w:pPr>
              <w:spacing w:after="0"/>
              <w:rPr>
                <w:sz w:val="14"/>
                <w:szCs w:val="14"/>
                <w:color w:val="auto"/>
              </w:rPr>
            </w:pP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46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3"/>
          </w:tcPr>
          <w:p>
            <w:pPr>
              <w:spacing w:after="0"/>
              <w:rPr>
                <w:sz w:val="6"/>
                <w:szCs w:val="6"/>
                <w:color w:val="auto"/>
              </w:rPr>
            </w:pPr>
          </w:p>
        </w:tc>
        <w:tc>
          <w:tcPr>
            <w:tcW w:w="360" w:type="dxa"/>
            <w:vAlign w:val="bottom"/>
            <w:gridSpan w:val="2"/>
          </w:tcPr>
          <w:p>
            <w:pPr>
              <w:spacing w:after="0"/>
              <w:rPr>
                <w:sz w:val="6"/>
                <w:szCs w:val="6"/>
                <w:color w:val="auto"/>
              </w:rPr>
            </w:pPr>
          </w:p>
        </w:tc>
        <w:tc>
          <w:tcPr>
            <w:tcW w:w="58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gridSpan w:val="2"/>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4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4320" w:type="dxa"/>
            <w:vAlign w:val="bottom"/>
            <w:gridSpan w:val="24"/>
            <w:vMerge w:val="restart"/>
            <w:shd w:val="clear" w:color="auto" w:fill="F3F3F4"/>
          </w:tcPr>
          <w:p>
            <w:pPr>
              <w:ind w:left="20"/>
              <w:spacing w:after="0"/>
              <w:rPr>
                <w:sz w:val="20"/>
                <w:szCs w:val="20"/>
                <w:color w:val="auto"/>
              </w:rPr>
            </w:pPr>
            <w:r>
              <w:rPr>
                <w:rFonts w:ascii="Arial" w:cs="Arial" w:eastAsia="Arial" w:hAnsi="Arial"/>
                <w:sz w:val="22"/>
                <w:szCs w:val="22"/>
                <w:b w:val="1"/>
                <w:bCs w:val="1"/>
                <w:color w:val="auto"/>
              </w:rPr>
              <w:t>Commonly Referenced Pages:</w:t>
            </w:r>
          </w:p>
        </w:tc>
        <w:tc>
          <w:tcPr>
            <w:tcW w:w="260" w:type="dxa"/>
            <w:vAlign w:val="bottom"/>
            <w:shd w:val="clear" w:color="auto" w:fill="F3F3F4"/>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4"/>
                <w:szCs w:val="14"/>
                <w:color w:val="auto"/>
              </w:rPr>
            </w:pPr>
          </w:p>
        </w:tc>
        <w:tc>
          <w:tcPr>
            <w:tcW w:w="4320" w:type="dxa"/>
            <w:vAlign w:val="bottom"/>
            <w:gridSpan w:val="24"/>
            <w:vMerge w:val="continue"/>
            <w:shd w:val="clear" w:color="auto" w:fill="F3F3F4"/>
          </w:tcPr>
          <w:p>
            <w:pPr>
              <w:spacing w:after="0"/>
              <w:rPr>
                <w:sz w:val="14"/>
                <w:szCs w:val="14"/>
                <w:color w:val="auto"/>
              </w:rPr>
            </w:pPr>
          </w:p>
        </w:tc>
        <w:tc>
          <w:tcPr>
            <w:tcW w:w="260" w:type="dxa"/>
            <w:vAlign w:val="bottom"/>
            <w:shd w:val="clear" w:color="auto" w:fill="F3F3F4"/>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shd w:val="clear" w:color="auto" w:fill="F3F3F4"/>
          </w:tcPr>
          <w:p>
            <w:pPr>
              <w:spacing w:after="0"/>
              <w:rPr>
                <w:sz w:val="8"/>
                <w:szCs w:val="8"/>
                <w:color w:val="auto"/>
              </w:rPr>
            </w:pPr>
          </w:p>
        </w:tc>
        <w:tc>
          <w:tcPr>
            <w:tcW w:w="2900" w:type="dxa"/>
            <w:vAlign w:val="bottom"/>
            <w:gridSpan w:val="17"/>
            <w:vMerge w:val="restart"/>
            <w:shd w:val="clear" w:color="auto" w:fill="F3F3F4"/>
          </w:tcPr>
          <w:p>
            <w:pPr>
              <w:spacing w:after="0"/>
              <w:rPr>
                <w:sz w:val="20"/>
                <w:szCs w:val="20"/>
                <w:color w:val="auto"/>
              </w:rPr>
            </w:pPr>
            <w:r>
              <w:rPr>
                <w:rFonts w:ascii="Arial" w:cs="Arial" w:eastAsia="Arial" w:hAnsi="Arial"/>
                <w:sz w:val="16"/>
                <w:szCs w:val="16"/>
                <w:color w:val="auto"/>
              </w:rPr>
              <w:t>2023-2025 Performance Award Results</w:t>
            </w:r>
          </w:p>
        </w:tc>
        <w:tc>
          <w:tcPr>
            <w:tcW w:w="1260" w:type="dxa"/>
            <w:vAlign w:val="bottom"/>
            <w:gridSpan w:val="6"/>
            <w:vMerge w:val="restart"/>
            <w:shd w:val="clear" w:color="auto" w:fill="F3F3F4"/>
          </w:tcPr>
          <w:p>
            <w:pPr>
              <w:spacing w:after="0"/>
              <w:rPr>
                <w:sz w:val="8"/>
                <w:szCs w:val="8"/>
                <w:color w:val="auto"/>
              </w:rPr>
            </w:pPr>
          </w:p>
        </w:tc>
        <w:tc>
          <w:tcPr>
            <w:tcW w:w="260" w:type="dxa"/>
            <w:vAlign w:val="bottom"/>
            <w:vMerge w:val="restart"/>
            <w:shd w:val="clear" w:color="auto" w:fill="F3F3F4"/>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10"/>
        </w:trPr>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F3F3F4"/>
            </w:tcBorders>
            <w:shd w:val="clear" w:color="auto" w:fill="F3F3F4"/>
          </w:tcPr>
          <w:p>
            <w:pPr>
              <w:spacing w:after="0"/>
              <w:rPr>
                <w:sz w:val="9"/>
                <w:szCs w:val="9"/>
                <w:color w:val="auto"/>
              </w:rPr>
            </w:pPr>
          </w:p>
        </w:tc>
        <w:tc>
          <w:tcPr>
            <w:tcW w:w="2900" w:type="dxa"/>
            <w:vAlign w:val="bottom"/>
            <w:tcBorders>
              <w:bottom w:val="single" w:sz="8" w:color="0000EE"/>
            </w:tcBorders>
            <w:gridSpan w:val="17"/>
            <w:vMerge w:val="continue"/>
            <w:shd w:val="clear" w:color="auto" w:fill="F3F3F4"/>
          </w:tcPr>
          <w:p>
            <w:pPr>
              <w:spacing w:after="0"/>
              <w:rPr>
                <w:sz w:val="9"/>
                <w:szCs w:val="9"/>
                <w:color w:val="auto"/>
              </w:rPr>
            </w:pPr>
          </w:p>
        </w:tc>
        <w:tc>
          <w:tcPr>
            <w:tcW w:w="1260" w:type="dxa"/>
            <w:vAlign w:val="bottom"/>
            <w:tcBorders>
              <w:bottom w:val="single" w:sz="8" w:color="F3F3F4"/>
            </w:tcBorders>
            <w:gridSpan w:val="6"/>
            <w:vMerge w:val="continue"/>
            <w:shd w:val="clear" w:color="auto" w:fill="F3F3F4"/>
          </w:tcPr>
          <w:p>
            <w:pPr>
              <w:spacing w:after="0"/>
              <w:rPr>
                <w:sz w:val="9"/>
                <w:szCs w:val="9"/>
                <w:color w:val="auto"/>
              </w:rPr>
            </w:pPr>
          </w:p>
        </w:tc>
        <w:tc>
          <w:tcPr>
            <w:tcW w:w="260" w:type="dxa"/>
            <w:vAlign w:val="bottom"/>
            <w:tcBorders>
              <w:bottom w:val="single" w:sz="8" w:color="F3F3F4"/>
            </w:tcBorders>
            <w:vMerge w:val="continue"/>
            <w:shd w:val="clear" w:color="auto" w:fill="F3F3F4"/>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20"/>
                <w:szCs w:val="20"/>
                <w:color w:val="auto"/>
              </w:rPr>
            </w:pPr>
          </w:p>
        </w:tc>
        <w:tc>
          <w:tcPr>
            <w:tcW w:w="160" w:type="dxa"/>
            <w:vAlign w:val="bottom"/>
            <w:tcBorders>
              <w:bottom w:val="single" w:sz="8" w:color="F3F3F4"/>
            </w:tcBorders>
            <w:shd w:val="clear" w:color="auto" w:fill="F3F3F4"/>
          </w:tcPr>
          <w:p>
            <w:pPr>
              <w:spacing w:after="0"/>
              <w:rPr>
                <w:sz w:val="20"/>
                <w:szCs w:val="20"/>
                <w:color w:val="auto"/>
              </w:rPr>
            </w:pPr>
          </w:p>
        </w:tc>
        <w:tc>
          <w:tcPr>
            <w:tcW w:w="2380" w:type="dxa"/>
            <w:vAlign w:val="bottom"/>
            <w:tcBorders>
              <w:bottom w:val="single" w:sz="8" w:color="0000EE"/>
            </w:tcBorders>
            <w:gridSpan w:val="11"/>
            <w:shd w:val="clear" w:color="auto" w:fill="F3F3F4"/>
          </w:tcPr>
          <w:p>
            <w:pPr>
              <w:spacing w:after="0"/>
              <w:rPr>
                <w:sz w:val="20"/>
                <w:szCs w:val="20"/>
                <w:color w:val="auto"/>
              </w:rPr>
            </w:pPr>
            <w:r>
              <w:rPr>
                <w:rFonts w:ascii="Arial" w:cs="Arial" w:eastAsia="Arial" w:hAnsi="Arial"/>
                <w:sz w:val="16"/>
                <w:szCs w:val="16"/>
                <w:color w:val="auto"/>
              </w:rPr>
              <w:t>2025 Annual Incentive Scorecard</w:t>
            </w:r>
          </w:p>
        </w:tc>
        <w:tc>
          <w:tcPr>
            <w:tcW w:w="20" w:type="dxa"/>
            <w:vAlign w:val="bottom"/>
            <w:tcBorders>
              <w:bottom w:val="single" w:sz="8" w:color="F3F3F4"/>
            </w:tcBorders>
            <w:vMerge w:val="restart"/>
            <w:shd w:val="clear" w:color="auto" w:fill="F3F3F4"/>
          </w:tcPr>
          <w:p>
            <w:pPr>
              <w:spacing w:after="0"/>
              <w:rPr>
                <w:sz w:val="20"/>
                <w:szCs w:val="20"/>
                <w:color w:val="auto"/>
              </w:rPr>
            </w:pPr>
          </w:p>
        </w:tc>
        <w:tc>
          <w:tcPr>
            <w:tcW w:w="420" w:type="dxa"/>
            <w:vAlign w:val="bottom"/>
            <w:tcBorders>
              <w:bottom w:val="single" w:sz="8" w:color="F3F3F4"/>
            </w:tcBorders>
            <w:gridSpan w:val="2"/>
            <w:vMerge w:val="restart"/>
            <w:shd w:val="clear" w:color="auto" w:fill="F3F3F4"/>
          </w:tcPr>
          <w:p>
            <w:pPr>
              <w:spacing w:after="0"/>
              <w:rPr>
                <w:sz w:val="20"/>
                <w:szCs w:val="20"/>
                <w:color w:val="auto"/>
              </w:rPr>
            </w:pPr>
          </w:p>
        </w:tc>
        <w:tc>
          <w:tcPr>
            <w:tcW w:w="120" w:type="dxa"/>
            <w:vAlign w:val="bottom"/>
            <w:tcBorders>
              <w:bottom w:val="single" w:sz="8" w:color="F3F3F4"/>
            </w:tcBorders>
            <w:gridSpan w:val="4"/>
            <w:vMerge w:val="restart"/>
            <w:shd w:val="clear" w:color="auto" w:fill="F3F3F4"/>
          </w:tcPr>
          <w:p>
            <w:pPr>
              <w:spacing w:after="0"/>
              <w:rPr>
                <w:sz w:val="20"/>
                <w:szCs w:val="20"/>
                <w:color w:val="auto"/>
              </w:rPr>
            </w:pPr>
          </w:p>
        </w:tc>
        <w:tc>
          <w:tcPr>
            <w:tcW w:w="160" w:type="dxa"/>
            <w:vAlign w:val="bottom"/>
            <w:tcBorders>
              <w:bottom w:val="single" w:sz="8" w:color="F3F3F4"/>
            </w:tcBorders>
            <w:vMerge w:val="restart"/>
            <w:shd w:val="clear" w:color="auto" w:fill="F3F3F4"/>
          </w:tcPr>
          <w:p>
            <w:pPr>
              <w:spacing w:after="0"/>
              <w:rPr>
                <w:sz w:val="20"/>
                <w:szCs w:val="20"/>
                <w:color w:val="auto"/>
              </w:rPr>
            </w:pPr>
          </w:p>
        </w:tc>
        <w:tc>
          <w:tcPr>
            <w:tcW w:w="100" w:type="dxa"/>
            <w:vAlign w:val="bottom"/>
            <w:tcBorders>
              <w:bottom w:val="single" w:sz="8" w:color="F3F3F4"/>
            </w:tcBorders>
            <w:vMerge w:val="restart"/>
            <w:shd w:val="clear" w:color="auto" w:fill="F3F3F4"/>
          </w:tcPr>
          <w:p>
            <w:pPr>
              <w:spacing w:after="0"/>
              <w:rPr>
                <w:sz w:val="20"/>
                <w:szCs w:val="20"/>
                <w:color w:val="auto"/>
              </w:rPr>
            </w:pPr>
          </w:p>
        </w:tc>
        <w:tc>
          <w:tcPr>
            <w:tcW w:w="960" w:type="dxa"/>
            <w:vAlign w:val="bottom"/>
            <w:tcBorders>
              <w:bottom w:val="single" w:sz="8" w:color="F3F3F4"/>
            </w:tcBorders>
            <w:gridSpan w:val="3"/>
            <w:vMerge w:val="restart"/>
            <w:shd w:val="clear" w:color="auto" w:fill="F3F3F4"/>
          </w:tcPr>
          <w:p>
            <w:pPr>
              <w:spacing w:after="0"/>
              <w:rPr>
                <w:sz w:val="20"/>
                <w:szCs w:val="20"/>
                <w:color w:val="auto"/>
              </w:rPr>
            </w:pPr>
          </w:p>
        </w:tc>
        <w:tc>
          <w:tcPr>
            <w:tcW w:w="260" w:type="dxa"/>
            <w:vAlign w:val="bottom"/>
            <w:tcBorders>
              <w:bottom w:val="single" w:sz="8" w:color="F3F3F4"/>
            </w:tcBorders>
            <w:vMerge w:val="restart"/>
            <w:shd w:val="clear" w:color="auto" w:fill="F3F3F4"/>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59"/>
        </w:trPr>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F3F3F4"/>
          </w:tcPr>
          <w:p>
            <w:pPr>
              <w:spacing w:after="0"/>
              <w:rPr>
                <w:sz w:val="5"/>
                <w:szCs w:val="5"/>
                <w:color w:val="auto"/>
              </w:rPr>
            </w:pPr>
          </w:p>
        </w:tc>
        <w:tc>
          <w:tcPr>
            <w:tcW w:w="1160" w:type="dxa"/>
            <w:vAlign w:val="bottom"/>
            <w:gridSpan w:val="3"/>
            <w:shd w:val="clear" w:color="auto" w:fill="F3F3F4"/>
          </w:tcPr>
          <w:p>
            <w:pPr>
              <w:spacing w:after="0"/>
              <w:rPr>
                <w:sz w:val="5"/>
                <w:szCs w:val="5"/>
                <w:color w:val="auto"/>
              </w:rPr>
            </w:pPr>
          </w:p>
        </w:tc>
        <w:tc>
          <w:tcPr>
            <w:tcW w:w="360" w:type="dxa"/>
            <w:vAlign w:val="bottom"/>
            <w:gridSpan w:val="2"/>
            <w:shd w:val="clear" w:color="auto" w:fill="F3F3F4"/>
          </w:tcPr>
          <w:p>
            <w:pPr>
              <w:spacing w:after="0"/>
              <w:rPr>
                <w:sz w:val="5"/>
                <w:szCs w:val="5"/>
                <w:color w:val="auto"/>
              </w:rPr>
            </w:pPr>
          </w:p>
        </w:tc>
        <w:tc>
          <w:tcPr>
            <w:tcW w:w="580" w:type="dxa"/>
            <w:vAlign w:val="bottom"/>
            <w:gridSpan w:val="3"/>
            <w:shd w:val="clear" w:color="auto" w:fill="F3F3F4"/>
          </w:tcPr>
          <w:p>
            <w:pPr>
              <w:spacing w:after="0"/>
              <w:rPr>
                <w:sz w:val="5"/>
                <w:szCs w:val="5"/>
                <w:color w:val="auto"/>
              </w:rPr>
            </w:pPr>
          </w:p>
        </w:tc>
        <w:tc>
          <w:tcPr>
            <w:tcW w:w="120" w:type="dxa"/>
            <w:vAlign w:val="bottom"/>
            <w:tcBorders>
              <w:right w:val="single" w:sz="8" w:color="F3F3F4"/>
            </w:tcBorders>
            <w:shd w:val="clear" w:color="auto" w:fill="F3F3F4"/>
          </w:tcPr>
          <w:p>
            <w:pPr>
              <w:spacing w:after="0"/>
              <w:rPr>
                <w:sz w:val="5"/>
                <w:szCs w:val="5"/>
                <w:color w:val="auto"/>
              </w:rPr>
            </w:pPr>
          </w:p>
        </w:tc>
        <w:tc>
          <w:tcPr>
            <w:tcW w:w="160" w:type="dxa"/>
            <w:vAlign w:val="bottom"/>
            <w:gridSpan w:val="2"/>
            <w:shd w:val="clear" w:color="auto" w:fill="F3F3F4"/>
          </w:tcPr>
          <w:p>
            <w:pPr>
              <w:spacing w:after="0"/>
              <w:rPr>
                <w:sz w:val="5"/>
                <w:szCs w:val="5"/>
                <w:color w:val="auto"/>
              </w:rPr>
            </w:pPr>
          </w:p>
        </w:tc>
        <w:tc>
          <w:tcPr>
            <w:tcW w:w="20" w:type="dxa"/>
            <w:vAlign w:val="bottom"/>
            <w:vMerge w:val="continue"/>
            <w:shd w:val="clear" w:color="auto" w:fill="F3F3F4"/>
          </w:tcPr>
          <w:p>
            <w:pPr>
              <w:spacing w:after="0"/>
              <w:rPr>
                <w:sz w:val="5"/>
                <w:szCs w:val="5"/>
                <w:color w:val="auto"/>
              </w:rPr>
            </w:pPr>
          </w:p>
        </w:tc>
        <w:tc>
          <w:tcPr>
            <w:tcW w:w="420" w:type="dxa"/>
            <w:vAlign w:val="bottom"/>
            <w:gridSpan w:val="2"/>
            <w:vMerge w:val="continue"/>
            <w:shd w:val="clear" w:color="auto" w:fill="F3F3F4"/>
          </w:tcPr>
          <w:p>
            <w:pPr>
              <w:spacing w:after="0"/>
              <w:rPr>
                <w:sz w:val="5"/>
                <w:szCs w:val="5"/>
                <w:color w:val="auto"/>
              </w:rPr>
            </w:pPr>
          </w:p>
        </w:tc>
        <w:tc>
          <w:tcPr>
            <w:tcW w:w="120" w:type="dxa"/>
            <w:vAlign w:val="bottom"/>
            <w:gridSpan w:val="4"/>
            <w:vMerge w:val="continue"/>
            <w:shd w:val="clear" w:color="auto" w:fill="F3F3F4"/>
          </w:tcPr>
          <w:p>
            <w:pPr>
              <w:spacing w:after="0"/>
              <w:rPr>
                <w:sz w:val="5"/>
                <w:szCs w:val="5"/>
                <w:color w:val="auto"/>
              </w:rPr>
            </w:pPr>
          </w:p>
        </w:tc>
        <w:tc>
          <w:tcPr>
            <w:tcW w:w="160" w:type="dxa"/>
            <w:vAlign w:val="bottom"/>
            <w:vMerge w:val="continue"/>
            <w:shd w:val="clear" w:color="auto" w:fill="F3F3F4"/>
          </w:tcPr>
          <w:p>
            <w:pPr>
              <w:spacing w:after="0"/>
              <w:rPr>
                <w:sz w:val="5"/>
                <w:szCs w:val="5"/>
                <w:color w:val="auto"/>
              </w:rPr>
            </w:pPr>
          </w:p>
        </w:tc>
        <w:tc>
          <w:tcPr>
            <w:tcW w:w="100" w:type="dxa"/>
            <w:vAlign w:val="bottom"/>
            <w:vMerge w:val="continue"/>
            <w:shd w:val="clear" w:color="auto" w:fill="F3F3F4"/>
          </w:tcPr>
          <w:p>
            <w:pPr>
              <w:spacing w:after="0"/>
              <w:rPr>
                <w:sz w:val="5"/>
                <w:szCs w:val="5"/>
                <w:color w:val="auto"/>
              </w:rPr>
            </w:pPr>
          </w:p>
        </w:tc>
        <w:tc>
          <w:tcPr>
            <w:tcW w:w="960" w:type="dxa"/>
            <w:vAlign w:val="bottom"/>
            <w:gridSpan w:val="3"/>
            <w:vMerge w:val="continue"/>
            <w:shd w:val="clear" w:color="auto" w:fill="F3F3F4"/>
          </w:tcPr>
          <w:p>
            <w:pPr>
              <w:spacing w:after="0"/>
              <w:rPr>
                <w:sz w:val="5"/>
                <w:szCs w:val="5"/>
                <w:color w:val="auto"/>
              </w:rPr>
            </w:pPr>
          </w:p>
        </w:tc>
        <w:tc>
          <w:tcPr>
            <w:tcW w:w="260" w:type="dxa"/>
            <w:vAlign w:val="bottom"/>
            <w:vMerge w:val="continue"/>
            <w:shd w:val="clear" w:color="auto" w:fill="F3F3F4"/>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5"/>
                <w:szCs w:val="15"/>
                <w:color w:val="auto"/>
              </w:rPr>
            </w:pPr>
          </w:p>
        </w:tc>
        <w:tc>
          <w:tcPr>
            <w:tcW w:w="160" w:type="dxa"/>
            <w:vAlign w:val="bottom"/>
            <w:tcBorders>
              <w:bottom w:val="single" w:sz="8" w:color="F3F3F4"/>
            </w:tcBorders>
            <w:shd w:val="clear" w:color="auto" w:fill="F3F3F4"/>
          </w:tcPr>
          <w:p>
            <w:pPr>
              <w:spacing w:after="0"/>
              <w:rPr>
                <w:sz w:val="15"/>
                <w:szCs w:val="15"/>
                <w:color w:val="auto"/>
              </w:rPr>
            </w:pPr>
          </w:p>
        </w:tc>
        <w:tc>
          <w:tcPr>
            <w:tcW w:w="2940" w:type="dxa"/>
            <w:vAlign w:val="bottom"/>
            <w:tcBorders>
              <w:bottom w:val="single" w:sz="8" w:color="0000EE"/>
            </w:tcBorders>
            <w:gridSpan w:val="18"/>
            <w:shd w:val="clear" w:color="auto" w:fill="F3F3F4"/>
          </w:tcPr>
          <w:p>
            <w:pPr>
              <w:spacing w:after="0" w:line="158" w:lineRule="exact"/>
              <w:rPr>
                <w:sz w:val="20"/>
                <w:szCs w:val="20"/>
                <w:color w:val="auto"/>
              </w:rPr>
            </w:pPr>
            <w:r>
              <w:rPr>
                <w:rFonts w:ascii="Arial" w:cs="Arial" w:eastAsia="Arial" w:hAnsi="Arial"/>
                <w:sz w:val="16"/>
                <w:szCs w:val="16"/>
                <w:color w:val="auto"/>
              </w:rPr>
              <w:t>2025-2027 Performance Award Structure</w:t>
            </w:r>
          </w:p>
        </w:tc>
        <w:tc>
          <w:tcPr>
            <w:tcW w:w="160" w:type="dxa"/>
            <w:vAlign w:val="bottom"/>
            <w:tcBorders>
              <w:bottom w:val="single" w:sz="8" w:color="F3F3F4"/>
            </w:tcBorders>
            <w:vMerge w:val="restart"/>
            <w:shd w:val="clear" w:color="auto" w:fill="F3F3F4"/>
          </w:tcPr>
          <w:p>
            <w:pPr>
              <w:spacing w:after="0"/>
              <w:rPr>
                <w:sz w:val="15"/>
                <w:szCs w:val="15"/>
                <w:color w:val="auto"/>
              </w:rPr>
            </w:pPr>
          </w:p>
        </w:tc>
        <w:tc>
          <w:tcPr>
            <w:tcW w:w="100" w:type="dxa"/>
            <w:vAlign w:val="bottom"/>
            <w:tcBorders>
              <w:bottom w:val="single" w:sz="8" w:color="F3F3F4"/>
            </w:tcBorders>
            <w:vMerge w:val="restart"/>
            <w:shd w:val="clear" w:color="auto" w:fill="F3F3F4"/>
          </w:tcPr>
          <w:p>
            <w:pPr>
              <w:spacing w:after="0"/>
              <w:rPr>
                <w:sz w:val="15"/>
                <w:szCs w:val="15"/>
                <w:color w:val="auto"/>
              </w:rPr>
            </w:pPr>
          </w:p>
        </w:tc>
        <w:tc>
          <w:tcPr>
            <w:tcW w:w="960" w:type="dxa"/>
            <w:vAlign w:val="bottom"/>
            <w:tcBorders>
              <w:bottom w:val="single" w:sz="8" w:color="F3F3F4"/>
            </w:tcBorders>
            <w:gridSpan w:val="3"/>
            <w:vMerge w:val="restart"/>
            <w:shd w:val="clear" w:color="auto" w:fill="F3F3F4"/>
          </w:tcPr>
          <w:p>
            <w:pPr>
              <w:spacing w:after="0"/>
              <w:rPr>
                <w:sz w:val="15"/>
                <w:szCs w:val="15"/>
                <w:color w:val="auto"/>
              </w:rPr>
            </w:pPr>
          </w:p>
        </w:tc>
        <w:tc>
          <w:tcPr>
            <w:tcW w:w="260" w:type="dxa"/>
            <w:vAlign w:val="bottom"/>
            <w:tcBorders>
              <w:bottom w:val="single" w:sz="8" w:color="F3F3F4"/>
            </w:tcBorders>
            <w:vMerge w:val="restart"/>
            <w:shd w:val="clear" w:color="auto" w:fill="F3F3F4"/>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59"/>
        </w:trPr>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F3F3F4"/>
          </w:tcPr>
          <w:p>
            <w:pPr>
              <w:spacing w:after="0"/>
              <w:rPr>
                <w:sz w:val="5"/>
                <w:szCs w:val="5"/>
                <w:color w:val="auto"/>
              </w:rPr>
            </w:pPr>
          </w:p>
        </w:tc>
        <w:tc>
          <w:tcPr>
            <w:tcW w:w="1160" w:type="dxa"/>
            <w:vAlign w:val="bottom"/>
            <w:gridSpan w:val="3"/>
            <w:shd w:val="clear" w:color="auto" w:fill="F3F3F4"/>
          </w:tcPr>
          <w:p>
            <w:pPr>
              <w:spacing w:after="0"/>
              <w:rPr>
                <w:sz w:val="5"/>
                <w:szCs w:val="5"/>
                <w:color w:val="auto"/>
              </w:rPr>
            </w:pPr>
          </w:p>
        </w:tc>
        <w:tc>
          <w:tcPr>
            <w:tcW w:w="360" w:type="dxa"/>
            <w:vAlign w:val="bottom"/>
            <w:gridSpan w:val="2"/>
            <w:shd w:val="clear" w:color="auto" w:fill="F3F3F4"/>
          </w:tcPr>
          <w:p>
            <w:pPr>
              <w:spacing w:after="0"/>
              <w:rPr>
                <w:sz w:val="5"/>
                <w:szCs w:val="5"/>
                <w:color w:val="auto"/>
              </w:rPr>
            </w:pPr>
          </w:p>
        </w:tc>
        <w:tc>
          <w:tcPr>
            <w:tcW w:w="580" w:type="dxa"/>
            <w:vAlign w:val="bottom"/>
            <w:gridSpan w:val="3"/>
            <w:shd w:val="clear" w:color="auto" w:fill="F3F3F4"/>
          </w:tcPr>
          <w:p>
            <w:pPr>
              <w:spacing w:after="0"/>
              <w:rPr>
                <w:sz w:val="5"/>
                <w:szCs w:val="5"/>
                <w:color w:val="auto"/>
              </w:rPr>
            </w:pPr>
          </w:p>
        </w:tc>
        <w:tc>
          <w:tcPr>
            <w:tcW w:w="120" w:type="dxa"/>
            <w:vAlign w:val="bottom"/>
            <w:tcBorders>
              <w:right w:val="single" w:sz="8" w:color="F3F3F4"/>
            </w:tcBorders>
            <w:shd w:val="clear" w:color="auto" w:fill="F3F3F4"/>
          </w:tcPr>
          <w:p>
            <w:pPr>
              <w:spacing w:after="0"/>
              <w:rPr>
                <w:sz w:val="5"/>
                <w:szCs w:val="5"/>
                <w:color w:val="auto"/>
              </w:rPr>
            </w:pPr>
          </w:p>
        </w:tc>
        <w:tc>
          <w:tcPr>
            <w:tcW w:w="180" w:type="dxa"/>
            <w:vAlign w:val="bottom"/>
            <w:gridSpan w:val="3"/>
            <w:shd w:val="clear" w:color="auto" w:fill="F3F3F4"/>
          </w:tcPr>
          <w:p>
            <w:pPr>
              <w:spacing w:after="0"/>
              <w:rPr>
                <w:sz w:val="5"/>
                <w:szCs w:val="5"/>
                <w:color w:val="auto"/>
              </w:rPr>
            </w:pPr>
          </w:p>
        </w:tc>
        <w:tc>
          <w:tcPr>
            <w:tcW w:w="420" w:type="dxa"/>
            <w:vAlign w:val="bottom"/>
            <w:gridSpan w:val="2"/>
            <w:shd w:val="clear" w:color="auto" w:fill="F3F3F4"/>
          </w:tcPr>
          <w:p>
            <w:pPr>
              <w:spacing w:after="0"/>
              <w:rPr>
                <w:sz w:val="5"/>
                <w:szCs w:val="5"/>
                <w:color w:val="auto"/>
              </w:rPr>
            </w:pPr>
          </w:p>
        </w:tc>
        <w:tc>
          <w:tcPr>
            <w:tcW w:w="120" w:type="dxa"/>
            <w:vAlign w:val="bottom"/>
            <w:gridSpan w:val="4"/>
            <w:shd w:val="clear" w:color="auto" w:fill="F3F3F4"/>
          </w:tcPr>
          <w:p>
            <w:pPr>
              <w:spacing w:after="0"/>
              <w:rPr>
                <w:sz w:val="5"/>
                <w:szCs w:val="5"/>
                <w:color w:val="auto"/>
              </w:rPr>
            </w:pPr>
          </w:p>
        </w:tc>
        <w:tc>
          <w:tcPr>
            <w:tcW w:w="160" w:type="dxa"/>
            <w:vAlign w:val="bottom"/>
            <w:vMerge w:val="continue"/>
            <w:shd w:val="clear" w:color="auto" w:fill="F3F3F4"/>
          </w:tcPr>
          <w:p>
            <w:pPr>
              <w:spacing w:after="0"/>
              <w:rPr>
                <w:sz w:val="5"/>
                <w:szCs w:val="5"/>
                <w:color w:val="auto"/>
              </w:rPr>
            </w:pPr>
          </w:p>
        </w:tc>
        <w:tc>
          <w:tcPr>
            <w:tcW w:w="100" w:type="dxa"/>
            <w:vAlign w:val="bottom"/>
            <w:vMerge w:val="continue"/>
            <w:shd w:val="clear" w:color="auto" w:fill="F3F3F4"/>
          </w:tcPr>
          <w:p>
            <w:pPr>
              <w:spacing w:after="0"/>
              <w:rPr>
                <w:sz w:val="5"/>
                <w:szCs w:val="5"/>
                <w:color w:val="auto"/>
              </w:rPr>
            </w:pPr>
          </w:p>
        </w:tc>
        <w:tc>
          <w:tcPr>
            <w:tcW w:w="960" w:type="dxa"/>
            <w:vAlign w:val="bottom"/>
            <w:gridSpan w:val="3"/>
            <w:vMerge w:val="continue"/>
            <w:shd w:val="clear" w:color="auto" w:fill="F3F3F4"/>
          </w:tcPr>
          <w:p>
            <w:pPr>
              <w:spacing w:after="0"/>
              <w:rPr>
                <w:sz w:val="5"/>
                <w:szCs w:val="5"/>
                <w:color w:val="auto"/>
              </w:rPr>
            </w:pPr>
          </w:p>
        </w:tc>
        <w:tc>
          <w:tcPr>
            <w:tcW w:w="260" w:type="dxa"/>
            <w:vAlign w:val="bottom"/>
            <w:vMerge w:val="continue"/>
            <w:shd w:val="clear" w:color="auto" w:fill="F3F3F4"/>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5"/>
                <w:szCs w:val="15"/>
                <w:color w:val="auto"/>
              </w:rPr>
            </w:pPr>
          </w:p>
        </w:tc>
        <w:tc>
          <w:tcPr>
            <w:tcW w:w="160" w:type="dxa"/>
            <w:vAlign w:val="bottom"/>
            <w:tcBorders>
              <w:bottom w:val="single" w:sz="8" w:color="F3F3F4"/>
            </w:tcBorders>
            <w:shd w:val="clear" w:color="auto" w:fill="F3F3F4"/>
          </w:tcPr>
          <w:p>
            <w:pPr>
              <w:spacing w:after="0"/>
              <w:rPr>
                <w:sz w:val="15"/>
                <w:szCs w:val="15"/>
                <w:color w:val="auto"/>
              </w:rPr>
            </w:pPr>
          </w:p>
        </w:tc>
        <w:tc>
          <w:tcPr>
            <w:tcW w:w="1520" w:type="dxa"/>
            <w:vAlign w:val="bottom"/>
            <w:tcBorders>
              <w:bottom w:val="single" w:sz="8" w:color="0000EE"/>
            </w:tcBorders>
            <w:gridSpan w:val="5"/>
            <w:shd w:val="clear" w:color="auto" w:fill="F3F3F4"/>
          </w:tcPr>
          <w:p>
            <w:pPr>
              <w:spacing w:after="0" w:line="158" w:lineRule="exact"/>
              <w:rPr>
                <w:sz w:val="20"/>
                <w:szCs w:val="20"/>
                <w:color w:val="auto"/>
              </w:rPr>
            </w:pPr>
            <w:r>
              <w:rPr>
                <w:rFonts w:ascii="Arial" w:cs="Arial" w:eastAsia="Arial" w:hAnsi="Arial"/>
                <w:sz w:val="16"/>
                <w:szCs w:val="16"/>
                <w:color w:val="auto"/>
                <w:w w:val="99"/>
              </w:rPr>
              <w:t>Board Risk Oversight</w:t>
            </w:r>
          </w:p>
        </w:tc>
        <w:tc>
          <w:tcPr>
            <w:tcW w:w="580" w:type="dxa"/>
            <w:vAlign w:val="bottom"/>
            <w:tcBorders>
              <w:bottom w:val="single" w:sz="8" w:color="F3F3F4"/>
            </w:tcBorders>
            <w:gridSpan w:val="3"/>
            <w:vMerge w:val="restart"/>
            <w:shd w:val="clear" w:color="auto" w:fill="F3F3F4"/>
          </w:tcPr>
          <w:p>
            <w:pPr>
              <w:spacing w:after="0"/>
              <w:rPr>
                <w:sz w:val="15"/>
                <w:szCs w:val="15"/>
                <w:color w:val="auto"/>
              </w:rPr>
            </w:pPr>
          </w:p>
        </w:tc>
        <w:tc>
          <w:tcPr>
            <w:tcW w:w="120" w:type="dxa"/>
            <w:vAlign w:val="bottom"/>
            <w:tcBorders>
              <w:bottom w:val="single" w:sz="8" w:color="F3F3F4"/>
              <w:right w:val="single" w:sz="8" w:color="F3F3F4"/>
            </w:tcBorders>
            <w:vMerge w:val="restart"/>
            <w:shd w:val="clear" w:color="auto" w:fill="F3F3F4"/>
          </w:tcPr>
          <w:p>
            <w:pPr>
              <w:spacing w:after="0"/>
              <w:rPr>
                <w:sz w:val="15"/>
                <w:szCs w:val="15"/>
                <w:color w:val="auto"/>
              </w:rPr>
            </w:pPr>
          </w:p>
        </w:tc>
        <w:tc>
          <w:tcPr>
            <w:tcW w:w="180" w:type="dxa"/>
            <w:vAlign w:val="bottom"/>
            <w:tcBorders>
              <w:bottom w:val="single" w:sz="8" w:color="F3F3F4"/>
            </w:tcBorders>
            <w:gridSpan w:val="3"/>
            <w:vMerge w:val="restart"/>
            <w:shd w:val="clear" w:color="auto" w:fill="F3F3F4"/>
          </w:tcPr>
          <w:p>
            <w:pPr>
              <w:spacing w:after="0"/>
              <w:rPr>
                <w:sz w:val="15"/>
                <w:szCs w:val="15"/>
                <w:color w:val="auto"/>
              </w:rPr>
            </w:pPr>
          </w:p>
        </w:tc>
        <w:tc>
          <w:tcPr>
            <w:tcW w:w="420" w:type="dxa"/>
            <w:vAlign w:val="bottom"/>
            <w:tcBorders>
              <w:bottom w:val="single" w:sz="8" w:color="F3F3F4"/>
            </w:tcBorders>
            <w:gridSpan w:val="2"/>
            <w:vMerge w:val="restart"/>
            <w:shd w:val="clear" w:color="auto" w:fill="F3F3F4"/>
          </w:tcPr>
          <w:p>
            <w:pPr>
              <w:spacing w:after="0"/>
              <w:rPr>
                <w:sz w:val="15"/>
                <w:szCs w:val="15"/>
                <w:color w:val="auto"/>
              </w:rPr>
            </w:pPr>
          </w:p>
        </w:tc>
        <w:tc>
          <w:tcPr>
            <w:tcW w:w="280" w:type="dxa"/>
            <w:vAlign w:val="bottom"/>
            <w:tcBorders>
              <w:bottom w:val="single" w:sz="8" w:color="F3F3F4"/>
            </w:tcBorders>
            <w:gridSpan w:val="5"/>
            <w:vMerge w:val="restart"/>
            <w:shd w:val="clear" w:color="auto" w:fill="F3F3F4"/>
          </w:tcPr>
          <w:p>
            <w:pPr>
              <w:spacing w:after="0"/>
              <w:rPr>
                <w:sz w:val="15"/>
                <w:szCs w:val="15"/>
                <w:color w:val="auto"/>
              </w:rPr>
            </w:pPr>
          </w:p>
        </w:tc>
        <w:tc>
          <w:tcPr>
            <w:tcW w:w="100" w:type="dxa"/>
            <w:vAlign w:val="bottom"/>
            <w:tcBorders>
              <w:bottom w:val="single" w:sz="8" w:color="F3F3F4"/>
            </w:tcBorders>
            <w:vMerge w:val="restart"/>
            <w:shd w:val="clear" w:color="auto" w:fill="F3F3F4"/>
          </w:tcPr>
          <w:p>
            <w:pPr>
              <w:spacing w:after="0"/>
              <w:rPr>
                <w:sz w:val="15"/>
                <w:szCs w:val="15"/>
                <w:color w:val="auto"/>
              </w:rPr>
            </w:pPr>
          </w:p>
        </w:tc>
        <w:tc>
          <w:tcPr>
            <w:tcW w:w="960" w:type="dxa"/>
            <w:vAlign w:val="bottom"/>
            <w:tcBorders>
              <w:bottom w:val="single" w:sz="8" w:color="F3F3F4"/>
            </w:tcBorders>
            <w:gridSpan w:val="3"/>
            <w:vMerge w:val="restart"/>
            <w:shd w:val="clear" w:color="auto" w:fill="F3F3F4"/>
          </w:tcPr>
          <w:p>
            <w:pPr>
              <w:spacing w:after="0"/>
              <w:rPr>
                <w:sz w:val="15"/>
                <w:szCs w:val="15"/>
                <w:color w:val="auto"/>
              </w:rPr>
            </w:pPr>
          </w:p>
        </w:tc>
        <w:tc>
          <w:tcPr>
            <w:tcW w:w="260" w:type="dxa"/>
            <w:vAlign w:val="bottom"/>
            <w:tcBorders>
              <w:bottom w:val="single" w:sz="8" w:color="F3F3F4"/>
            </w:tcBorders>
            <w:vMerge w:val="restart"/>
            <w:shd w:val="clear" w:color="auto" w:fill="F3F3F4"/>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59"/>
        </w:trPr>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F3F3F4"/>
          </w:tcPr>
          <w:p>
            <w:pPr>
              <w:spacing w:after="0"/>
              <w:rPr>
                <w:sz w:val="5"/>
                <w:szCs w:val="5"/>
                <w:color w:val="auto"/>
              </w:rPr>
            </w:pPr>
          </w:p>
        </w:tc>
        <w:tc>
          <w:tcPr>
            <w:tcW w:w="1160" w:type="dxa"/>
            <w:vAlign w:val="bottom"/>
            <w:gridSpan w:val="3"/>
            <w:shd w:val="clear" w:color="auto" w:fill="F3F3F4"/>
          </w:tcPr>
          <w:p>
            <w:pPr>
              <w:spacing w:after="0"/>
              <w:rPr>
                <w:sz w:val="5"/>
                <w:szCs w:val="5"/>
                <w:color w:val="auto"/>
              </w:rPr>
            </w:pPr>
          </w:p>
        </w:tc>
        <w:tc>
          <w:tcPr>
            <w:tcW w:w="360" w:type="dxa"/>
            <w:vAlign w:val="bottom"/>
            <w:gridSpan w:val="2"/>
            <w:shd w:val="clear" w:color="auto" w:fill="F3F3F4"/>
          </w:tcPr>
          <w:p>
            <w:pPr>
              <w:spacing w:after="0"/>
              <w:rPr>
                <w:sz w:val="5"/>
                <w:szCs w:val="5"/>
                <w:color w:val="auto"/>
              </w:rPr>
            </w:pPr>
          </w:p>
        </w:tc>
        <w:tc>
          <w:tcPr>
            <w:tcW w:w="580" w:type="dxa"/>
            <w:vAlign w:val="bottom"/>
            <w:gridSpan w:val="3"/>
            <w:vMerge w:val="continue"/>
            <w:shd w:val="clear" w:color="auto" w:fill="F3F3F4"/>
          </w:tcPr>
          <w:p>
            <w:pPr>
              <w:spacing w:after="0"/>
              <w:rPr>
                <w:sz w:val="5"/>
                <w:szCs w:val="5"/>
                <w:color w:val="auto"/>
              </w:rPr>
            </w:pPr>
          </w:p>
        </w:tc>
        <w:tc>
          <w:tcPr>
            <w:tcW w:w="120" w:type="dxa"/>
            <w:vAlign w:val="bottom"/>
            <w:tcBorders>
              <w:right w:val="single" w:sz="8" w:color="F3F3F4"/>
            </w:tcBorders>
            <w:vMerge w:val="continue"/>
            <w:shd w:val="clear" w:color="auto" w:fill="F3F3F4"/>
          </w:tcPr>
          <w:p>
            <w:pPr>
              <w:spacing w:after="0"/>
              <w:rPr>
                <w:sz w:val="5"/>
                <w:szCs w:val="5"/>
                <w:color w:val="auto"/>
              </w:rPr>
            </w:pPr>
          </w:p>
        </w:tc>
        <w:tc>
          <w:tcPr>
            <w:tcW w:w="180" w:type="dxa"/>
            <w:vAlign w:val="bottom"/>
            <w:gridSpan w:val="3"/>
            <w:vMerge w:val="continue"/>
            <w:shd w:val="clear" w:color="auto" w:fill="F3F3F4"/>
          </w:tcPr>
          <w:p>
            <w:pPr>
              <w:spacing w:after="0"/>
              <w:rPr>
                <w:sz w:val="5"/>
                <w:szCs w:val="5"/>
                <w:color w:val="auto"/>
              </w:rPr>
            </w:pPr>
          </w:p>
        </w:tc>
        <w:tc>
          <w:tcPr>
            <w:tcW w:w="420" w:type="dxa"/>
            <w:vAlign w:val="bottom"/>
            <w:gridSpan w:val="2"/>
            <w:vMerge w:val="continue"/>
            <w:shd w:val="clear" w:color="auto" w:fill="F3F3F4"/>
          </w:tcPr>
          <w:p>
            <w:pPr>
              <w:spacing w:after="0"/>
              <w:rPr>
                <w:sz w:val="5"/>
                <w:szCs w:val="5"/>
                <w:color w:val="auto"/>
              </w:rPr>
            </w:pPr>
          </w:p>
        </w:tc>
        <w:tc>
          <w:tcPr>
            <w:tcW w:w="280" w:type="dxa"/>
            <w:vAlign w:val="bottom"/>
            <w:gridSpan w:val="5"/>
            <w:vMerge w:val="continue"/>
            <w:shd w:val="clear" w:color="auto" w:fill="F3F3F4"/>
          </w:tcPr>
          <w:p>
            <w:pPr>
              <w:spacing w:after="0"/>
              <w:rPr>
                <w:sz w:val="5"/>
                <w:szCs w:val="5"/>
                <w:color w:val="auto"/>
              </w:rPr>
            </w:pPr>
          </w:p>
        </w:tc>
        <w:tc>
          <w:tcPr>
            <w:tcW w:w="100" w:type="dxa"/>
            <w:vAlign w:val="bottom"/>
            <w:vMerge w:val="continue"/>
            <w:shd w:val="clear" w:color="auto" w:fill="F3F3F4"/>
          </w:tcPr>
          <w:p>
            <w:pPr>
              <w:spacing w:after="0"/>
              <w:rPr>
                <w:sz w:val="5"/>
                <w:szCs w:val="5"/>
                <w:color w:val="auto"/>
              </w:rPr>
            </w:pPr>
          </w:p>
        </w:tc>
        <w:tc>
          <w:tcPr>
            <w:tcW w:w="960" w:type="dxa"/>
            <w:vAlign w:val="bottom"/>
            <w:gridSpan w:val="3"/>
            <w:vMerge w:val="continue"/>
            <w:shd w:val="clear" w:color="auto" w:fill="F3F3F4"/>
          </w:tcPr>
          <w:p>
            <w:pPr>
              <w:spacing w:after="0"/>
              <w:rPr>
                <w:sz w:val="5"/>
                <w:szCs w:val="5"/>
                <w:color w:val="auto"/>
              </w:rPr>
            </w:pPr>
          </w:p>
        </w:tc>
        <w:tc>
          <w:tcPr>
            <w:tcW w:w="260" w:type="dxa"/>
            <w:vAlign w:val="bottom"/>
            <w:vMerge w:val="continue"/>
            <w:shd w:val="clear" w:color="auto" w:fill="F3F3F4"/>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5"/>
                <w:szCs w:val="15"/>
                <w:color w:val="auto"/>
              </w:rPr>
            </w:pPr>
          </w:p>
        </w:tc>
        <w:tc>
          <w:tcPr>
            <w:tcW w:w="160" w:type="dxa"/>
            <w:vAlign w:val="bottom"/>
            <w:tcBorders>
              <w:bottom w:val="single" w:sz="8" w:color="F3F3F4"/>
            </w:tcBorders>
            <w:shd w:val="clear" w:color="auto" w:fill="F3F3F4"/>
          </w:tcPr>
          <w:p>
            <w:pPr>
              <w:spacing w:after="0"/>
              <w:rPr>
                <w:sz w:val="15"/>
                <w:szCs w:val="15"/>
                <w:color w:val="auto"/>
              </w:rPr>
            </w:pPr>
          </w:p>
        </w:tc>
        <w:tc>
          <w:tcPr>
            <w:tcW w:w="1160" w:type="dxa"/>
            <w:vAlign w:val="bottom"/>
            <w:tcBorders>
              <w:bottom w:val="single" w:sz="8" w:color="0000EE"/>
            </w:tcBorders>
            <w:gridSpan w:val="3"/>
            <w:shd w:val="clear" w:color="auto" w:fill="F3F3F4"/>
          </w:tcPr>
          <w:p>
            <w:pPr>
              <w:spacing w:after="0" w:line="158" w:lineRule="exact"/>
              <w:rPr>
                <w:sz w:val="20"/>
                <w:szCs w:val="20"/>
                <w:color w:val="auto"/>
              </w:rPr>
            </w:pPr>
            <w:r>
              <w:rPr>
                <w:rFonts w:ascii="Arial" w:cs="Arial" w:eastAsia="Arial" w:hAnsi="Arial"/>
                <w:sz w:val="16"/>
                <w:szCs w:val="16"/>
                <w:color w:val="auto"/>
                <w:w w:val="97"/>
              </w:rPr>
              <w:t>Clawback Policy</w:t>
            </w:r>
          </w:p>
        </w:tc>
        <w:tc>
          <w:tcPr>
            <w:tcW w:w="940" w:type="dxa"/>
            <w:vAlign w:val="bottom"/>
            <w:tcBorders>
              <w:bottom w:val="single" w:sz="8" w:color="F3F3F4"/>
            </w:tcBorders>
            <w:gridSpan w:val="5"/>
            <w:vMerge w:val="restart"/>
            <w:shd w:val="clear" w:color="auto" w:fill="F3F3F4"/>
          </w:tcPr>
          <w:p>
            <w:pPr>
              <w:spacing w:after="0"/>
              <w:rPr>
                <w:sz w:val="15"/>
                <w:szCs w:val="15"/>
                <w:color w:val="auto"/>
              </w:rPr>
            </w:pPr>
          </w:p>
        </w:tc>
        <w:tc>
          <w:tcPr>
            <w:tcW w:w="120" w:type="dxa"/>
            <w:vAlign w:val="bottom"/>
            <w:tcBorders>
              <w:bottom w:val="single" w:sz="8" w:color="F3F3F4"/>
              <w:right w:val="single" w:sz="8" w:color="F3F3F4"/>
            </w:tcBorders>
            <w:vMerge w:val="restart"/>
            <w:shd w:val="clear" w:color="auto" w:fill="F3F3F4"/>
          </w:tcPr>
          <w:p>
            <w:pPr>
              <w:spacing w:after="0"/>
              <w:rPr>
                <w:sz w:val="15"/>
                <w:szCs w:val="15"/>
                <w:color w:val="auto"/>
              </w:rPr>
            </w:pPr>
          </w:p>
        </w:tc>
        <w:tc>
          <w:tcPr>
            <w:tcW w:w="180" w:type="dxa"/>
            <w:vAlign w:val="bottom"/>
            <w:tcBorders>
              <w:bottom w:val="single" w:sz="8" w:color="F3F3F4"/>
            </w:tcBorders>
            <w:gridSpan w:val="3"/>
            <w:vMerge w:val="restart"/>
            <w:shd w:val="clear" w:color="auto" w:fill="F3F3F4"/>
          </w:tcPr>
          <w:p>
            <w:pPr>
              <w:spacing w:after="0"/>
              <w:rPr>
                <w:sz w:val="15"/>
                <w:szCs w:val="15"/>
                <w:color w:val="auto"/>
              </w:rPr>
            </w:pPr>
          </w:p>
        </w:tc>
        <w:tc>
          <w:tcPr>
            <w:tcW w:w="420" w:type="dxa"/>
            <w:vAlign w:val="bottom"/>
            <w:tcBorders>
              <w:bottom w:val="single" w:sz="8" w:color="F3F3F4"/>
            </w:tcBorders>
            <w:gridSpan w:val="2"/>
            <w:vMerge w:val="restart"/>
            <w:shd w:val="clear" w:color="auto" w:fill="F3F3F4"/>
          </w:tcPr>
          <w:p>
            <w:pPr>
              <w:spacing w:after="0"/>
              <w:rPr>
                <w:sz w:val="15"/>
                <w:szCs w:val="15"/>
                <w:color w:val="auto"/>
              </w:rPr>
            </w:pPr>
          </w:p>
        </w:tc>
        <w:tc>
          <w:tcPr>
            <w:tcW w:w="280" w:type="dxa"/>
            <w:vAlign w:val="bottom"/>
            <w:tcBorders>
              <w:bottom w:val="single" w:sz="8" w:color="F3F3F4"/>
            </w:tcBorders>
            <w:gridSpan w:val="5"/>
            <w:vMerge w:val="restart"/>
            <w:shd w:val="clear" w:color="auto" w:fill="F3F3F4"/>
          </w:tcPr>
          <w:p>
            <w:pPr>
              <w:spacing w:after="0"/>
              <w:rPr>
                <w:sz w:val="15"/>
                <w:szCs w:val="15"/>
                <w:color w:val="auto"/>
              </w:rPr>
            </w:pPr>
          </w:p>
        </w:tc>
        <w:tc>
          <w:tcPr>
            <w:tcW w:w="100" w:type="dxa"/>
            <w:vAlign w:val="bottom"/>
            <w:tcBorders>
              <w:bottom w:val="single" w:sz="8" w:color="F3F3F4"/>
            </w:tcBorders>
            <w:vMerge w:val="restart"/>
            <w:shd w:val="clear" w:color="auto" w:fill="F3F3F4"/>
          </w:tcPr>
          <w:p>
            <w:pPr>
              <w:spacing w:after="0"/>
              <w:rPr>
                <w:sz w:val="15"/>
                <w:szCs w:val="15"/>
                <w:color w:val="auto"/>
              </w:rPr>
            </w:pPr>
          </w:p>
        </w:tc>
        <w:tc>
          <w:tcPr>
            <w:tcW w:w="960" w:type="dxa"/>
            <w:vAlign w:val="bottom"/>
            <w:tcBorders>
              <w:bottom w:val="single" w:sz="8" w:color="F3F3F4"/>
            </w:tcBorders>
            <w:gridSpan w:val="3"/>
            <w:vMerge w:val="restart"/>
            <w:shd w:val="clear" w:color="auto" w:fill="F3F3F4"/>
          </w:tcPr>
          <w:p>
            <w:pPr>
              <w:spacing w:after="0"/>
              <w:rPr>
                <w:sz w:val="15"/>
                <w:szCs w:val="15"/>
                <w:color w:val="auto"/>
              </w:rPr>
            </w:pPr>
          </w:p>
        </w:tc>
        <w:tc>
          <w:tcPr>
            <w:tcW w:w="260" w:type="dxa"/>
            <w:vAlign w:val="bottom"/>
            <w:tcBorders>
              <w:bottom w:val="single" w:sz="8" w:color="F3F3F4"/>
            </w:tcBorders>
            <w:vMerge w:val="restart"/>
            <w:shd w:val="clear" w:color="auto" w:fill="F3F3F4"/>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59"/>
        </w:trPr>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F3F3F4"/>
          </w:tcPr>
          <w:p>
            <w:pPr>
              <w:spacing w:after="0"/>
              <w:rPr>
                <w:sz w:val="5"/>
                <w:szCs w:val="5"/>
                <w:color w:val="auto"/>
              </w:rPr>
            </w:pPr>
          </w:p>
        </w:tc>
        <w:tc>
          <w:tcPr>
            <w:tcW w:w="1160" w:type="dxa"/>
            <w:vAlign w:val="bottom"/>
            <w:gridSpan w:val="3"/>
            <w:shd w:val="clear" w:color="auto" w:fill="F3F3F4"/>
          </w:tcPr>
          <w:p>
            <w:pPr>
              <w:spacing w:after="0"/>
              <w:rPr>
                <w:sz w:val="5"/>
                <w:szCs w:val="5"/>
                <w:color w:val="auto"/>
              </w:rPr>
            </w:pPr>
          </w:p>
        </w:tc>
        <w:tc>
          <w:tcPr>
            <w:tcW w:w="940" w:type="dxa"/>
            <w:vAlign w:val="bottom"/>
            <w:gridSpan w:val="5"/>
            <w:vMerge w:val="continue"/>
            <w:shd w:val="clear" w:color="auto" w:fill="F3F3F4"/>
          </w:tcPr>
          <w:p>
            <w:pPr>
              <w:spacing w:after="0"/>
              <w:rPr>
                <w:sz w:val="5"/>
                <w:szCs w:val="5"/>
                <w:color w:val="auto"/>
              </w:rPr>
            </w:pPr>
          </w:p>
        </w:tc>
        <w:tc>
          <w:tcPr>
            <w:tcW w:w="120" w:type="dxa"/>
            <w:vAlign w:val="bottom"/>
            <w:tcBorders>
              <w:right w:val="single" w:sz="8" w:color="F3F3F4"/>
            </w:tcBorders>
            <w:vMerge w:val="continue"/>
            <w:shd w:val="clear" w:color="auto" w:fill="F3F3F4"/>
          </w:tcPr>
          <w:p>
            <w:pPr>
              <w:spacing w:after="0"/>
              <w:rPr>
                <w:sz w:val="5"/>
                <w:szCs w:val="5"/>
                <w:color w:val="auto"/>
              </w:rPr>
            </w:pPr>
          </w:p>
        </w:tc>
        <w:tc>
          <w:tcPr>
            <w:tcW w:w="180" w:type="dxa"/>
            <w:vAlign w:val="bottom"/>
            <w:gridSpan w:val="3"/>
            <w:vMerge w:val="continue"/>
            <w:shd w:val="clear" w:color="auto" w:fill="F3F3F4"/>
          </w:tcPr>
          <w:p>
            <w:pPr>
              <w:spacing w:after="0"/>
              <w:rPr>
                <w:sz w:val="5"/>
                <w:szCs w:val="5"/>
                <w:color w:val="auto"/>
              </w:rPr>
            </w:pPr>
          </w:p>
        </w:tc>
        <w:tc>
          <w:tcPr>
            <w:tcW w:w="420" w:type="dxa"/>
            <w:vAlign w:val="bottom"/>
            <w:gridSpan w:val="2"/>
            <w:vMerge w:val="continue"/>
            <w:shd w:val="clear" w:color="auto" w:fill="F3F3F4"/>
          </w:tcPr>
          <w:p>
            <w:pPr>
              <w:spacing w:after="0"/>
              <w:rPr>
                <w:sz w:val="5"/>
                <w:szCs w:val="5"/>
                <w:color w:val="auto"/>
              </w:rPr>
            </w:pPr>
          </w:p>
        </w:tc>
        <w:tc>
          <w:tcPr>
            <w:tcW w:w="280" w:type="dxa"/>
            <w:vAlign w:val="bottom"/>
            <w:gridSpan w:val="5"/>
            <w:vMerge w:val="continue"/>
            <w:shd w:val="clear" w:color="auto" w:fill="F3F3F4"/>
          </w:tcPr>
          <w:p>
            <w:pPr>
              <w:spacing w:after="0"/>
              <w:rPr>
                <w:sz w:val="5"/>
                <w:szCs w:val="5"/>
                <w:color w:val="auto"/>
              </w:rPr>
            </w:pPr>
          </w:p>
        </w:tc>
        <w:tc>
          <w:tcPr>
            <w:tcW w:w="100" w:type="dxa"/>
            <w:vAlign w:val="bottom"/>
            <w:vMerge w:val="continue"/>
            <w:shd w:val="clear" w:color="auto" w:fill="F3F3F4"/>
          </w:tcPr>
          <w:p>
            <w:pPr>
              <w:spacing w:after="0"/>
              <w:rPr>
                <w:sz w:val="5"/>
                <w:szCs w:val="5"/>
                <w:color w:val="auto"/>
              </w:rPr>
            </w:pPr>
          </w:p>
        </w:tc>
        <w:tc>
          <w:tcPr>
            <w:tcW w:w="960" w:type="dxa"/>
            <w:vAlign w:val="bottom"/>
            <w:gridSpan w:val="3"/>
            <w:vMerge w:val="continue"/>
            <w:shd w:val="clear" w:color="auto" w:fill="F3F3F4"/>
          </w:tcPr>
          <w:p>
            <w:pPr>
              <w:spacing w:after="0"/>
              <w:rPr>
                <w:sz w:val="5"/>
                <w:szCs w:val="5"/>
                <w:color w:val="auto"/>
              </w:rPr>
            </w:pPr>
          </w:p>
        </w:tc>
        <w:tc>
          <w:tcPr>
            <w:tcW w:w="260" w:type="dxa"/>
            <w:vAlign w:val="bottom"/>
            <w:vMerge w:val="continue"/>
            <w:shd w:val="clear" w:color="auto" w:fill="F3F3F4"/>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15"/>
                <w:szCs w:val="15"/>
                <w:color w:val="auto"/>
              </w:rPr>
            </w:pPr>
          </w:p>
        </w:tc>
        <w:tc>
          <w:tcPr>
            <w:tcW w:w="160" w:type="dxa"/>
            <w:vAlign w:val="bottom"/>
            <w:tcBorders>
              <w:bottom w:val="single" w:sz="8" w:color="F3F3F4"/>
            </w:tcBorders>
            <w:shd w:val="clear" w:color="auto" w:fill="F3F3F4"/>
          </w:tcPr>
          <w:p>
            <w:pPr>
              <w:spacing w:after="0"/>
              <w:rPr>
                <w:sz w:val="15"/>
                <w:szCs w:val="15"/>
                <w:color w:val="auto"/>
              </w:rPr>
            </w:pPr>
          </w:p>
        </w:tc>
        <w:tc>
          <w:tcPr>
            <w:tcW w:w="2820" w:type="dxa"/>
            <w:vAlign w:val="bottom"/>
            <w:tcBorders>
              <w:bottom w:val="single" w:sz="8" w:color="0000EE"/>
            </w:tcBorders>
            <w:gridSpan w:val="14"/>
            <w:shd w:val="clear" w:color="auto" w:fill="F3F3F4"/>
          </w:tcPr>
          <w:p>
            <w:pPr>
              <w:spacing w:after="0" w:line="158" w:lineRule="exact"/>
              <w:rPr>
                <w:sz w:val="20"/>
                <w:szCs w:val="20"/>
                <w:color w:val="auto"/>
              </w:rPr>
            </w:pPr>
            <w:r>
              <w:rPr>
                <w:rFonts w:ascii="Arial" w:cs="Arial" w:eastAsia="Arial" w:hAnsi="Arial"/>
                <w:sz w:val="16"/>
                <w:szCs w:val="16"/>
                <w:color w:val="auto"/>
                <w:w w:val="99"/>
              </w:rPr>
              <w:t>Compensation Discussion and Analysis</w:t>
            </w:r>
          </w:p>
        </w:tc>
        <w:tc>
          <w:tcPr>
            <w:tcW w:w="280" w:type="dxa"/>
            <w:vAlign w:val="bottom"/>
            <w:tcBorders>
              <w:bottom w:val="single" w:sz="8" w:color="F3F3F4"/>
            </w:tcBorders>
            <w:gridSpan w:val="5"/>
            <w:vMerge w:val="restart"/>
            <w:shd w:val="clear" w:color="auto" w:fill="F3F3F4"/>
          </w:tcPr>
          <w:p>
            <w:pPr>
              <w:spacing w:after="0"/>
              <w:rPr>
                <w:sz w:val="15"/>
                <w:szCs w:val="15"/>
                <w:color w:val="auto"/>
              </w:rPr>
            </w:pPr>
          </w:p>
        </w:tc>
        <w:tc>
          <w:tcPr>
            <w:tcW w:w="100" w:type="dxa"/>
            <w:vAlign w:val="bottom"/>
            <w:tcBorders>
              <w:bottom w:val="single" w:sz="8" w:color="F3F3F4"/>
            </w:tcBorders>
            <w:vMerge w:val="restart"/>
            <w:shd w:val="clear" w:color="auto" w:fill="F3F3F4"/>
          </w:tcPr>
          <w:p>
            <w:pPr>
              <w:spacing w:after="0"/>
              <w:rPr>
                <w:sz w:val="15"/>
                <w:szCs w:val="15"/>
                <w:color w:val="auto"/>
              </w:rPr>
            </w:pPr>
          </w:p>
        </w:tc>
        <w:tc>
          <w:tcPr>
            <w:tcW w:w="960" w:type="dxa"/>
            <w:vAlign w:val="bottom"/>
            <w:tcBorders>
              <w:bottom w:val="single" w:sz="8" w:color="F3F3F4"/>
            </w:tcBorders>
            <w:gridSpan w:val="3"/>
            <w:vMerge w:val="restart"/>
            <w:shd w:val="clear" w:color="auto" w:fill="F3F3F4"/>
          </w:tcPr>
          <w:p>
            <w:pPr>
              <w:spacing w:after="0"/>
              <w:rPr>
                <w:sz w:val="15"/>
                <w:szCs w:val="15"/>
                <w:color w:val="auto"/>
              </w:rPr>
            </w:pPr>
          </w:p>
        </w:tc>
        <w:tc>
          <w:tcPr>
            <w:tcW w:w="260" w:type="dxa"/>
            <w:vAlign w:val="bottom"/>
            <w:tcBorders>
              <w:bottom w:val="single" w:sz="8" w:color="F3F3F4"/>
            </w:tcBorders>
            <w:vMerge w:val="restart"/>
            <w:shd w:val="clear" w:color="auto" w:fill="F3F3F4"/>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60"/>
        </w:trPr>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F3F3F4"/>
          </w:tcPr>
          <w:p>
            <w:pPr>
              <w:spacing w:after="0"/>
              <w:rPr>
                <w:sz w:val="5"/>
                <w:szCs w:val="5"/>
                <w:color w:val="auto"/>
              </w:rPr>
            </w:pPr>
          </w:p>
        </w:tc>
        <w:tc>
          <w:tcPr>
            <w:tcW w:w="2100" w:type="dxa"/>
            <w:vAlign w:val="bottom"/>
            <w:gridSpan w:val="8"/>
            <w:shd w:val="clear" w:color="auto" w:fill="F3F3F4"/>
          </w:tcPr>
          <w:p>
            <w:pPr>
              <w:spacing w:after="0"/>
              <w:rPr>
                <w:sz w:val="5"/>
                <w:szCs w:val="5"/>
                <w:color w:val="auto"/>
              </w:rPr>
            </w:pPr>
          </w:p>
        </w:tc>
        <w:tc>
          <w:tcPr>
            <w:tcW w:w="120" w:type="dxa"/>
            <w:vAlign w:val="bottom"/>
            <w:tcBorders>
              <w:right w:val="single" w:sz="8" w:color="F3F3F4"/>
            </w:tcBorders>
            <w:shd w:val="clear" w:color="auto" w:fill="F3F3F4"/>
          </w:tcPr>
          <w:p>
            <w:pPr>
              <w:spacing w:after="0"/>
              <w:rPr>
                <w:sz w:val="5"/>
                <w:szCs w:val="5"/>
                <w:color w:val="auto"/>
              </w:rPr>
            </w:pPr>
          </w:p>
        </w:tc>
        <w:tc>
          <w:tcPr>
            <w:tcW w:w="180" w:type="dxa"/>
            <w:vAlign w:val="bottom"/>
            <w:gridSpan w:val="3"/>
            <w:shd w:val="clear" w:color="auto" w:fill="F3F3F4"/>
          </w:tcPr>
          <w:p>
            <w:pPr>
              <w:spacing w:after="0"/>
              <w:rPr>
                <w:sz w:val="5"/>
                <w:szCs w:val="5"/>
                <w:color w:val="auto"/>
              </w:rPr>
            </w:pPr>
          </w:p>
        </w:tc>
        <w:tc>
          <w:tcPr>
            <w:tcW w:w="420" w:type="dxa"/>
            <w:vAlign w:val="bottom"/>
            <w:gridSpan w:val="2"/>
            <w:shd w:val="clear" w:color="auto" w:fill="F3F3F4"/>
          </w:tcPr>
          <w:p>
            <w:pPr>
              <w:spacing w:after="0"/>
              <w:rPr>
                <w:sz w:val="5"/>
                <w:szCs w:val="5"/>
                <w:color w:val="auto"/>
              </w:rPr>
            </w:pPr>
          </w:p>
        </w:tc>
        <w:tc>
          <w:tcPr>
            <w:tcW w:w="280" w:type="dxa"/>
            <w:vAlign w:val="bottom"/>
            <w:gridSpan w:val="5"/>
            <w:vMerge w:val="continue"/>
            <w:shd w:val="clear" w:color="auto" w:fill="F3F3F4"/>
          </w:tcPr>
          <w:p>
            <w:pPr>
              <w:spacing w:after="0"/>
              <w:rPr>
                <w:sz w:val="5"/>
                <w:szCs w:val="5"/>
                <w:color w:val="auto"/>
              </w:rPr>
            </w:pPr>
          </w:p>
        </w:tc>
        <w:tc>
          <w:tcPr>
            <w:tcW w:w="100" w:type="dxa"/>
            <w:vAlign w:val="bottom"/>
            <w:vMerge w:val="continue"/>
            <w:shd w:val="clear" w:color="auto" w:fill="F3F3F4"/>
          </w:tcPr>
          <w:p>
            <w:pPr>
              <w:spacing w:after="0"/>
              <w:rPr>
                <w:sz w:val="5"/>
                <w:szCs w:val="5"/>
                <w:color w:val="auto"/>
              </w:rPr>
            </w:pPr>
          </w:p>
        </w:tc>
        <w:tc>
          <w:tcPr>
            <w:tcW w:w="960" w:type="dxa"/>
            <w:vAlign w:val="bottom"/>
            <w:gridSpan w:val="3"/>
            <w:vMerge w:val="continue"/>
            <w:shd w:val="clear" w:color="auto" w:fill="F3F3F4"/>
          </w:tcPr>
          <w:p>
            <w:pPr>
              <w:spacing w:after="0"/>
              <w:rPr>
                <w:sz w:val="5"/>
                <w:szCs w:val="5"/>
                <w:color w:val="auto"/>
              </w:rPr>
            </w:pPr>
          </w:p>
        </w:tc>
        <w:tc>
          <w:tcPr>
            <w:tcW w:w="260" w:type="dxa"/>
            <w:vAlign w:val="bottom"/>
            <w:vMerge w:val="continue"/>
            <w:shd w:val="clear" w:color="auto" w:fill="F3F3F4"/>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5"/>
                <w:szCs w:val="15"/>
                <w:color w:val="auto"/>
              </w:rPr>
            </w:pPr>
          </w:p>
        </w:tc>
        <w:tc>
          <w:tcPr>
            <w:tcW w:w="160" w:type="dxa"/>
            <w:vAlign w:val="bottom"/>
            <w:tcBorders>
              <w:bottom w:val="single" w:sz="8" w:color="F3F3F4"/>
            </w:tcBorders>
            <w:shd w:val="clear" w:color="auto" w:fill="F3F3F4"/>
          </w:tcPr>
          <w:p>
            <w:pPr>
              <w:spacing w:after="0"/>
              <w:rPr>
                <w:sz w:val="15"/>
                <w:szCs w:val="15"/>
                <w:color w:val="auto"/>
              </w:rPr>
            </w:pPr>
          </w:p>
        </w:tc>
        <w:tc>
          <w:tcPr>
            <w:tcW w:w="2100" w:type="dxa"/>
            <w:vAlign w:val="bottom"/>
            <w:tcBorders>
              <w:bottom w:val="single" w:sz="8" w:color="0000EE"/>
            </w:tcBorders>
            <w:gridSpan w:val="8"/>
            <w:shd w:val="clear" w:color="auto" w:fill="F3F3F4"/>
          </w:tcPr>
          <w:p>
            <w:pPr>
              <w:spacing w:after="0" w:line="176" w:lineRule="exact"/>
              <w:rPr>
                <w:sz w:val="20"/>
                <w:szCs w:val="20"/>
                <w:color w:val="auto"/>
              </w:rPr>
            </w:pPr>
            <w:r>
              <w:rPr>
                <w:rFonts w:ascii="Arial" w:cs="Arial" w:eastAsia="Arial" w:hAnsi="Arial"/>
                <w:sz w:val="16"/>
                <w:szCs w:val="16"/>
                <w:color w:val="auto"/>
                <w:w w:val="99"/>
              </w:rPr>
              <w:t>Director Compensation Table</w:t>
            </w:r>
          </w:p>
        </w:tc>
        <w:tc>
          <w:tcPr>
            <w:tcW w:w="2060" w:type="dxa"/>
            <w:vAlign w:val="bottom"/>
            <w:tcBorders>
              <w:bottom w:val="single" w:sz="8" w:color="F3F3F4"/>
            </w:tcBorders>
            <w:gridSpan w:val="15"/>
            <w:shd w:val="clear" w:color="auto" w:fill="F3F3F4"/>
          </w:tcPr>
          <w:p>
            <w:pPr>
              <w:spacing w:after="0"/>
              <w:rPr>
                <w:sz w:val="15"/>
                <w:szCs w:val="15"/>
                <w:color w:val="auto"/>
              </w:rPr>
            </w:pPr>
          </w:p>
        </w:tc>
        <w:tc>
          <w:tcPr>
            <w:tcW w:w="260" w:type="dxa"/>
            <w:vAlign w:val="bottom"/>
            <w:tcBorders>
              <w:bottom w:val="single" w:sz="8" w:color="F3F3F4"/>
            </w:tcBorders>
            <w:shd w:val="clear" w:color="auto" w:fill="F3F3F4"/>
          </w:tcPr>
          <w:p>
            <w:pPr>
              <w:jc w:val="right"/>
              <w:spacing w:after="0" w:line="176"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73"/>
        </w:trPr>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shd w:val="clear" w:color="auto" w:fill="F3F3F4"/>
          </w:tcPr>
          <w:p>
            <w:pPr>
              <w:spacing w:after="0"/>
              <w:rPr>
                <w:sz w:val="6"/>
                <w:szCs w:val="6"/>
                <w:color w:val="auto"/>
              </w:rPr>
            </w:pPr>
          </w:p>
        </w:tc>
        <w:tc>
          <w:tcPr>
            <w:tcW w:w="4160" w:type="dxa"/>
            <w:vAlign w:val="bottom"/>
            <w:gridSpan w:val="23"/>
            <w:vMerge w:val="restart"/>
            <w:shd w:val="clear" w:color="auto" w:fill="F3F3F4"/>
          </w:tcPr>
          <w:p>
            <w:pPr>
              <w:spacing w:after="0"/>
              <w:rPr>
                <w:sz w:val="20"/>
                <w:szCs w:val="20"/>
                <w:color w:val="auto"/>
              </w:rPr>
            </w:pPr>
            <w:r>
              <w:rPr>
                <w:rFonts w:ascii="Arial" w:cs="Arial" w:eastAsia="Arial" w:hAnsi="Arial"/>
                <w:sz w:val="16"/>
                <w:szCs w:val="16"/>
                <w:color w:val="auto"/>
              </w:rPr>
              <w:t>Pay versus Performance Table</w:t>
            </w:r>
          </w:p>
        </w:tc>
        <w:tc>
          <w:tcPr>
            <w:tcW w:w="260" w:type="dxa"/>
            <w:vAlign w:val="bottom"/>
            <w:vMerge w:val="restart"/>
            <w:shd w:val="clear" w:color="auto" w:fill="F3F3F4"/>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4"/>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4"/>
                <w:szCs w:val="14"/>
                <w:color w:val="auto"/>
              </w:rPr>
            </w:pPr>
          </w:p>
        </w:tc>
        <w:tc>
          <w:tcPr>
            <w:tcW w:w="160" w:type="dxa"/>
            <w:vAlign w:val="bottom"/>
            <w:shd w:val="clear" w:color="auto" w:fill="F3F3F4"/>
          </w:tcPr>
          <w:p>
            <w:pPr>
              <w:spacing w:after="0"/>
              <w:rPr>
                <w:sz w:val="14"/>
                <w:szCs w:val="14"/>
                <w:color w:val="auto"/>
              </w:rPr>
            </w:pPr>
          </w:p>
        </w:tc>
        <w:tc>
          <w:tcPr>
            <w:tcW w:w="4160" w:type="dxa"/>
            <w:vAlign w:val="bottom"/>
            <w:gridSpan w:val="23"/>
            <w:vMerge w:val="continue"/>
            <w:shd w:val="clear" w:color="auto" w:fill="F3F3F4"/>
          </w:tcPr>
          <w:p>
            <w:pPr>
              <w:spacing w:after="0"/>
              <w:rPr>
                <w:sz w:val="14"/>
                <w:szCs w:val="14"/>
                <w:color w:val="auto"/>
              </w:rPr>
            </w:pPr>
          </w:p>
        </w:tc>
        <w:tc>
          <w:tcPr>
            <w:tcW w:w="260" w:type="dxa"/>
            <w:vAlign w:val="bottom"/>
            <w:vMerge w:val="continue"/>
            <w:shd w:val="clear" w:color="auto" w:fill="F3F3F4"/>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Borders>
              <w:top w:val="single" w:sz="8" w:color="F3F3F4"/>
            </w:tcBorders>
            <w:shd w:val="clear" w:color="auto" w:fill="F3F3F4"/>
          </w:tcPr>
          <w:p>
            <w:pPr>
              <w:spacing w:after="0"/>
              <w:rPr>
                <w:sz w:val="6"/>
                <w:szCs w:val="6"/>
                <w:color w:val="auto"/>
              </w:rPr>
            </w:pPr>
          </w:p>
        </w:tc>
        <w:tc>
          <w:tcPr>
            <w:tcW w:w="2220" w:type="dxa"/>
            <w:vAlign w:val="bottom"/>
            <w:tcBorders>
              <w:top w:val="single" w:sz="8" w:color="0000EE"/>
              <w:right w:val="single" w:sz="8" w:color="F3F3F4"/>
            </w:tcBorders>
            <w:gridSpan w:val="9"/>
            <w:vMerge w:val="restart"/>
            <w:shd w:val="clear" w:color="auto" w:fill="F3F3F4"/>
          </w:tcPr>
          <w:p>
            <w:pPr>
              <w:spacing w:after="0"/>
              <w:rPr>
                <w:sz w:val="20"/>
                <w:szCs w:val="20"/>
                <w:color w:val="auto"/>
              </w:rPr>
            </w:pPr>
            <w:r>
              <w:rPr>
                <w:rFonts w:ascii="Arial" w:cs="Arial" w:eastAsia="Arial" w:hAnsi="Arial"/>
                <w:sz w:val="16"/>
                <w:szCs w:val="16"/>
                <w:color w:val="auto"/>
              </w:rPr>
              <w:t>Peer Group for Compensation</w:t>
            </w:r>
          </w:p>
        </w:tc>
        <w:tc>
          <w:tcPr>
            <w:tcW w:w="140" w:type="dxa"/>
            <w:vAlign w:val="bottom"/>
            <w:tcBorders>
              <w:top w:val="single" w:sz="8" w:color="F3F3F4"/>
            </w:tcBorders>
            <w:shd w:val="clear" w:color="auto" w:fill="F3F3F4"/>
          </w:tcPr>
          <w:p>
            <w:pPr>
              <w:spacing w:after="0"/>
              <w:rPr>
                <w:sz w:val="6"/>
                <w:szCs w:val="6"/>
                <w:color w:val="auto"/>
              </w:rPr>
            </w:pPr>
          </w:p>
        </w:tc>
        <w:tc>
          <w:tcPr>
            <w:tcW w:w="20" w:type="dxa"/>
            <w:vAlign w:val="bottom"/>
            <w:tcBorders>
              <w:top w:val="single" w:sz="8" w:color="F3F3F4"/>
            </w:tcBorders>
            <w:shd w:val="clear" w:color="auto" w:fill="F3F3F4"/>
          </w:tcPr>
          <w:p>
            <w:pPr>
              <w:spacing w:after="0"/>
              <w:rPr>
                <w:sz w:val="6"/>
                <w:szCs w:val="6"/>
                <w:color w:val="auto"/>
              </w:rPr>
            </w:pPr>
          </w:p>
        </w:tc>
        <w:tc>
          <w:tcPr>
            <w:tcW w:w="20" w:type="dxa"/>
            <w:vAlign w:val="bottom"/>
            <w:tcBorders>
              <w:top w:val="single" w:sz="8" w:color="F3F3F4"/>
            </w:tcBorders>
            <w:shd w:val="clear" w:color="auto" w:fill="F3F3F4"/>
          </w:tcPr>
          <w:p>
            <w:pPr>
              <w:spacing w:after="0"/>
              <w:rPr>
                <w:sz w:val="6"/>
                <w:szCs w:val="6"/>
                <w:color w:val="auto"/>
              </w:rPr>
            </w:pPr>
          </w:p>
        </w:tc>
        <w:tc>
          <w:tcPr>
            <w:tcW w:w="100" w:type="dxa"/>
            <w:vAlign w:val="bottom"/>
            <w:tcBorders>
              <w:top w:val="single" w:sz="8" w:color="F3F3F4"/>
            </w:tcBorders>
            <w:shd w:val="clear" w:color="auto" w:fill="F3F3F4"/>
          </w:tcPr>
          <w:p>
            <w:pPr>
              <w:spacing w:after="0"/>
              <w:rPr>
                <w:sz w:val="6"/>
                <w:szCs w:val="6"/>
                <w:color w:val="auto"/>
              </w:rPr>
            </w:pPr>
          </w:p>
        </w:tc>
        <w:tc>
          <w:tcPr>
            <w:tcW w:w="320" w:type="dxa"/>
            <w:vAlign w:val="bottom"/>
            <w:tcBorders>
              <w:top w:val="single" w:sz="8" w:color="F3F3F4"/>
            </w:tcBorders>
            <w:shd w:val="clear" w:color="auto" w:fill="F3F3F4"/>
          </w:tcPr>
          <w:p>
            <w:pPr>
              <w:spacing w:after="0"/>
              <w:rPr>
                <w:sz w:val="6"/>
                <w:szCs w:val="6"/>
                <w:color w:val="auto"/>
              </w:rPr>
            </w:pPr>
          </w:p>
        </w:tc>
        <w:tc>
          <w:tcPr>
            <w:tcW w:w="40" w:type="dxa"/>
            <w:vAlign w:val="bottom"/>
            <w:tcBorders>
              <w:top w:val="single" w:sz="8" w:color="F3F3F4"/>
            </w:tcBorders>
            <w:shd w:val="clear" w:color="auto" w:fill="F3F3F4"/>
          </w:tcPr>
          <w:p>
            <w:pPr>
              <w:spacing w:after="0"/>
              <w:rPr>
                <w:sz w:val="6"/>
                <w:szCs w:val="6"/>
                <w:color w:val="auto"/>
              </w:rPr>
            </w:pPr>
          </w:p>
        </w:tc>
        <w:tc>
          <w:tcPr>
            <w:tcW w:w="20" w:type="dxa"/>
            <w:vAlign w:val="bottom"/>
            <w:tcBorders>
              <w:top w:val="single" w:sz="8" w:color="F3F3F4"/>
            </w:tcBorders>
            <w:shd w:val="clear" w:color="auto" w:fill="F3F3F4"/>
          </w:tcPr>
          <w:p>
            <w:pPr>
              <w:spacing w:after="0"/>
              <w:rPr>
                <w:sz w:val="6"/>
                <w:szCs w:val="6"/>
                <w:color w:val="auto"/>
              </w:rPr>
            </w:pPr>
          </w:p>
        </w:tc>
        <w:tc>
          <w:tcPr>
            <w:tcW w:w="20" w:type="dxa"/>
            <w:vAlign w:val="bottom"/>
            <w:tcBorders>
              <w:top w:val="single" w:sz="8" w:color="F3F3F4"/>
            </w:tcBorders>
            <w:shd w:val="clear" w:color="auto" w:fill="F3F3F4"/>
          </w:tcPr>
          <w:p>
            <w:pPr>
              <w:spacing w:after="0"/>
              <w:rPr>
                <w:sz w:val="6"/>
                <w:szCs w:val="6"/>
                <w:color w:val="auto"/>
              </w:rPr>
            </w:pPr>
          </w:p>
        </w:tc>
        <w:tc>
          <w:tcPr>
            <w:tcW w:w="40" w:type="dxa"/>
            <w:vAlign w:val="bottom"/>
            <w:tcBorders>
              <w:top w:val="single" w:sz="8" w:color="F3F3F4"/>
            </w:tcBorders>
            <w:shd w:val="clear" w:color="auto" w:fill="F3F3F4"/>
          </w:tcPr>
          <w:p>
            <w:pPr>
              <w:spacing w:after="0"/>
              <w:rPr>
                <w:sz w:val="6"/>
                <w:szCs w:val="6"/>
                <w:color w:val="auto"/>
              </w:rPr>
            </w:pPr>
          </w:p>
        </w:tc>
        <w:tc>
          <w:tcPr>
            <w:tcW w:w="160" w:type="dxa"/>
            <w:vAlign w:val="bottom"/>
            <w:tcBorders>
              <w:top w:val="single" w:sz="8" w:color="F3F3F4"/>
            </w:tcBorders>
            <w:shd w:val="clear" w:color="auto" w:fill="F3F3F4"/>
          </w:tcPr>
          <w:p>
            <w:pPr>
              <w:spacing w:after="0"/>
              <w:rPr>
                <w:sz w:val="6"/>
                <w:szCs w:val="6"/>
                <w:color w:val="auto"/>
              </w:rPr>
            </w:pPr>
          </w:p>
        </w:tc>
        <w:tc>
          <w:tcPr>
            <w:tcW w:w="100" w:type="dxa"/>
            <w:vAlign w:val="bottom"/>
            <w:tcBorders>
              <w:top w:val="single" w:sz="8" w:color="F3F3F4"/>
            </w:tcBorders>
            <w:shd w:val="clear" w:color="auto" w:fill="F3F3F4"/>
          </w:tcPr>
          <w:p>
            <w:pPr>
              <w:spacing w:after="0"/>
              <w:rPr>
                <w:sz w:val="6"/>
                <w:szCs w:val="6"/>
                <w:color w:val="auto"/>
              </w:rPr>
            </w:pPr>
          </w:p>
        </w:tc>
        <w:tc>
          <w:tcPr>
            <w:tcW w:w="20" w:type="dxa"/>
            <w:vAlign w:val="bottom"/>
            <w:tcBorders>
              <w:top w:val="single" w:sz="8" w:color="F3F3F4"/>
            </w:tcBorders>
            <w:shd w:val="clear" w:color="auto" w:fill="F3F3F4"/>
          </w:tcPr>
          <w:p>
            <w:pPr>
              <w:spacing w:after="0"/>
              <w:rPr>
                <w:sz w:val="6"/>
                <w:szCs w:val="6"/>
                <w:color w:val="auto"/>
              </w:rPr>
            </w:pPr>
          </w:p>
        </w:tc>
        <w:tc>
          <w:tcPr>
            <w:tcW w:w="560" w:type="dxa"/>
            <w:vAlign w:val="bottom"/>
            <w:tcBorders>
              <w:top w:val="single" w:sz="8" w:color="F3F3F4"/>
            </w:tcBorders>
            <w:shd w:val="clear" w:color="auto" w:fill="F3F3F4"/>
          </w:tcPr>
          <w:p>
            <w:pPr>
              <w:spacing w:after="0"/>
              <w:rPr>
                <w:sz w:val="6"/>
                <w:szCs w:val="6"/>
                <w:color w:val="auto"/>
              </w:rPr>
            </w:pPr>
          </w:p>
        </w:tc>
        <w:tc>
          <w:tcPr>
            <w:tcW w:w="380" w:type="dxa"/>
            <w:vAlign w:val="bottom"/>
            <w:tcBorders>
              <w:top w:val="single" w:sz="8" w:color="F3F3F4"/>
            </w:tcBorders>
            <w:shd w:val="clear" w:color="auto" w:fill="F3F3F4"/>
          </w:tcPr>
          <w:p>
            <w:pPr>
              <w:spacing w:after="0"/>
              <w:rPr>
                <w:sz w:val="6"/>
                <w:szCs w:val="6"/>
                <w:color w:val="auto"/>
              </w:rPr>
            </w:pPr>
          </w:p>
        </w:tc>
        <w:tc>
          <w:tcPr>
            <w:tcW w:w="260" w:type="dxa"/>
            <w:vAlign w:val="bottom"/>
            <w:tcBorders>
              <w:top w:val="single" w:sz="8" w:color="F3F3F4"/>
            </w:tcBorders>
            <w:vMerge w:val="restart"/>
            <w:shd w:val="clear" w:color="auto" w:fill="F3F3F4"/>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4"/>
        </w:trPr>
        <w:tc>
          <w:tcPr>
            <w:tcW w:w="4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w w:val="89"/>
              </w:rPr>
              <w:t>14</w:t>
            </w:r>
          </w:p>
        </w:tc>
        <w:tc>
          <w:tcPr>
            <w:tcW w:w="280" w:type="dxa"/>
            <w:vAlign w:val="bottom"/>
          </w:tcPr>
          <w:p>
            <w:pPr>
              <w:spacing w:after="0"/>
              <w:rPr>
                <w:sz w:val="14"/>
                <w:szCs w:val="14"/>
                <w:color w:val="auto"/>
              </w:rPr>
            </w:pPr>
          </w:p>
        </w:tc>
        <w:tc>
          <w:tcPr>
            <w:tcW w:w="160" w:type="dxa"/>
            <w:vAlign w:val="bottom"/>
            <w:tcBorders>
              <w:bottom w:val="single" w:sz="8" w:color="F3F3F4"/>
            </w:tcBorders>
            <w:shd w:val="clear" w:color="auto" w:fill="F3F3F4"/>
          </w:tcPr>
          <w:p>
            <w:pPr>
              <w:spacing w:after="0"/>
              <w:rPr>
                <w:sz w:val="14"/>
                <w:szCs w:val="14"/>
                <w:color w:val="auto"/>
              </w:rPr>
            </w:pPr>
          </w:p>
        </w:tc>
        <w:tc>
          <w:tcPr>
            <w:tcW w:w="2220" w:type="dxa"/>
            <w:vAlign w:val="bottom"/>
            <w:tcBorders>
              <w:bottom w:val="single" w:sz="8" w:color="0000EE"/>
              <w:right w:val="single" w:sz="8" w:color="F3F3F4"/>
            </w:tcBorders>
            <w:gridSpan w:val="9"/>
            <w:vMerge w:val="continue"/>
            <w:shd w:val="clear" w:color="auto" w:fill="F3F3F4"/>
          </w:tcPr>
          <w:p>
            <w:pPr>
              <w:spacing w:after="0"/>
              <w:rPr>
                <w:sz w:val="14"/>
                <w:szCs w:val="14"/>
                <w:color w:val="auto"/>
              </w:rPr>
            </w:pPr>
          </w:p>
        </w:tc>
        <w:tc>
          <w:tcPr>
            <w:tcW w:w="180" w:type="dxa"/>
            <w:vAlign w:val="bottom"/>
            <w:tcBorders>
              <w:bottom w:val="single" w:sz="8" w:color="F3F3F4"/>
            </w:tcBorders>
            <w:gridSpan w:val="3"/>
            <w:vMerge w:val="restart"/>
            <w:shd w:val="clear" w:color="auto" w:fill="F3F3F4"/>
          </w:tcPr>
          <w:p>
            <w:pPr>
              <w:spacing w:after="0"/>
              <w:rPr>
                <w:sz w:val="14"/>
                <w:szCs w:val="14"/>
                <w:color w:val="auto"/>
              </w:rPr>
            </w:pPr>
          </w:p>
        </w:tc>
        <w:tc>
          <w:tcPr>
            <w:tcW w:w="700" w:type="dxa"/>
            <w:vAlign w:val="bottom"/>
            <w:tcBorders>
              <w:bottom w:val="single" w:sz="8" w:color="F3F3F4"/>
            </w:tcBorders>
            <w:gridSpan w:val="7"/>
            <w:vMerge w:val="restart"/>
            <w:shd w:val="clear" w:color="auto" w:fill="F3F3F4"/>
          </w:tcPr>
          <w:p>
            <w:pPr>
              <w:spacing w:after="0"/>
              <w:rPr>
                <w:sz w:val="14"/>
                <w:szCs w:val="14"/>
                <w:color w:val="auto"/>
              </w:rPr>
            </w:pPr>
          </w:p>
        </w:tc>
        <w:tc>
          <w:tcPr>
            <w:tcW w:w="100" w:type="dxa"/>
            <w:vAlign w:val="bottom"/>
            <w:tcBorders>
              <w:bottom w:val="single" w:sz="8" w:color="F3F3F4"/>
            </w:tcBorders>
            <w:vMerge w:val="restart"/>
            <w:shd w:val="clear" w:color="auto" w:fill="F3F3F4"/>
          </w:tcPr>
          <w:p>
            <w:pPr>
              <w:spacing w:after="0"/>
              <w:rPr>
                <w:sz w:val="14"/>
                <w:szCs w:val="14"/>
                <w:color w:val="auto"/>
              </w:rPr>
            </w:pPr>
          </w:p>
        </w:tc>
        <w:tc>
          <w:tcPr>
            <w:tcW w:w="960" w:type="dxa"/>
            <w:vAlign w:val="bottom"/>
            <w:tcBorders>
              <w:bottom w:val="single" w:sz="8" w:color="F3F3F4"/>
            </w:tcBorders>
            <w:gridSpan w:val="3"/>
            <w:vMerge w:val="restart"/>
            <w:shd w:val="clear" w:color="auto" w:fill="F3F3F4"/>
          </w:tcPr>
          <w:p>
            <w:pPr>
              <w:spacing w:after="0"/>
              <w:rPr>
                <w:sz w:val="14"/>
                <w:szCs w:val="14"/>
                <w:color w:val="auto"/>
              </w:rPr>
            </w:pPr>
          </w:p>
        </w:tc>
        <w:tc>
          <w:tcPr>
            <w:tcW w:w="260" w:type="dxa"/>
            <w:vAlign w:val="bottom"/>
            <w:tcBorders>
              <w:bottom w:val="single" w:sz="8" w:color="F3F3F4"/>
            </w:tcBorders>
            <w:vMerge w:val="continue"/>
            <w:shd w:val="clear" w:color="auto" w:fill="F3F3F4"/>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shd w:val="clear" w:color="auto" w:fill="F3F3F4"/>
          </w:tcPr>
          <w:p>
            <w:pPr>
              <w:spacing w:after="0"/>
              <w:rPr>
                <w:sz w:val="5"/>
                <w:szCs w:val="5"/>
                <w:color w:val="auto"/>
              </w:rPr>
            </w:pPr>
          </w:p>
        </w:tc>
        <w:tc>
          <w:tcPr>
            <w:tcW w:w="2220" w:type="dxa"/>
            <w:vAlign w:val="bottom"/>
            <w:tcBorders>
              <w:right w:val="single" w:sz="8" w:color="F3F3F4"/>
            </w:tcBorders>
            <w:gridSpan w:val="9"/>
            <w:shd w:val="clear" w:color="auto" w:fill="F3F3F4"/>
          </w:tcPr>
          <w:p>
            <w:pPr>
              <w:spacing w:after="0"/>
              <w:rPr>
                <w:sz w:val="5"/>
                <w:szCs w:val="5"/>
                <w:color w:val="auto"/>
              </w:rPr>
            </w:pPr>
          </w:p>
        </w:tc>
        <w:tc>
          <w:tcPr>
            <w:tcW w:w="180" w:type="dxa"/>
            <w:vAlign w:val="bottom"/>
            <w:gridSpan w:val="3"/>
            <w:vMerge w:val="continue"/>
            <w:shd w:val="clear" w:color="auto" w:fill="F3F3F4"/>
          </w:tcPr>
          <w:p>
            <w:pPr>
              <w:spacing w:after="0"/>
              <w:rPr>
                <w:sz w:val="5"/>
                <w:szCs w:val="5"/>
                <w:color w:val="auto"/>
              </w:rPr>
            </w:pPr>
          </w:p>
        </w:tc>
        <w:tc>
          <w:tcPr>
            <w:tcW w:w="700" w:type="dxa"/>
            <w:vAlign w:val="bottom"/>
            <w:gridSpan w:val="7"/>
            <w:vMerge w:val="continue"/>
            <w:shd w:val="clear" w:color="auto" w:fill="F3F3F4"/>
          </w:tcPr>
          <w:p>
            <w:pPr>
              <w:spacing w:after="0"/>
              <w:rPr>
                <w:sz w:val="5"/>
                <w:szCs w:val="5"/>
                <w:color w:val="auto"/>
              </w:rPr>
            </w:pPr>
          </w:p>
        </w:tc>
        <w:tc>
          <w:tcPr>
            <w:tcW w:w="100" w:type="dxa"/>
            <w:vAlign w:val="bottom"/>
            <w:vMerge w:val="continue"/>
            <w:shd w:val="clear" w:color="auto" w:fill="F3F3F4"/>
          </w:tcPr>
          <w:p>
            <w:pPr>
              <w:spacing w:after="0"/>
              <w:rPr>
                <w:sz w:val="5"/>
                <w:szCs w:val="5"/>
                <w:color w:val="auto"/>
              </w:rPr>
            </w:pPr>
          </w:p>
        </w:tc>
        <w:tc>
          <w:tcPr>
            <w:tcW w:w="960" w:type="dxa"/>
            <w:vAlign w:val="bottom"/>
            <w:gridSpan w:val="3"/>
            <w:vMerge w:val="continue"/>
            <w:shd w:val="clear" w:color="auto" w:fill="F3F3F4"/>
          </w:tcPr>
          <w:p>
            <w:pPr>
              <w:spacing w:after="0"/>
              <w:rPr>
                <w:sz w:val="5"/>
                <w:szCs w:val="5"/>
                <w:color w:val="auto"/>
              </w:rPr>
            </w:pPr>
          </w:p>
        </w:tc>
        <w:tc>
          <w:tcPr>
            <w:tcW w:w="260" w:type="dxa"/>
            <w:vAlign w:val="bottom"/>
            <w:vMerge w:val="continue"/>
            <w:shd w:val="clear" w:color="auto" w:fill="F3F3F4"/>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w w:val="89"/>
              </w:rPr>
              <w:t>15</w:t>
            </w:r>
          </w:p>
        </w:tc>
        <w:tc>
          <w:tcPr>
            <w:tcW w:w="280" w:type="dxa"/>
            <w:vAlign w:val="bottom"/>
          </w:tcPr>
          <w:p>
            <w:pPr>
              <w:spacing w:after="0"/>
              <w:rPr>
                <w:sz w:val="15"/>
                <w:szCs w:val="15"/>
                <w:color w:val="auto"/>
              </w:rPr>
            </w:pPr>
          </w:p>
        </w:tc>
        <w:tc>
          <w:tcPr>
            <w:tcW w:w="160" w:type="dxa"/>
            <w:vAlign w:val="bottom"/>
            <w:shd w:val="clear" w:color="auto" w:fill="F3F3F4"/>
          </w:tcPr>
          <w:p>
            <w:pPr>
              <w:spacing w:after="0"/>
              <w:rPr>
                <w:sz w:val="15"/>
                <w:szCs w:val="15"/>
                <w:color w:val="auto"/>
              </w:rPr>
            </w:pPr>
          </w:p>
        </w:tc>
        <w:tc>
          <w:tcPr>
            <w:tcW w:w="4160" w:type="dxa"/>
            <w:vAlign w:val="bottom"/>
            <w:gridSpan w:val="23"/>
            <w:shd w:val="clear" w:color="auto" w:fill="F3F3F4"/>
          </w:tcPr>
          <w:p>
            <w:pPr>
              <w:spacing w:after="0" w:line="176" w:lineRule="exact"/>
              <w:rPr>
                <w:sz w:val="20"/>
                <w:szCs w:val="20"/>
                <w:color w:val="auto"/>
              </w:rPr>
            </w:pPr>
            <w:r>
              <w:rPr>
                <w:rFonts w:ascii="Arial" w:cs="Arial" w:eastAsia="Arial" w:hAnsi="Arial"/>
                <w:sz w:val="16"/>
                <w:szCs w:val="16"/>
                <w:color w:val="auto"/>
              </w:rPr>
              <w:t>Peer Group for TSR Performance</w:t>
            </w:r>
          </w:p>
        </w:tc>
        <w:tc>
          <w:tcPr>
            <w:tcW w:w="260" w:type="dxa"/>
            <w:vAlign w:val="bottom"/>
            <w:shd w:val="clear" w:color="auto" w:fill="F3F3F4"/>
          </w:tcPr>
          <w:p>
            <w:pPr>
              <w:jc w:val="right"/>
              <w:spacing w:after="0" w:line="17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13"/>
        </w:trPr>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top w:val="single" w:sz="8" w:color="F3F3F4"/>
            </w:tcBorders>
            <w:shd w:val="clear" w:color="auto" w:fill="F3F3F4"/>
          </w:tcPr>
          <w:p>
            <w:pPr>
              <w:spacing w:after="0"/>
              <w:rPr>
                <w:sz w:val="9"/>
                <w:szCs w:val="9"/>
                <w:color w:val="auto"/>
              </w:rPr>
            </w:pPr>
          </w:p>
        </w:tc>
        <w:tc>
          <w:tcPr>
            <w:tcW w:w="2400" w:type="dxa"/>
            <w:vAlign w:val="bottom"/>
            <w:tcBorders>
              <w:top w:val="single" w:sz="8" w:color="0000EE"/>
            </w:tcBorders>
            <w:gridSpan w:val="12"/>
            <w:vMerge w:val="restart"/>
            <w:shd w:val="clear" w:color="auto" w:fill="F3F3F4"/>
          </w:tcPr>
          <w:p>
            <w:pPr>
              <w:spacing w:after="0"/>
              <w:rPr>
                <w:sz w:val="20"/>
                <w:szCs w:val="20"/>
                <w:color w:val="auto"/>
              </w:rPr>
            </w:pPr>
            <w:r>
              <w:rPr>
                <w:rFonts w:ascii="Arial" w:cs="Arial" w:eastAsia="Arial" w:hAnsi="Arial"/>
                <w:sz w:val="16"/>
                <w:szCs w:val="16"/>
                <w:color w:val="auto"/>
              </w:rPr>
              <w:t>Pledging and Hedging Policies</w:t>
            </w:r>
          </w:p>
        </w:tc>
        <w:tc>
          <w:tcPr>
            <w:tcW w:w="1760" w:type="dxa"/>
            <w:vAlign w:val="bottom"/>
            <w:tcBorders>
              <w:top w:val="single" w:sz="8" w:color="F3F3F4"/>
            </w:tcBorders>
            <w:gridSpan w:val="11"/>
            <w:vMerge w:val="restart"/>
            <w:shd w:val="clear" w:color="auto" w:fill="F3F3F4"/>
          </w:tcPr>
          <w:p>
            <w:pPr>
              <w:spacing w:after="0"/>
              <w:rPr>
                <w:sz w:val="9"/>
                <w:szCs w:val="9"/>
                <w:color w:val="auto"/>
              </w:rPr>
            </w:pPr>
          </w:p>
        </w:tc>
        <w:tc>
          <w:tcPr>
            <w:tcW w:w="260" w:type="dxa"/>
            <w:vAlign w:val="bottom"/>
            <w:tcBorders>
              <w:top w:val="single" w:sz="8" w:color="F3F3F4"/>
            </w:tcBorders>
            <w:vMerge w:val="restart"/>
            <w:shd w:val="clear" w:color="auto" w:fill="F3F3F4"/>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23"/>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0"/>
                <w:szCs w:val="10"/>
                <w:color w:val="auto"/>
              </w:rPr>
            </w:pPr>
          </w:p>
        </w:tc>
        <w:tc>
          <w:tcPr>
            <w:tcW w:w="160" w:type="dxa"/>
            <w:vAlign w:val="bottom"/>
            <w:shd w:val="clear" w:color="auto" w:fill="F3F3F4"/>
          </w:tcPr>
          <w:p>
            <w:pPr>
              <w:spacing w:after="0"/>
              <w:rPr>
                <w:sz w:val="10"/>
                <w:szCs w:val="10"/>
                <w:color w:val="auto"/>
              </w:rPr>
            </w:pPr>
          </w:p>
        </w:tc>
        <w:tc>
          <w:tcPr>
            <w:tcW w:w="2400" w:type="dxa"/>
            <w:vAlign w:val="bottom"/>
            <w:gridSpan w:val="12"/>
            <w:vMerge w:val="continue"/>
            <w:shd w:val="clear" w:color="auto" w:fill="F3F3F4"/>
          </w:tcPr>
          <w:p>
            <w:pPr>
              <w:spacing w:after="0"/>
              <w:rPr>
                <w:sz w:val="10"/>
                <w:szCs w:val="10"/>
                <w:color w:val="auto"/>
              </w:rPr>
            </w:pPr>
          </w:p>
        </w:tc>
        <w:tc>
          <w:tcPr>
            <w:tcW w:w="1760" w:type="dxa"/>
            <w:vAlign w:val="bottom"/>
            <w:gridSpan w:val="11"/>
            <w:vMerge w:val="continue"/>
            <w:shd w:val="clear" w:color="auto" w:fill="F3F3F4"/>
          </w:tcPr>
          <w:p>
            <w:pPr>
              <w:spacing w:after="0"/>
              <w:rPr>
                <w:sz w:val="10"/>
                <w:szCs w:val="10"/>
                <w:color w:val="auto"/>
              </w:rPr>
            </w:pPr>
          </w:p>
        </w:tc>
        <w:tc>
          <w:tcPr>
            <w:tcW w:w="260" w:type="dxa"/>
            <w:vAlign w:val="bottom"/>
            <w:vMerge w:val="continue"/>
            <w:shd w:val="clear" w:color="auto" w:fill="F3F3F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F3F3F4"/>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F3F3F4"/>
          </w:tcPr>
          <w:p>
            <w:pPr>
              <w:spacing w:after="0" w:line="20" w:lineRule="exact"/>
              <w:rPr>
                <w:sz w:val="1"/>
                <w:szCs w:val="1"/>
                <w:color w:val="auto"/>
              </w:rPr>
            </w:pPr>
          </w:p>
        </w:tc>
        <w:tc>
          <w:tcPr>
            <w:tcW w:w="20" w:type="dxa"/>
            <w:vAlign w:val="bottom"/>
            <w:shd w:val="clear" w:color="auto" w:fill="F3F3F4"/>
          </w:tcPr>
          <w:p>
            <w:pPr>
              <w:spacing w:after="0" w:line="20" w:lineRule="exact"/>
              <w:rPr>
                <w:sz w:val="1"/>
                <w:szCs w:val="1"/>
                <w:color w:val="auto"/>
              </w:rPr>
            </w:pPr>
          </w:p>
        </w:tc>
        <w:tc>
          <w:tcPr>
            <w:tcW w:w="20" w:type="dxa"/>
            <w:vAlign w:val="bottom"/>
            <w:shd w:val="clear" w:color="auto" w:fill="F3F3F4"/>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320" w:type="dxa"/>
            <w:vAlign w:val="bottom"/>
            <w:shd w:val="clear" w:color="auto" w:fill="F3F3F4"/>
          </w:tcPr>
          <w:p>
            <w:pPr>
              <w:spacing w:after="0" w:line="20" w:lineRule="exact"/>
              <w:rPr>
                <w:sz w:val="1"/>
                <w:szCs w:val="1"/>
                <w:color w:val="auto"/>
              </w:rPr>
            </w:pPr>
          </w:p>
        </w:tc>
        <w:tc>
          <w:tcPr>
            <w:tcW w:w="40" w:type="dxa"/>
            <w:vAlign w:val="bottom"/>
            <w:shd w:val="clear" w:color="auto" w:fill="F3F3F4"/>
          </w:tcPr>
          <w:p>
            <w:pPr>
              <w:spacing w:after="0" w:line="20" w:lineRule="exact"/>
              <w:rPr>
                <w:sz w:val="1"/>
                <w:szCs w:val="1"/>
                <w:color w:val="auto"/>
              </w:rPr>
            </w:pPr>
          </w:p>
        </w:tc>
        <w:tc>
          <w:tcPr>
            <w:tcW w:w="20" w:type="dxa"/>
            <w:vAlign w:val="bottom"/>
            <w:shd w:val="clear" w:color="auto" w:fill="F3F3F4"/>
          </w:tcPr>
          <w:p>
            <w:pPr>
              <w:spacing w:after="0" w:line="20" w:lineRule="exact"/>
              <w:rPr>
                <w:sz w:val="1"/>
                <w:szCs w:val="1"/>
                <w:color w:val="auto"/>
              </w:rPr>
            </w:pPr>
          </w:p>
        </w:tc>
        <w:tc>
          <w:tcPr>
            <w:tcW w:w="20" w:type="dxa"/>
            <w:vAlign w:val="bottom"/>
            <w:shd w:val="clear" w:color="auto" w:fill="F3F3F4"/>
          </w:tcPr>
          <w:p>
            <w:pPr>
              <w:spacing w:after="0" w:line="20" w:lineRule="exact"/>
              <w:rPr>
                <w:sz w:val="1"/>
                <w:szCs w:val="1"/>
                <w:color w:val="auto"/>
              </w:rPr>
            </w:pPr>
          </w:p>
        </w:tc>
        <w:tc>
          <w:tcPr>
            <w:tcW w:w="40" w:type="dxa"/>
            <w:vAlign w:val="bottom"/>
            <w:shd w:val="clear" w:color="auto" w:fill="F3F3F4"/>
          </w:tcPr>
          <w:p>
            <w:pPr>
              <w:spacing w:after="0" w:line="20" w:lineRule="exact"/>
              <w:rPr>
                <w:sz w:val="1"/>
                <w:szCs w:val="1"/>
                <w:color w:val="auto"/>
              </w:rPr>
            </w:pPr>
          </w:p>
        </w:tc>
        <w:tc>
          <w:tcPr>
            <w:tcW w:w="160" w:type="dxa"/>
            <w:vAlign w:val="bottom"/>
            <w:shd w:val="clear" w:color="auto" w:fill="F3F3F4"/>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20" w:type="dxa"/>
            <w:vAlign w:val="bottom"/>
            <w:shd w:val="clear" w:color="auto" w:fill="F3F3F4"/>
          </w:tcPr>
          <w:p>
            <w:pPr>
              <w:spacing w:after="0" w:line="20" w:lineRule="exact"/>
              <w:rPr>
                <w:sz w:val="1"/>
                <w:szCs w:val="1"/>
                <w:color w:val="auto"/>
              </w:rPr>
            </w:pPr>
          </w:p>
        </w:tc>
        <w:tc>
          <w:tcPr>
            <w:tcW w:w="560" w:type="dxa"/>
            <w:vAlign w:val="bottom"/>
            <w:shd w:val="clear" w:color="auto" w:fill="F3F3F4"/>
          </w:tcPr>
          <w:p>
            <w:pPr>
              <w:spacing w:after="0" w:line="20" w:lineRule="exact"/>
              <w:rPr>
                <w:sz w:val="1"/>
                <w:szCs w:val="1"/>
                <w:color w:val="auto"/>
              </w:rPr>
            </w:pPr>
          </w:p>
        </w:tc>
        <w:tc>
          <w:tcPr>
            <w:tcW w:w="380" w:type="dxa"/>
            <w:vAlign w:val="bottom"/>
            <w:shd w:val="clear" w:color="auto" w:fill="F3F3F4"/>
          </w:tcPr>
          <w:p>
            <w:pPr>
              <w:spacing w:after="0" w:line="20" w:lineRule="exact"/>
              <w:rPr>
                <w:sz w:val="1"/>
                <w:szCs w:val="1"/>
                <w:color w:val="auto"/>
              </w:rPr>
            </w:pPr>
          </w:p>
        </w:tc>
        <w:tc>
          <w:tcPr>
            <w:tcW w:w="260" w:type="dxa"/>
            <w:vAlign w:val="bottom"/>
            <w:shd w:val="clear" w:color="auto" w:fill="F3F3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shd w:val="clear" w:color="auto" w:fill="F3F3F4"/>
          </w:tcPr>
          <w:p>
            <w:pPr>
              <w:spacing w:after="0"/>
              <w:rPr>
                <w:sz w:val="8"/>
                <w:szCs w:val="8"/>
                <w:color w:val="auto"/>
              </w:rPr>
            </w:pPr>
          </w:p>
        </w:tc>
        <w:tc>
          <w:tcPr>
            <w:tcW w:w="3200" w:type="dxa"/>
            <w:vAlign w:val="bottom"/>
            <w:gridSpan w:val="20"/>
            <w:vMerge w:val="restart"/>
            <w:shd w:val="clear" w:color="auto" w:fill="F3F3F4"/>
          </w:tcPr>
          <w:p>
            <w:pPr>
              <w:spacing w:after="0"/>
              <w:rPr>
                <w:sz w:val="20"/>
                <w:szCs w:val="20"/>
                <w:color w:val="auto"/>
              </w:rPr>
            </w:pPr>
            <w:r>
              <w:rPr>
                <w:rFonts w:ascii="Arial" w:cs="Arial" w:eastAsia="Arial" w:hAnsi="Arial"/>
                <w:sz w:val="16"/>
                <w:szCs w:val="16"/>
                <w:color w:val="auto"/>
              </w:rPr>
              <w:t>Stock Ownership Requirements for Directors</w:t>
            </w:r>
          </w:p>
        </w:tc>
        <w:tc>
          <w:tcPr>
            <w:tcW w:w="960" w:type="dxa"/>
            <w:vAlign w:val="bottom"/>
            <w:gridSpan w:val="3"/>
            <w:vMerge w:val="restart"/>
            <w:shd w:val="clear" w:color="auto" w:fill="F3F3F4"/>
          </w:tcPr>
          <w:p>
            <w:pPr>
              <w:spacing w:after="0"/>
              <w:rPr>
                <w:sz w:val="8"/>
                <w:szCs w:val="8"/>
                <w:color w:val="auto"/>
              </w:rPr>
            </w:pPr>
          </w:p>
        </w:tc>
        <w:tc>
          <w:tcPr>
            <w:tcW w:w="260" w:type="dxa"/>
            <w:vAlign w:val="bottom"/>
            <w:vMerge w:val="restart"/>
            <w:shd w:val="clear" w:color="auto" w:fill="F3F3F4"/>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37"/>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1"/>
                <w:szCs w:val="11"/>
                <w:color w:val="auto"/>
              </w:rPr>
            </w:pPr>
          </w:p>
        </w:tc>
        <w:tc>
          <w:tcPr>
            <w:tcW w:w="160" w:type="dxa"/>
            <w:vAlign w:val="bottom"/>
            <w:tcBorders>
              <w:bottom w:val="single" w:sz="8" w:color="F3F3F4"/>
            </w:tcBorders>
            <w:shd w:val="clear" w:color="auto" w:fill="F3F3F4"/>
          </w:tcPr>
          <w:p>
            <w:pPr>
              <w:spacing w:after="0"/>
              <w:rPr>
                <w:sz w:val="11"/>
                <w:szCs w:val="11"/>
                <w:color w:val="auto"/>
              </w:rPr>
            </w:pPr>
          </w:p>
        </w:tc>
        <w:tc>
          <w:tcPr>
            <w:tcW w:w="3200" w:type="dxa"/>
            <w:vAlign w:val="bottom"/>
            <w:tcBorders>
              <w:bottom w:val="single" w:sz="8" w:color="0000EE"/>
            </w:tcBorders>
            <w:gridSpan w:val="20"/>
            <w:vMerge w:val="continue"/>
            <w:shd w:val="clear" w:color="auto" w:fill="F3F3F4"/>
          </w:tcPr>
          <w:p>
            <w:pPr>
              <w:spacing w:after="0"/>
              <w:rPr>
                <w:sz w:val="11"/>
                <w:szCs w:val="11"/>
                <w:color w:val="auto"/>
              </w:rPr>
            </w:pPr>
          </w:p>
        </w:tc>
        <w:tc>
          <w:tcPr>
            <w:tcW w:w="960" w:type="dxa"/>
            <w:vAlign w:val="bottom"/>
            <w:tcBorders>
              <w:bottom w:val="single" w:sz="8" w:color="F3F3F4"/>
            </w:tcBorders>
            <w:gridSpan w:val="3"/>
            <w:vMerge w:val="continue"/>
            <w:shd w:val="clear" w:color="auto" w:fill="F3F3F4"/>
          </w:tcPr>
          <w:p>
            <w:pPr>
              <w:spacing w:after="0"/>
              <w:rPr>
                <w:sz w:val="11"/>
                <w:szCs w:val="11"/>
                <w:color w:val="auto"/>
              </w:rPr>
            </w:pPr>
          </w:p>
        </w:tc>
        <w:tc>
          <w:tcPr>
            <w:tcW w:w="260" w:type="dxa"/>
            <w:vAlign w:val="bottom"/>
            <w:tcBorders>
              <w:bottom w:val="single" w:sz="8" w:color="F3F3F4"/>
            </w:tcBorders>
            <w:vMerge w:val="continue"/>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shd w:val="clear" w:color="auto" w:fill="F3F3F4"/>
          </w:tcPr>
          <w:p>
            <w:pPr>
              <w:spacing w:after="0"/>
              <w:rPr>
                <w:sz w:val="8"/>
                <w:szCs w:val="8"/>
                <w:color w:val="auto"/>
              </w:rPr>
            </w:pPr>
          </w:p>
        </w:tc>
        <w:tc>
          <w:tcPr>
            <w:tcW w:w="4160" w:type="dxa"/>
            <w:vAlign w:val="bottom"/>
            <w:gridSpan w:val="23"/>
            <w:vMerge w:val="restart"/>
            <w:shd w:val="clear" w:color="auto" w:fill="F3F3F4"/>
          </w:tcPr>
          <w:p>
            <w:pPr>
              <w:spacing w:after="0"/>
              <w:rPr>
                <w:sz w:val="20"/>
                <w:szCs w:val="20"/>
                <w:color w:val="auto"/>
              </w:rPr>
            </w:pPr>
            <w:r>
              <w:rPr>
                <w:rFonts w:ascii="Arial" w:cs="Arial" w:eastAsia="Arial" w:hAnsi="Arial"/>
                <w:sz w:val="16"/>
                <w:szCs w:val="16"/>
                <w:color w:val="auto"/>
              </w:rPr>
              <w:t>Stock Ownership Requirements for Officers</w:t>
            </w:r>
          </w:p>
        </w:tc>
        <w:tc>
          <w:tcPr>
            <w:tcW w:w="260" w:type="dxa"/>
            <w:vAlign w:val="bottom"/>
            <w:vMerge w:val="restart"/>
            <w:shd w:val="clear" w:color="auto" w:fill="F3F3F4"/>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37"/>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1"/>
                <w:szCs w:val="11"/>
                <w:color w:val="auto"/>
              </w:rPr>
            </w:pPr>
          </w:p>
        </w:tc>
        <w:tc>
          <w:tcPr>
            <w:tcW w:w="160" w:type="dxa"/>
            <w:vAlign w:val="bottom"/>
            <w:shd w:val="clear" w:color="auto" w:fill="F3F3F4"/>
          </w:tcPr>
          <w:p>
            <w:pPr>
              <w:spacing w:after="0"/>
              <w:rPr>
                <w:sz w:val="11"/>
                <w:szCs w:val="11"/>
                <w:color w:val="auto"/>
              </w:rPr>
            </w:pPr>
          </w:p>
        </w:tc>
        <w:tc>
          <w:tcPr>
            <w:tcW w:w="4160" w:type="dxa"/>
            <w:vAlign w:val="bottom"/>
            <w:gridSpan w:val="23"/>
            <w:vMerge w:val="continue"/>
            <w:shd w:val="clear" w:color="auto" w:fill="F3F3F4"/>
          </w:tcPr>
          <w:p>
            <w:pPr>
              <w:spacing w:after="0"/>
              <w:rPr>
                <w:sz w:val="11"/>
                <w:szCs w:val="11"/>
                <w:color w:val="auto"/>
              </w:rPr>
            </w:pPr>
          </w:p>
        </w:tc>
        <w:tc>
          <w:tcPr>
            <w:tcW w:w="260" w:type="dxa"/>
            <w:vAlign w:val="bottom"/>
            <w:vMerge w:val="continue"/>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top w:val="single" w:sz="8" w:color="F3F3F4"/>
            </w:tcBorders>
            <w:shd w:val="clear" w:color="auto" w:fill="F3F3F4"/>
          </w:tcPr>
          <w:p>
            <w:pPr>
              <w:spacing w:after="0"/>
              <w:rPr>
                <w:sz w:val="8"/>
                <w:szCs w:val="8"/>
                <w:color w:val="auto"/>
              </w:rPr>
            </w:pPr>
          </w:p>
        </w:tc>
        <w:tc>
          <w:tcPr>
            <w:tcW w:w="3100" w:type="dxa"/>
            <w:vAlign w:val="bottom"/>
            <w:tcBorders>
              <w:top w:val="single" w:sz="8" w:color="0000EE"/>
            </w:tcBorders>
            <w:gridSpan w:val="19"/>
            <w:vMerge w:val="restart"/>
            <w:shd w:val="clear" w:color="auto" w:fill="F3F3F4"/>
          </w:tcPr>
          <w:p>
            <w:pPr>
              <w:spacing w:after="0"/>
              <w:rPr>
                <w:sz w:val="20"/>
                <w:szCs w:val="20"/>
                <w:color w:val="auto"/>
              </w:rPr>
            </w:pPr>
            <w:r>
              <w:rPr>
                <w:rFonts w:ascii="Arial" w:cs="Arial" w:eastAsia="Arial" w:hAnsi="Arial"/>
                <w:sz w:val="16"/>
                <w:szCs w:val="16"/>
                <w:color w:val="auto"/>
              </w:rPr>
              <w:t>Summary Compensation Table</w:t>
            </w:r>
          </w:p>
        </w:tc>
        <w:tc>
          <w:tcPr>
            <w:tcW w:w="1060" w:type="dxa"/>
            <w:vAlign w:val="bottom"/>
            <w:tcBorders>
              <w:top w:val="single" w:sz="8" w:color="F3F3F4"/>
            </w:tcBorders>
            <w:gridSpan w:val="4"/>
            <w:vMerge w:val="restart"/>
            <w:shd w:val="clear" w:color="auto" w:fill="F3F3F4"/>
          </w:tcPr>
          <w:p>
            <w:pPr>
              <w:spacing w:after="0"/>
              <w:rPr>
                <w:sz w:val="8"/>
                <w:szCs w:val="8"/>
                <w:color w:val="auto"/>
              </w:rPr>
            </w:pPr>
          </w:p>
        </w:tc>
        <w:tc>
          <w:tcPr>
            <w:tcW w:w="260" w:type="dxa"/>
            <w:vAlign w:val="bottom"/>
            <w:tcBorders>
              <w:top w:val="single" w:sz="8" w:color="F3F3F4"/>
            </w:tcBorders>
            <w:vMerge w:val="restart"/>
            <w:shd w:val="clear" w:color="auto" w:fill="F3F3F4"/>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37"/>
        </w:trPr>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shd w:val="clear" w:color="auto" w:fill="F3F3F4"/>
          </w:tcPr>
          <w:p>
            <w:pPr>
              <w:spacing w:after="0"/>
              <w:rPr>
                <w:sz w:val="11"/>
                <w:szCs w:val="11"/>
                <w:color w:val="auto"/>
              </w:rPr>
            </w:pPr>
          </w:p>
        </w:tc>
        <w:tc>
          <w:tcPr>
            <w:tcW w:w="3100" w:type="dxa"/>
            <w:vAlign w:val="bottom"/>
            <w:gridSpan w:val="19"/>
            <w:vMerge w:val="continue"/>
            <w:shd w:val="clear" w:color="auto" w:fill="F3F3F4"/>
          </w:tcPr>
          <w:p>
            <w:pPr>
              <w:spacing w:after="0"/>
              <w:rPr>
                <w:sz w:val="11"/>
                <w:szCs w:val="11"/>
                <w:color w:val="auto"/>
              </w:rPr>
            </w:pPr>
          </w:p>
        </w:tc>
        <w:tc>
          <w:tcPr>
            <w:tcW w:w="1060" w:type="dxa"/>
            <w:vAlign w:val="bottom"/>
            <w:gridSpan w:val="4"/>
            <w:vMerge w:val="continue"/>
            <w:shd w:val="clear" w:color="auto" w:fill="F3F3F4"/>
          </w:tcPr>
          <w:p>
            <w:pPr>
              <w:spacing w:after="0"/>
              <w:rPr>
                <w:sz w:val="11"/>
                <w:szCs w:val="11"/>
                <w:color w:val="auto"/>
              </w:rPr>
            </w:pPr>
          </w:p>
        </w:tc>
        <w:tc>
          <w:tcPr>
            <w:tcW w:w="260" w:type="dxa"/>
            <w:vAlign w:val="bottom"/>
            <w:vMerge w:val="continue"/>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w w:val="89"/>
              </w:rPr>
              <w:t>45</w:t>
            </w:r>
          </w:p>
        </w:tc>
        <w:tc>
          <w:tcPr>
            <w:tcW w:w="280" w:type="dxa"/>
            <w:vAlign w:val="bottom"/>
          </w:tcPr>
          <w:p>
            <w:pPr>
              <w:spacing w:after="0"/>
              <w:rPr>
                <w:sz w:val="5"/>
                <w:szCs w:val="5"/>
                <w:color w:val="auto"/>
              </w:rPr>
            </w:pPr>
          </w:p>
        </w:tc>
        <w:tc>
          <w:tcPr>
            <w:tcW w:w="160" w:type="dxa"/>
            <w:vAlign w:val="bottom"/>
            <w:tcBorders>
              <w:top w:val="single" w:sz="8" w:color="F3F3F4"/>
            </w:tcBorders>
            <w:shd w:val="clear" w:color="auto" w:fill="F3F3F4"/>
          </w:tcPr>
          <w:p>
            <w:pPr>
              <w:spacing w:after="0"/>
              <w:rPr>
                <w:sz w:val="5"/>
                <w:szCs w:val="5"/>
                <w:color w:val="auto"/>
              </w:rPr>
            </w:pPr>
          </w:p>
        </w:tc>
        <w:tc>
          <w:tcPr>
            <w:tcW w:w="100" w:type="dxa"/>
            <w:vAlign w:val="bottom"/>
            <w:tcBorders>
              <w:top w:val="single" w:sz="8" w:color="0000EE"/>
            </w:tcBorders>
            <w:shd w:val="clear" w:color="auto" w:fill="F3F3F4"/>
          </w:tcPr>
          <w:p>
            <w:pPr>
              <w:spacing w:after="0"/>
              <w:rPr>
                <w:sz w:val="5"/>
                <w:szCs w:val="5"/>
                <w:color w:val="auto"/>
              </w:rPr>
            </w:pPr>
          </w:p>
        </w:tc>
        <w:tc>
          <w:tcPr>
            <w:tcW w:w="460" w:type="dxa"/>
            <w:vAlign w:val="bottom"/>
            <w:tcBorders>
              <w:top w:val="single" w:sz="8" w:color="0000EE"/>
            </w:tcBorders>
            <w:shd w:val="clear" w:color="auto" w:fill="F3F3F4"/>
          </w:tcPr>
          <w:p>
            <w:pPr>
              <w:spacing w:after="0"/>
              <w:rPr>
                <w:sz w:val="5"/>
                <w:szCs w:val="5"/>
                <w:color w:val="auto"/>
              </w:rPr>
            </w:pPr>
          </w:p>
        </w:tc>
        <w:tc>
          <w:tcPr>
            <w:tcW w:w="600" w:type="dxa"/>
            <w:vAlign w:val="bottom"/>
            <w:tcBorders>
              <w:top w:val="single" w:sz="8" w:color="0000EE"/>
            </w:tcBorders>
            <w:shd w:val="clear" w:color="auto" w:fill="F3F3F4"/>
          </w:tcPr>
          <w:p>
            <w:pPr>
              <w:spacing w:after="0"/>
              <w:rPr>
                <w:sz w:val="5"/>
                <w:szCs w:val="5"/>
                <w:color w:val="auto"/>
              </w:rPr>
            </w:pPr>
          </w:p>
        </w:tc>
        <w:tc>
          <w:tcPr>
            <w:tcW w:w="180" w:type="dxa"/>
            <w:vAlign w:val="bottom"/>
            <w:tcBorders>
              <w:top w:val="single" w:sz="8" w:color="0000EE"/>
            </w:tcBorders>
            <w:shd w:val="clear" w:color="auto" w:fill="F3F3F4"/>
          </w:tcPr>
          <w:p>
            <w:pPr>
              <w:spacing w:after="0"/>
              <w:rPr>
                <w:sz w:val="5"/>
                <w:szCs w:val="5"/>
                <w:color w:val="auto"/>
              </w:rPr>
            </w:pPr>
          </w:p>
        </w:tc>
        <w:tc>
          <w:tcPr>
            <w:tcW w:w="180" w:type="dxa"/>
            <w:vAlign w:val="bottom"/>
            <w:tcBorders>
              <w:top w:val="single" w:sz="8" w:color="0000EE"/>
            </w:tcBorders>
            <w:shd w:val="clear" w:color="auto" w:fill="F3F3F4"/>
          </w:tcPr>
          <w:p>
            <w:pPr>
              <w:spacing w:after="0"/>
              <w:rPr>
                <w:sz w:val="5"/>
                <w:szCs w:val="5"/>
                <w:color w:val="auto"/>
              </w:rPr>
            </w:pPr>
          </w:p>
        </w:tc>
        <w:tc>
          <w:tcPr>
            <w:tcW w:w="160" w:type="dxa"/>
            <w:vAlign w:val="bottom"/>
            <w:tcBorders>
              <w:top w:val="single" w:sz="8" w:color="0000EE"/>
            </w:tcBorders>
            <w:shd w:val="clear" w:color="auto" w:fill="F3F3F4"/>
          </w:tcPr>
          <w:p>
            <w:pPr>
              <w:spacing w:after="0"/>
              <w:rPr>
                <w:sz w:val="5"/>
                <w:szCs w:val="5"/>
                <w:color w:val="auto"/>
              </w:rPr>
            </w:pPr>
          </w:p>
        </w:tc>
        <w:tc>
          <w:tcPr>
            <w:tcW w:w="180" w:type="dxa"/>
            <w:vAlign w:val="bottom"/>
            <w:tcBorders>
              <w:top w:val="single" w:sz="8" w:color="0000EE"/>
            </w:tcBorders>
            <w:shd w:val="clear" w:color="auto" w:fill="F3F3F4"/>
          </w:tcPr>
          <w:p>
            <w:pPr>
              <w:spacing w:after="0"/>
              <w:rPr>
                <w:sz w:val="5"/>
                <w:szCs w:val="5"/>
                <w:color w:val="auto"/>
              </w:rPr>
            </w:pPr>
          </w:p>
        </w:tc>
        <w:tc>
          <w:tcPr>
            <w:tcW w:w="240" w:type="dxa"/>
            <w:vAlign w:val="bottom"/>
            <w:tcBorders>
              <w:top w:val="single" w:sz="8" w:color="0000EE"/>
            </w:tcBorders>
            <w:shd w:val="clear" w:color="auto" w:fill="F3F3F4"/>
          </w:tcPr>
          <w:p>
            <w:pPr>
              <w:spacing w:after="0"/>
              <w:rPr>
                <w:sz w:val="5"/>
                <w:szCs w:val="5"/>
                <w:color w:val="auto"/>
              </w:rPr>
            </w:pPr>
          </w:p>
        </w:tc>
        <w:tc>
          <w:tcPr>
            <w:tcW w:w="120" w:type="dxa"/>
            <w:vAlign w:val="bottom"/>
            <w:tcBorders>
              <w:top w:val="single" w:sz="8" w:color="0000EE"/>
              <w:right w:val="single" w:sz="8" w:color="F3F3F4"/>
            </w:tcBorders>
            <w:shd w:val="clear" w:color="auto" w:fill="F3F3F4"/>
          </w:tcPr>
          <w:p>
            <w:pPr>
              <w:spacing w:after="0"/>
              <w:rPr>
                <w:sz w:val="5"/>
                <w:szCs w:val="5"/>
                <w:color w:val="auto"/>
              </w:rPr>
            </w:pPr>
          </w:p>
        </w:tc>
        <w:tc>
          <w:tcPr>
            <w:tcW w:w="140" w:type="dxa"/>
            <w:vAlign w:val="bottom"/>
            <w:tcBorders>
              <w:top w:val="single" w:sz="8" w:color="F3F3F4"/>
            </w:tcBorders>
            <w:shd w:val="clear" w:color="auto" w:fill="F3F3F4"/>
          </w:tcPr>
          <w:p>
            <w:pPr>
              <w:spacing w:after="0"/>
              <w:rPr>
                <w:sz w:val="5"/>
                <w:szCs w:val="5"/>
                <w:color w:val="auto"/>
              </w:rPr>
            </w:pPr>
          </w:p>
        </w:tc>
        <w:tc>
          <w:tcPr>
            <w:tcW w:w="20" w:type="dxa"/>
            <w:vAlign w:val="bottom"/>
            <w:tcBorders>
              <w:top w:val="single" w:sz="8" w:color="F3F3F4"/>
            </w:tcBorders>
            <w:shd w:val="clear" w:color="auto" w:fill="F3F3F4"/>
          </w:tcPr>
          <w:p>
            <w:pPr>
              <w:spacing w:after="0"/>
              <w:rPr>
                <w:sz w:val="5"/>
                <w:szCs w:val="5"/>
                <w:color w:val="auto"/>
              </w:rPr>
            </w:pPr>
          </w:p>
        </w:tc>
        <w:tc>
          <w:tcPr>
            <w:tcW w:w="20" w:type="dxa"/>
            <w:vAlign w:val="bottom"/>
            <w:tcBorders>
              <w:top w:val="single" w:sz="8" w:color="F3F3F4"/>
            </w:tcBorders>
            <w:shd w:val="clear" w:color="auto" w:fill="F3F3F4"/>
          </w:tcPr>
          <w:p>
            <w:pPr>
              <w:spacing w:after="0"/>
              <w:rPr>
                <w:sz w:val="5"/>
                <w:szCs w:val="5"/>
                <w:color w:val="auto"/>
              </w:rPr>
            </w:pPr>
          </w:p>
        </w:tc>
        <w:tc>
          <w:tcPr>
            <w:tcW w:w="100" w:type="dxa"/>
            <w:vAlign w:val="bottom"/>
            <w:tcBorders>
              <w:top w:val="single" w:sz="8" w:color="F3F3F4"/>
            </w:tcBorders>
            <w:shd w:val="clear" w:color="auto" w:fill="F3F3F4"/>
          </w:tcPr>
          <w:p>
            <w:pPr>
              <w:spacing w:after="0"/>
              <w:rPr>
                <w:sz w:val="5"/>
                <w:szCs w:val="5"/>
                <w:color w:val="auto"/>
              </w:rPr>
            </w:pPr>
          </w:p>
        </w:tc>
        <w:tc>
          <w:tcPr>
            <w:tcW w:w="320" w:type="dxa"/>
            <w:vAlign w:val="bottom"/>
            <w:tcBorders>
              <w:top w:val="single" w:sz="8" w:color="F3F3F4"/>
            </w:tcBorders>
            <w:shd w:val="clear" w:color="auto" w:fill="F3F3F4"/>
          </w:tcPr>
          <w:p>
            <w:pPr>
              <w:spacing w:after="0"/>
              <w:rPr>
                <w:sz w:val="5"/>
                <w:szCs w:val="5"/>
                <w:color w:val="auto"/>
              </w:rPr>
            </w:pPr>
          </w:p>
        </w:tc>
        <w:tc>
          <w:tcPr>
            <w:tcW w:w="40" w:type="dxa"/>
            <w:vAlign w:val="bottom"/>
            <w:tcBorders>
              <w:top w:val="single" w:sz="8" w:color="F3F3F4"/>
            </w:tcBorders>
            <w:shd w:val="clear" w:color="auto" w:fill="F3F3F4"/>
          </w:tcPr>
          <w:p>
            <w:pPr>
              <w:spacing w:after="0"/>
              <w:rPr>
                <w:sz w:val="5"/>
                <w:szCs w:val="5"/>
                <w:color w:val="auto"/>
              </w:rPr>
            </w:pPr>
          </w:p>
        </w:tc>
        <w:tc>
          <w:tcPr>
            <w:tcW w:w="20" w:type="dxa"/>
            <w:vAlign w:val="bottom"/>
            <w:tcBorders>
              <w:top w:val="single" w:sz="8" w:color="F3F3F4"/>
            </w:tcBorders>
            <w:shd w:val="clear" w:color="auto" w:fill="F3F3F4"/>
          </w:tcPr>
          <w:p>
            <w:pPr>
              <w:spacing w:after="0"/>
              <w:rPr>
                <w:sz w:val="5"/>
                <w:szCs w:val="5"/>
                <w:color w:val="auto"/>
              </w:rPr>
            </w:pPr>
          </w:p>
        </w:tc>
        <w:tc>
          <w:tcPr>
            <w:tcW w:w="20" w:type="dxa"/>
            <w:vAlign w:val="bottom"/>
            <w:tcBorders>
              <w:top w:val="single" w:sz="8" w:color="F3F3F4"/>
            </w:tcBorders>
            <w:shd w:val="clear" w:color="auto" w:fill="F3F3F4"/>
          </w:tcPr>
          <w:p>
            <w:pPr>
              <w:spacing w:after="0"/>
              <w:rPr>
                <w:sz w:val="5"/>
                <w:szCs w:val="5"/>
                <w:color w:val="auto"/>
              </w:rPr>
            </w:pPr>
          </w:p>
        </w:tc>
        <w:tc>
          <w:tcPr>
            <w:tcW w:w="40" w:type="dxa"/>
            <w:vAlign w:val="bottom"/>
            <w:tcBorders>
              <w:top w:val="single" w:sz="8" w:color="F3F3F4"/>
            </w:tcBorders>
            <w:shd w:val="clear" w:color="auto" w:fill="F3F3F4"/>
          </w:tcPr>
          <w:p>
            <w:pPr>
              <w:spacing w:after="0"/>
              <w:rPr>
                <w:sz w:val="5"/>
                <w:szCs w:val="5"/>
                <w:color w:val="auto"/>
              </w:rPr>
            </w:pPr>
          </w:p>
        </w:tc>
        <w:tc>
          <w:tcPr>
            <w:tcW w:w="160" w:type="dxa"/>
            <w:vAlign w:val="bottom"/>
            <w:tcBorders>
              <w:top w:val="single" w:sz="8" w:color="F3F3F4"/>
            </w:tcBorders>
            <w:shd w:val="clear" w:color="auto" w:fill="F3F3F4"/>
          </w:tcPr>
          <w:p>
            <w:pPr>
              <w:spacing w:after="0"/>
              <w:rPr>
                <w:sz w:val="5"/>
                <w:szCs w:val="5"/>
                <w:color w:val="auto"/>
              </w:rPr>
            </w:pPr>
          </w:p>
        </w:tc>
        <w:tc>
          <w:tcPr>
            <w:tcW w:w="100" w:type="dxa"/>
            <w:vAlign w:val="bottom"/>
            <w:tcBorders>
              <w:top w:val="single" w:sz="8" w:color="F3F3F4"/>
            </w:tcBorders>
            <w:shd w:val="clear" w:color="auto" w:fill="F3F3F4"/>
          </w:tcPr>
          <w:p>
            <w:pPr>
              <w:spacing w:after="0"/>
              <w:rPr>
                <w:sz w:val="5"/>
                <w:szCs w:val="5"/>
                <w:color w:val="auto"/>
              </w:rPr>
            </w:pPr>
          </w:p>
        </w:tc>
        <w:tc>
          <w:tcPr>
            <w:tcW w:w="20" w:type="dxa"/>
            <w:vAlign w:val="bottom"/>
            <w:tcBorders>
              <w:top w:val="single" w:sz="8" w:color="F3F3F4"/>
            </w:tcBorders>
            <w:shd w:val="clear" w:color="auto" w:fill="F3F3F4"/>
          </w:tcPr>
          <w:p>
            <w:pPr>
              <w:spacing w:after="0"/>
              <w:rPr>
                <w:sz w:val="5"/>
                <w:szCs w:val="5"/>
                <w:color w:val="auto"/>
              </w:rPr>
            </w:pPr>
          </w:p>
        </w:tc>
        <w:tc>
          <w:tcPr>
            <w:tcW w:w="560" w:type="dxa"/>
            <w:vAlign w:val="bottom"/>
            <w:tcBorders>
              <w:top w:val="single" w:sz="8" w:color="F3F3F4"/>
            </w:tcBorders>
            <w:shd w:val="clear" w:color="auto" w:fill="F3F3F4"/>
          </w:tcPr>
          <w:p>
            <w:pPr>
              <w:spacing w:after="0"/>
              <w:rPr>
                <w:sz w:val="5"/>
                <w:szCs w:val="5"/>
                <w:color w:val="auto"/>
              </w:rPr>
            </w:pPr>
          </w:p>
        </w:tc>
        <w:tc>
          <w:tcPr>
            <w:tcW w:w="380" w:type="dxa"/>
            <w:vAlign w:val="bottom"/>
            <w:tcBorders>
              <w:top w:val="single" w:sz="8" w:color="F3F3F4"/>
            </w:tcBorders>
            <w:shd w:val="clear" w:color="auto" w:fill="F3F3F4"/>
          </w:tcPr>
          <w:p>
            <w:pPr>
              <w:spacing w:after="0"/>
              <w:rPr>
                <w:sz w:val="5"/>
                <w:szCs w:val="5"/>
                <w:color w:val="auto"/>
              </w:rPr>
            </w:pPr>
          </w:p>
        </w:tc>
        <w:tc>
          <w:tcPr>
            <w:tcW w:w="260" w:type="dxa"/>
            <w:vAlign w:val="bottom"/>
            <w:tcBorders>
              <w:top w:val="single" w:sz="8" w:color="F3F3F4"/>
            </w:tcBorders>
            <w:shd w:val="clear" w:color="auto" w:fill="F3F3F4"/>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460" w:type="dxa"/>
            <w:vAlign w:val="bottom"/>
            <w:vMerge w:val="continue"/>
          </w:tcPr>
          <w:p>
            <w:pPr>
              <w:spacing w:after="0"/>
              <w:rPr>
                <w:sz w:val="23"/>
                <w:szCs w:val="23"/>
                <w:color w:val="auto"/>
              </w:rPr>
            </w:pPr>
          </w:p>
        </w:tc>
        <w:tc>
          <w:tcPr>
            <w:tcW w:w="4600" w:type="dxa"/>
            <w:vAlign w:val="bottom"/>
            <w:gridSpan w:val="25"/>
            <w:vMerge w:val="restart"/>
          </w:tcPr>
          <w:p>
            <w:pPr>
              <w:ind w:left="260"/>
              <w:spacing w:after="0"/>
              <w:rPr>
                <w:sz w:val="20"/>
                <w:szCs w:val="20"/>
                <w:color w:val="auto"/>
              </w:rPr>
            </w:pPr>
            <w:r>
              <w:rPr>
                <w:rFonts w:ascii="Arial" w:cs="Arial" w:eastAsia="Arial" w:hAnsi="Arial"/>
                <w:sz w:val="16"/>
                <w:szCs w:val="16"/>
                <w:b w:val="1"/>
                <w:bCs w:val="1"/>
                <w:color w:val="auto"/>
              </w:rPr>
              <w:t>Forward-Looking Statements and Other Disclosures</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45</w:t>
            </w:r>
          </w:p>
        </w:tc>
        <w:tc>
          <w:tcPr>
            <w:tcW w:w="4600" w:type="dxa"/>
            <w:vAlign w:val="bottom"/>
            <w:gridSpan w:val="25"/>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60" w:type="dxa"/>
            <w:vAlign w:val="bottom"/>
            <w:vMerge w:val="continue"/>
          </w:tcPr>
          <w:p>
            <w:pPr>
              <w:spacing w:after="0"/>
              <w:rPr>
                <w:sz w:val="9"/>
                <w:szCs w:val="9"/>
                <w:color w:val="auto"/>
              </w:rPr>
            </w:pPr>
          </w:p>
        </w:tc>
        <w:tc>
          <w:tcPr>
            <w:tcW w:w="4860" w:type="dxa"/>
            <w:vAlign w:val="bottom"/>
            <w:gridSpan w:val="26"/>
            <w:vMerge w:val="restart"/>
          </w:tcPr>
          <w:p>
            <w:pPr>
              <w:ind w:left="260"/>
              <w:spacing w:after="0"/>
              <w:rPr>
                <w:sz w:val="20"/>
                <w:szCs w:val="20"/>
                <w:color w:val="auto"/>
              </w:rPr>
            </w:pPr>
            <w:r>
              <w:rPr>
                <w:rFonts w:ascii="Arial" w:cs="Arial" w:eastAsia="Arial" w:hAnsi="Arial"/>
                <w:sz w:val="13"/>
                <w:szCs w:val="13"/>
                <w:color w:val="auto"/>
                <w:w w:val="99"/>
              </w:rPr>
              <w:t>This proxy statement contains forward-looking statements within the meaning of</w:t>
            </w:r>
          </w:p>
        </w:tc>
        <w:tc>
          <w:tcPr>
            <w:tcW w:w="0" w:type="dxa"/>
            <w:vAlign w:val="bottom"/>
          </w:tcPr>
          <w:p>
            <w:pPr>
              <w:spacing w:after="0"/>
              <w:rPr>
                <w:sz w:val="1"/>
                <w:szCs w:val="1"/>
                <w:color w:val="auto"/>
              </w:rPr>
            </w:pPr>
          </w:p>
        </w:tc>
      </w:tr>
      <w:tr>
        <w:trPr>
          <w:trHeight w:val="92"/>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45</w:t>
            </w:r>
          </w:p>
        </w:tc>
        <w:tc>
          <w:tcPr>
            <w:tcW w:w="4860" w:type="dxa"/>
            <w:vAlign w:val="bottom"/>
            <w:gridSpan w:val="2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60" w:type="dxa"/>
            <w:vAlign w:val="bottom"/>
            <w:vMerge w:val="continue"/>
          </w:tcPr>
          <w:p>
            <w:pPr>
              <w:spacing w:after="0"/>
              <w:rPr>
                <w:sz w:val="11"/>
                <w:szCs w:val="11"/>
                <w:color w:val="auto"/>
              </w:rPr>
            </w:pPr>
          </w:p>
        </w:tc>
        <w:tc>
          <w:tcPr>
            <w:tcW w:w="4860" w:type="dxa"/>
            <w:vAlign w:val="bottom"/>
            <w:gridSpan w:val="26"/>
          </w:tcPr>
          <w:p>
            <w:pPr>
              <w:ind w:left="260"/>
              <w:spacing w:after="0" w:line="135" w:lineRule="exact"/>
              <w:rPr>
                <w:sz w:val="20"/>
                <w:szCs w:val="20"/>
                <w:color w:val="auto"/>
              </w:rPr>
            </w:pPr>
            <w:r>
              <w:rPr>
                <w:rFonts w:ascii="Arial" w:cs="Arial" w:eastAsia="Arial" w:hAnsi="Arial"/>
                <w:sz w:val="13"/>
                <w:szCs w:val="13"/>
                <w:color w:val="auto"/>
              </w:rPr>
              <w:t>Section 27A of the Securities Act of 1933, as amended (the Securities Act) and</w:t>
            </w:r>
          </w:p>
        </w:tc>
        <w:tc>
          <w:tcPr>
            <w:tcW w:w="0" w:type="dxa"/>
            <w:vAlign w:val="bottom"/>
          </w:tcPr>
          <w:p>
            <w:pPr>
              <w:spacing w:after="0"/>
              <w:rPr>
                <w:sz w:val="1"/>
                <w:szCs w:val="1"/>
                <w:color w:val="auto"/>
              </w:rPr>
            </w:pPr>
          </w:p>
        </w:tc>
      </w:tr>
      <w:tr>
        <w:trPr>
          <w:trHeight w:val="135"/>
        </w:trPr>
        <w:tc>
          <w:tcPr>
            <w:tcW w:w="460" w:type="dxa"/>
            <w:vAlign w:val="bottom"/>
            <w:vMerge w:val="restart"/>
          </w:tcPr>
          <w:p>
            <w:pPr>
              <w:jc w:val="right"/>
              <w:ind w:right="176"/>
              <w:spacing w:after="0"/>
              <w:rPr>
                <w:sz w:val="20"/>
                <w:szCs w:val="20"/>
                <w:color w:val="auto"/>
              </w:rPr>
            </w:pPr>
            <w:r>
              <w:rPr>
                <w:rFonts w:ascii="Arial" w:cs="Arial" w:eastAsia="Arial" w:hAnsi="Arial"/>
                <w:sz w:val="16"/>
                <w:szCs w:val="16"/>
                <w:color w:val="auto"/>
              </w:rPr>
              <w:t>47</w:t>
            </w:r>
          </w:p>
        </w:tc>
        <w:tc>
          <w:tcPr>
            <w:tcW w:w="4860" w:type="dxa"/>
            <w:vAlign w:val="bottom"/>
            <w:gridSpan w:val="26"/>
          </w:tcPr>
          <w:p>
            <w:pPr>
              <w:ind w:left="260"/>
              <w:spacing w:after="0" w:line="135" w:lineRule="exact"/>
              <w:rPr>
                <w:sz w:val="20"/>
                <w:szCs w:val="20"/>
                <w:color w:val="auto"/>
              </w:rPr>
            </w:pPr>
            <w:r>
              <w:rPr>
                <w:rFonts w:ascii="Arial" w:cs="Arial" w:eastAsia="Arial" w:hAnsi="Arial"/>
                <w:sz w:val="13"/>
                <w:szCs w:val="13"/>
                <w:color w:val="auto"/>
                <w:w w:val="98"/>
              </w:rPr>
              <w:t>Section 21E of the Securities Exchange Act of 1934, as amended (the Exchange</w:t>
            </w:r>
          </w:p>
        </w:tc>
        <w:tc>
          <w:tcPr>
            <w:tcW w:w="0" w:type="dxa"/>
            <w:vAlign w:val="bottom"/>
          </w:tcPr>
          <w:p>
            <w:pPr>
              <w:spacing w:after="0"/>
              <w:rPr>
                <w:sz w:val="1"/>
                <w:szCs w:val="1"/>
                <w:color w:val="auto"/>
              </w:rPr>
            </w:pPr>
          </w:p>
        </w:tc>
      </w:tr>
      <w:tr>
        <w:trPr>
          <w:trHeight w:val="135"/>
        </w:trPr>
        <w:tc>
          <w:tcPr>
            <w:tcW w:w="460" w:type="dxa"/>
            <w:vAlign w:val="bottom"/>
            <w:vMerge w:val="continue"/>
          </w:tcPr>
          <w:p>
            <w:pPr>
              <w:spacing w:after="0"/>
              <w:rPr>
                <w:sz w:val="11"/>
                <w:szCs w:val="11"/>
                <w:color w:val="auto"/>
              </w:rPr>
            </w:pPr>
          </w:p>
        </w:tc>
        <w:tc>
          <w:tcPr>
            <w:tcW w:w="4860" w:type="dxa"/>
            <w:vAlign w:val="bottom"/>
            <w:gridSpan w:val="26"/>
          </w:tcPr>
          <w:p>
            <w:pPr>
              <w:ind w:left="260"/>
              <w:spacing w:after="0" w:line="135" w:lineRule="exact"/>
              <w:rPr>
                <w:sz w:val="20"/>
                <w:szCs w:val="20"/>
                <w:color w:val="auto"/>
              </w:rPr>
            </w:pPr>
            <w:r>
              <w:rPr>
                <w:rFonts w:ascii="Arial" w:cs="Arial" w:eastAsia="Arial" w:hAnsi="Arial"/>
                <w:sz w:val="13"/>
                <w:szCs w:val="13"/>
                <w:color w:val="auto"/>
                <w:w w:val="97"/>
              </w:rPr>
              <w:t>Act). Forward-looking statements can be identified by words such as “anticipates,”</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4860" w:type="dxa"/>
            <w:vAlign w:val="bottom"/>
            <w:gridSpan w:val="26"/>
          </w:tcPr>
          <w:p>
            <w:pPr>
              <w:ind w:left="260"/>
              <w:spacing w:after="0" w:line="135" w:lineRule="exact"/>
              <w:rPr>
                <w:sz w:val="20"/>
                <w:szCs w:val="20"/>
                <w:color w:val="auto"/>
              </w:rPr>
            </w:pPr>
            <w:r>
              <w:rPr>
                <w:rFonts w:ascii="Arial" w:cs="Arial" w:eastAsia="Arial" w:hAnsi="Arial"/>
                <w:sz w:val="13"/>
                <w:szCs w:val="13"/>
                <w:color w:val="auto"/>
                <w:w w:val="98"/>
              </w:rPr>
              <w:t>“intends,” “plans,” “seeks,” “believes,” “continues,” “could,” “capable,” “estimates,”</w:t>
            </w:r>
          </w:p>
        </w:tc>
        <w:tc>
          <w:tcPr>
            <w:tcW w:w="0" w:type="dxa"/>
            <w:vAlign w:val="bottom"/>
          </w:tcPr>
          <w:p>
            <w:pPr>
              <w:spacing w:after="0"/>
              <w:rPr>
                <w:sz w:val="1"/>
                <w:szCs w:val="1"/>
                <w:color w:val="auto"/>
              </w:rPr>
            </w:pPr>
          </w:p>
        </w:tc>
      </w:tr>
      <w:tr>
        <w:trPr>
          <w:trHeight w:val="135"/>
        </w:trPr>
        <w:tc>
          <w:tcPr>
            <w:tcW w:w="46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w w:val="89"/>
              </w:rPr>
              <w:t>48</w:t>
            </w:r>
          </w:p>
        </w:tc>
        <w:tc>
          <w:tcPr>
            <w:tcW w:w="4860" w:type="dxa"/>
            <w:vAlign w:val="bottom"/>
            <w:gridSpan w:val="26"/>
          </w:tcPr>
          <w:p>
            <w:pPr>
              <w:ind w:left="260"/>
              <w:spacing w:after="0" w:line="135" w:lineRule="exact"/>
              <w:rPr>
                <w:sz w:val="20"/>
                <w:szCs w:val="20"/>
                <w:color w:val="auto"/>
              </w:rPr>
            </w:pPr>
            <w:r>
              <w:rPr>
                <w:rFonts w:ascii="Arial" w:cs="Arial" w:eastAsia="Arial" w:hAnsi="Arial"/>
                <w:sz w:val="13"/>
                <w:szCs w:val="13"/>
                <w:color w:val="auto"/>
                <w:w w:val="98"/>
              </w:rPr>
              <w:t>“expects,” “goals,” “may,” “might,” “outlook,” “possibly,” “potential,” “should,” “will,”</w:t>
            </w:r>
          </w:p>
        </w:tc>
        <w:tc>
          <w:tcPr>
            <w:tcW w:w="0" w:type="dxa"/>
            <w:vAlign w:val="bottom"/>
          </w:tcPr>
          <w:p>
            <w:pPr>
              <w:spacing w:after="0"/>
              <w:rPr>
                <w:sz w:val="1"/>
                <w:szCs w:val="1"/>
                <w:color w:val="auto"/>
              </w:rPr>
            </w:pPr>
          </w:p>
        </w:tc>
      </w:tr>
      <w:tr>
        <w:trPr>
          <w:trHeight w:val="147"/>
        </w:trPr>
        <w:tc>
          <w:tcPr>
            <w:tcW w:w="460" w:type="dxa"/>
            <w:vAlign w:val="bottom"/>
            <w:vMerge w:val="continue"/>
          </w:tcPr>
          <w:p>
            <w:pPr>
              <w:spacing w:after="0"/>
              <w:rPr>
                <w:sz w:val="12"/>
                <w:szCs w:val="12"/>
                <w:color w:val="auto"/>
              </w:rPr>
            </w:pPr>
          </w:p>
        </w:tc>
        <w:tc>
          <w:tcPr>
            <w:tcW w:w="4860" w:type="dxa"/>
            <w:vAlign w:val="bottom"/>
            <w:gridSpan w:val="26"/>
          </w:tcPr>
          <w:p>
            <w:pPr>
              <w:ind w:left="260"/>
              <w:spacing w:after="0" w:line="147" w:lineRule="exact"/>
              <w:rPr>
                <w:sz w:val="20"/>
                <w:szCs w:val="20"/>
                <w:color w:val="auto"/>
              </w:rPr>
            </w:pPr>
            <w:r>
              <w:rPr>
                <w:rFonts w:ascii="Arial" w:cs="Arial" w:eastAsia="Arial" w:hAnsi="Arial"/>
                <w:sz w:val="13"/>
                <w:szCs w:val="13"/>
                <w:color w:val="auto"/>
                <w:w w:val="98"/>
              </w:rPr>
              <w:t>“would,” and similar references to future periods, but the absence of these words</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860" w:type="dxa"/>
            <w:vAlign w:val="bottom"/>
            <w:gridSpan w:val="26"/>
          </w:tcPr>
          <w:p>
            <w:pPr>
              <w:ind w:left="260"/>
              <w:spacing w:after="0" w:line="129" w:lineRule="exact"/>
              <w:rPr>
                <w:sz w:val="20"/>
                <w:szCs w:val="20"/>
                <w:color w:val="auto"/>
              </w:rPr>
            </w:pPr>
            <w:r>
              <w:rPr>
                <w:rFonts w:ascii="Arial" w:cs="Arial" w:eastAsia="Arial" w:hAnsi="Arial"/>
                <w:sz w:val="13"/>
                <w:szCs w:val="13"/>
                <w:color w:val="auto"/>
                <w:w w:val="97"/>
              </w:rPr>
              <w:t>does not mean that a statement is not forward-looking. These statements include,</w:t>
            </w:r>
          </w:p>
        </w:tc>
        <w:tc>
          <w:tcPr>
            <w:tcW w:w="0" w:type="dxa"/>
            <w:vAlign w:val="bottom"/>
          </w:tcPr>
          <w:p>
            <w:pPr>
              <w:spacing w:after="0"/>
              <w:rPr>
                <w:sz w:val="1"/>
                <w:szCs w:val="1"/>
                <w:color w:val="auto"/>
              </w:rPr>
            </w:pPr>
          </w:p>
        </w:tc>
      </w:tr>
    </w:tbl>
    <w:p>
      <w:pPr>
        <w:ind w:left="720" w:right="80" w:hanging="706"/>
        <w:spacing w:after="0" w:line="198" w:lineRule="auto"/>
        <w:tabs>
          <w:tab w:leader="none" w:pos="720" w:val="left"/>
        </w:tabs>
        <w:numPr>
          <w:ilvl w:val="0"/>
          <w:numId w:val="4"/>
        </w:numPr>
        <w:rPr>
          <w:rFonts w:ascii="Arial" w:cs="Arial" w:eastAsia="Arial" w:hAnsi="Arial"/>
          <w:sz w:val="15"/>
          <w:szCs w:val="15"/>
          <w:color w:val="auto"/>
        </w:rPr>
      </w:pPr>
      <w:r>
        <w:rPr>
          <w:rFonts w:ascii="Arial" w:cs="Arial" w:eastAsia="Arial" w:hAnsi="Arial"/>
          <w:sz w:val="12"/>
          <w:szCs w:val="12"/>
          <w:color w:val="auto"/>
        </w:rPr>
        <w:t>but are not limited to, statements about plans, expectations, goals, commitments, strategies, and objectives. While forward-looking statements are based on</w:t>
      </w:r>
    </w:p>
    <w:tbl>
      <w:tblPr>
        <w:tblLayout w:type="fixed"/>
        <w:tblInd w:w="20" w:type="dxa"/>
        <w:tblCellMar>
          <w:top w:w="0" w:type="dxa"/>
          <w:left w:w="0" w:type="dxa"/>
          <w:bottom w:w="0" w:type="dxa"/>
          <w:right w:w="0" w:type="dxa"/>
        </w:tblCellMar>
      </w:tblPr>
      <w:tr>
        <w:trPr>
          <w:trHeight w:val="147"/>
        </w:trPr>
        <w:tc>
          <w:tcPr>
            <w:tcW w:w="440" w:type="dxa"/>
            <w:vAlign w:val="bottom"/>
          </w:tcPr>
          <w:p>
            <w:pPr>
              <w:jc w:val="right"/>
              <w:ind w:right="179"/>
              <w:spacing w:after="0" w:line="147" w:lineRule="exact"/>
              <w:rPr>
                <w:sz w:val="20"/>
                <w:szCs w:val="20"/>
                <w:color w:val="auto"/>
              </w:rPr>
            </w:pPr>
            <w:r>
              <w:rPr>
                <w:rFonts w:ascii="Arial" w:cs="Arial" w:eastAsia="Arial" w:hAnsi="Arial"/>
                <w:sz w:val="16"/>
                <w:szCs w:val="16"/>
                <w:color w:val="auto"/>
                <w:w w:val="89"/>
              </w:rPr>
              <w:t>48</w:t>
            </w:r>
          </w:p>
        </w:tc>
        <w:tc>
          <w:tcPr>
            <w:tcW w:w="4840" w:type="dxa"/>
            <w:vAlign w:val="bottom"/>
          </w:tcPr>
          <w:p>
            <w:pPr>
              <w:ind w:left="260"/>
              <w:spacing w:after="0" w:line="147" w:lineRule="exact"/>
              <w:rPr>
                <w:sz w:val="20"/>
                <w:szCs w:val="20"/>
                <w:color w:val="auto"/>
              </w:rPr>
            </w:pPr>
            <w:r>
              <w:rPr>
                <w:rFonts w:ascii="Arial" w:cs="Arial" w:eastAsia="Arial" w:hAnsi="Arial"/>
                <w:sz w:val="13"/>
                <w:szCs w:val="13"/>
                <w:color w:val="auto"/>
                <w:w w:val="96"/>
              </w:rPr>
              <w:t>assumptions and analyses made by us that we believe to be reasonable under the</w:t>
            </w:r>
          </w:p>
        </w:tc>
        <w:tc>
          <w:tcPr>
            <w:tcW w:w="0" w:type="dxa"/>
            <w:vAlign w:val="bottom"/>
          </w:tcPr>
          <w:p>
            <w:pPr>
              <w:spacing w:after="0"/>
              <w:rPr>
                <w:sz w:val="1"/>
                <w:szCs w:val="1"/>
                <w:color w:val="auto"/>
              </w:rPr>
            </w:pPr>
          </w:p>
        </w:tc>
      </w:tr>
      <w:tr>
        <w:trPr>
          <w:trHeight w:val="131"/>
        </w:trPr>
        <w:tc>
          <w:tcPr>
            <w:tcW w:w="44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48</w:t>
            </w:r>
          </w:p>
        </w:tc>
        <w:tc>
          <w:tcPr>
            <w:tcW w:w="4840" w:type="dxa"/>
            <w:vAlign w:val="bottom"/>
          </w:tcPr>
          <w:p>
            <w:pPr>
              <w:ind w:left="260"/>
              <w:spacing w:after="0" w:line="131" w:lineRule="exact"/>
              <w:rPr>
                <w:sz w:val="20"/>
                <w:szCs w:val="20"/>
                <w:color w:val="auto"/>
              </w:rPr>
            </w:pPr>
            <w:r>
              <w:rPr>
                <w:rFonts w:ascii="Arial" w:cs="Arial" w:eastAsia="Arial" w:hAnsi="Arial"/>
                <w:sz w:val="13"/>
                <w:szCs w:val="13"/>
                <w:color w:val="auto"/>
              </w:rPr>
              <w:t>circumstances, whether actual results and developments will meet our</w:t>
            </w:r>
          </w:p>
        </w:tc>
        <w:tc>
          <w:tcPr>
            <w:tcW w:w="0" w:type="dxa"/>
            <w:vAlign w:val="bottom"/>
          </w:tcPr>
          <w:p>
            <w:pPr>
              <w:spacing w:after="0"/>
              <w:rPr>
                <w:sz w:val="1"/>
                <w:szCs w:val="1"/>
                <w:color w:val="auto"/>
              </w:rPr>
            </w:pPr>
          </w:p>
        </w:tc>
      </w:tr>
      <w:tr>
        <w:trPr>
          <w:trHeight w:val="147"/>
        </w:trPr>
        <w:tc>
          <w:tcPr>
            <w:tcW w:w="440" w:type="dxa"/>
            <w:vAlign w:val="bottom"/>
            <w:vMerge w:val="continue"/>
          </w:tcPr>
          <w:p>
            <w:pPr>
              <w:spacing w:after="0"/>
              <w:rPr>
                <w:sz w:val="12"/>
                <w:szCs w:val="12"/>
                <w:color w:val="auto"/>
              </w:rPr>
            </w:pPr>
          </w:p>
        </w:tc>
        <w:tc>
          <w:tcPr>
            <w:tcW w:w="4840" w:type="dxa"/>
            <w:vAlign w:val="bottom"/>
          </w:tcPr>
          <w:p>
            <w:pPr>
              <w:ind w:left="260"/>
              <w:spacing w:after="0" w:line="147" w:lineRule="exact"/>
              <w:rPr>
                <w:sz w:val="20"/>
                <w:szCs w:val="20"/>
                <w:color w:val="auto"/>
              </w:rPr>
            </w:pPr>
            <w:r>
              <w:rPr>
                <w:rFonts w:ascii="Arial" w:cs="Arial" w:eastAsia="Arial" w:hAnsi="Arial"/>
                <w:sz w:val="13"/>
                <w:szCs w:val="13"/>
                <w:color w:val="auto"/>
                <w:w w:val="97"/>
              </w:rPr>
              <w:t>expectations and predictions depend on several risks and uncertainties that could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60" w:type="dxa"/>
            <w:vAlign w:val="bottom"/>
          </w:tcPr>
          <w:p>
            <w:pPr>
              <w:spacing w:after="0"/>
              <w:rPr>
                <w:sz w:val="10"/>
                <w:szCs w:val="10"/>
                <w:color w:val="auto"/>
              </w:rPr>
            </w:pPr>
          </w:p>
        </w:tc>
        <w:tc>
          <w:tcPr>
            <w:tcW w:w="4720" w:type="dxa"/>
            <w:vAlign w:val="bottom"/>
          </w:tcPr>
          <w:p>
            <w:pPr>
              <w:ind w:left="260"/>
              <w:spacing w:after="0" w:line="123" w:lineRule="exact"/>
              <w:rPr>
                <w:sz w:val="20"/>
                <w:szCs w:val="20"/>
                <w:color w:val="auto"/>
              </w:rPr>
            </w:pPr>
            <w:r>
              <w:rPr>
                <w:rFonts w:ascii="Arial" w:cs="Arial" w:eastAsia="Arial" w:hAnsi="Arial"/>
                <w:sz w:val="13"/>
                <w:szCs w:val="13"/>
                <w:color w:val="auto"/>
                <w:w w:val="96"/>
              </w:rPr>
              <w:t>cause our actual results, performance, and financial condition to differ materially</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4720" w:type="dxa"/>
            <w:vAlign w:val="bottom"/>
          </w:tcPr>
          <w:p>
            <w:pPr>
              <w:ind w:left="260"/>
              <w:spacing w:after="0" w:line="135" w:lineRule="exact"/>
              <w:rPr>
                <w:sz w:val="20"/>
                <w:szCs w:val="20"/>
                <w:color w:val="auto"/>
              </w:rPr>
            </w:pPr>
            <w:r>
              <w:rPr>
                <w:rFonts w:ascii="Arial" w:cs="Arial" w:eastAsia="Arial" w:hAnsi="Arial"/>
                <w:sz w:val="13"/>
                <w:szCs w:val="13"/>
                <w:color w:val="auto"/>
                <w:w w:val="98"/>
              </w:rPr>
              <w:t>from our expectations. See “Risk Factors” in our Form 10-K for the year ended</w:t>
            </w:r>
          </w:p>
        </w:tc>
        <w:tc>
          <w:tcPr>
            <w:tcW w:w="0" w:type="dxa"/>
            <w:vAlign w:val="bottom"/>
          </w:tcPr>
          <w:p>
            <w:pPr>
              <w:spacing w:after="0"/>
              <w:rPr>
                <w:sz w:val="1"/>
                <w:szCs w:val="1"/>
                <w:color w:val="auto"/>
              </w:rPr>
            </w:pPr>
          </w:p>
        </w:tc>
      </w:tr>
      <w:tr>
        <w:trPr>
          <w:trHeight w:val="135"/>
        </w:trPr>
        <w:tc>
          <w:tcPr>
            <w:tcW w:w="4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89"/>
              </w:rPr>
              <w:t>49</w:t>
            </w:r>
          </w:p>
        </w:tc>
        <w:tc>
          <w:tcPr>
            <w:tcW w:w="4720" w:type="dxa"/>
            <w:vAlign w:val="bottom"/>
          </w:tcPr>
          <w:p>
            <w:pPr>
              <w:ind w:left="260"/>
              <w:spacing w:after="0" w:line="135" w:lineRule="exact"/>
              <w:rPr>
                <w:sz w:val="20"/>
                <w:szCs w:val="20"/>
                <w:color w:val="auto"/>
              </w:rPr>
            </w:pPr>
            <w:r>
              <w:rPr>
                <w:rFonts w:ascii="Arial" w:cs="Arial" w:eastAsia="Arial" w:hAnsi="Arial"/>
                <w:sz w:val="13"/>
                <w:szCs w:val="13"/>
                <w:color w:val="auto"/>
              </w:rPr>
              <w:t>December 31, 2025, and in our quarterly reports on Form 10-Q filed with the</w:t>
            </w:r>
          </w:p>
        </w:tc>
        <w:tc>
          <w:tcPr>
            <w:tcW w:w="0" w:type="dxa"/>
            <w:vAlign w:val="bottom"/>
          </w:tcPr>
          <w:p>
            <w:pPr>
              <w:spacing w:after="0"/>
              <w:rPr>
                <w:sz w:val="1"/>
                <w:szCs w:val="1"/>
                <w:color w:val="auto"/>
              </w:rPr>
            </w:pPr>
          </w:p>
        </w:tc>
      </w:tr>
      <w:tr>
        <w:trPr>
          <w:trHeight w:val="124"/>
        </w:trPr>
        <w:tc>
          <w:tcPr>
            <w:tcW w:w="460" w:type="dxa"/>
            <w:vAlign w:val="bottom"/>
            <w:vMerge w:val="continue"/>
          </w:tcPr>
          <w:p>
            <w:pPr>
              <w:spacing w:after="0"/>
              <w:rPr>
                <w:sz w:val="10"/>
                <w:szCs w:val="10"/>
                <w:color w:val="auto"/>
              </w:rPr>
            </w:pPr>
          </w:p>
        </w:tc>
        <w:tc>
          <w:tcPr>
            <w:tcW w:w="4720" w:type="dxa"/>
            <w:vAlign w:val="bottom"/>
            <w:vMerge w:val="restart"/>
          </w:tcPr>
          <w:p>
            <w:pPr>
              <w:ind w:left="260"/>
              <w:spacing w:after="0" w:line="147" w:lineRule="exact"/>
              <w:rPr>
                <w:sz w:val="20"/>
                <w:szCs w:val="20"/>
                <w:color w:val="auto"/>
              </w:rPr>
            </w:pPr>
            <w:r>
              <w:rPr>
                <w:rFonts w:ascii="Arial" w:cs="Arial" w:eastAsia="Arial" w:hAnsi="Arial"/>
                <w:sz w:val="13"/>
                <w:szCs w:val="13"/>
                <w:color w:val="auto"/>
                <w:w w:val="97"/>
              </w:rPr>
              <w:t>Securities and Exchange Commission for a discussion of risk factors that affect</w:t>
            </w:r>
          </w:p>
        </w:tc>
        <w:tc>
          <w:tcPr>
            <w:tcW w:w="0" w:type="dxa"/>
            <w:vAlign w:val="bottom"/>
          </w:tcPr>
          <w:p>
            <w:pPr>
              <w:spacing w:after="0"/>
              <w:rPr>
                <w:sz w:val="1"/>
                <w:szCs w:val="1"/>
                <w:color w:val="auto"/>
              </w:rPr>
            </w:pPr>
          </w:p>
        </w:tc>
      </w:tr>
      <w:tr>
        <w:trPr>
          <w:trHeight w:val="23"/>
        </w:trPr>
        <w:tc>
          <w:tcPr>
            <w:tcW w:w="460" w:type="dxa"/>
            <w:vAlign w:val="bottom"/>
          </w:tcPr>
          <w:p>
            <w:pPr>
              <w:spacing w:after="0" w:line="20" w:lineRule="exact"/>
              <w:rPr>
                <w:sz w:val="1"/>
                <w:szCs w:val="1"/>
                <w:color w:val="auto"/>
              </w:rPr>
            </w:pPr>
          </w:p>
        </w:tc>
        <w:tc>
          <w:tcPr>
            <w:tcW w:w="4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720" w:right="40" w:hanging="706"/>
        <w:spacing w:after="0" w:line="181" w:lineRule="auto"/>
        <w:tabs>
          <w:tab w:leader="none" w:pos="720" w:val="left"/>
        </w:tabs>
        <w:numPr>
          <w:ilvl w:val="0"/>
          <w:numId w:val="5"/>
        </w:numPr>
        <w:rPr>
          <w:rFonts w:ascii="Arial" w:cs="Arial" w:eastAsia="Arial" w:hAnsi="Arial"/>
          <w:sz w:val="21"/>
          <w:szCs w:val="21"/>
          <w:color w:val="auto"/>
          <w:vertAlign w:val="subscript"/>
        </w:rPr>
      </w:pPr>
      <w:r>
        <w:rPr>
          <w:rFonts w:ascii="Arial" w:cs="Arial" w:eastAsia="Arial" w:hAnsi="Arial"/>
          <w:sz w:val="10"/>
          <w:szCs w:val="10"/>
          <w:color w:val="auto"/>
        </w:rPr>
        <w:t>our business. Any forward-looking statement made in this proxy statement speaks only as of the date of this proxy statement. Factors or events that could cause our</w:t>
      </w:r>
    </w:p>
    <w:p>
      <w:pPr>
        <w:spacing w:after="0" w:line="1" w:lineRule="exact"/>
        <w:rPr>
          <w:sz w:val="20"/>
          <w:szCs w:val="20"/>
          <w:color w:val="auto"/>
        </w:rPr>
      </w:pPr>
    </w:p>
    <w:p>
      <w:pPr>
        <w:jc w:val="both"/>
        <w:ind w:left="720" w:right="100" w:hanging="706"/>
        <w:spacing w:after="0" w:line="183" w:lineRule="auto"/>
        <w:tabs>
          <w:tab w:leader="none" w:pos="720" w:val="left"/>
        </w:tabs>
        <w:numPr>
          <w:ilvl w:val="0"/>
          <w:numId w:val="6"/>
        </w:numPr>
        <w:rPr>
          <w:rFonts w:ascii="Arial" w:cs="Arial" w:eastAsia="Arial" w:hAnsi="Arial"/>
          <w:sz w:val="20"/>
          <w:szCs w:val="20"/>
          <w:color w:val="auto"/>
          <w:vertAlign w:val="subscript"/>
        </w:rPr>
      </w:pPr>
      <w:r>
        <w:rPr>
          <w:rFonts w:ascii="Arial" w:cs="Arial" w:eastAsia="Arial" w:hAnsi="Arial"/>
          <w:sz w:val="10"/>
          <w:szCs w:val="10"/>
          <w:color w:val="auto"/>
        </w:rPr>
        <w:t>actual results to differ may emerge from time to time, and it is not possible for us to predict all of them. We undertake no obligation to publicly update any forward-</w:t>
      </w:r>
    </w:p>
    <w:p>
      <w:pPr>
        <w:spacing w:after="0" w:line="1" w:lineRule="exact"/>
        <w:rPr>
          <w:sz w:val="20"/>
          <w:szCs w:val="20"/>
          <w:color w:val="auto"/>
        </w:rPr>
      </w:pPr>
    </w:p>
    <w:p>
      <w:pPr>
        <w:ind w:left="720" w:right="120" w:hanging="706"/>
        <w:spacing w:after="0" w:line="184"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3"/>
          <w:szCs w:val="13"/>
          <w:color w:val="auto"/>
        </w:rPr>
        <w:t>looking statement, whether because of new information, future developments, or otherwise, except as may be required by law.</w:t>
      </w:r>
    </w:p>
    <w:p>
      <w:pPr>
        <w:ind w:left="20"/>
        <w:spacing w:after="0" w:line="190" w:lineRule="auto"/>
        <w:rPr>
          <w:sz w:val="20"/>
          <w:szCs w:val="20"/>
          <w:color w:val="auto"/>
        </w:rPr>
      </w:pPr>
      <w:r>
        <w:rPr>
          <w:rFonts w:ascii="Arial" w:cs="Arial" w:eastAsia="Arial" w:hAnsi="Arial"/>
          <w:sz w:val="14"/>
          <w:szCs w:val="14"/>
          <w:color w:val="auto"/>
        </w:rPr>
        <w:t>50</w:t>
      </w:r>
    </w:p>
    <w:p>
      <w:pPr>
        <w:ind w:left="720"/>
        <w:spacing w:after="0" w:line="225" w:lineRule="auto"/>
        <w:rPr>
          <w:sz w:val="20"/>
          <w:szCs w:val="20"/>
          <w:color w:val="auto"/>
        </w:rPr>
      </w:pPr>
      <w:r>
        <w:rPr>
          <w:rFonts w:ascii="Arial" w:cs="Arial" w:eastAsia="Arial" w:hAnsi="Arial"/>
          <w:sz w:val="12"/>
          <w:szCs w:val="12"/>
          <w:color w:val="auto"/>
        </w:rPr>
        <w:t xml:space="preserve">References to </w:t>
      </w:r>
      <w:r>
        <w:rPr>
          <w:rFonts w:ascii="Arial" w:cs="Arial" w:eastAsia="Arial" w:hAnsi="Arial"/>
          <w:sz w:val="12"/>
          <w:szCs w:val="12"/>
          <w:i w:val="1"/>
          <w:iCs w:val="1"/>
          <w:color w:val="auto"/>
        </w:rPr>
        <w:t>APA</w:t>
      </w:r>
      <w:r>
        <w:rPr>
          <w:rFonts w:ascii="Arial" w:cs="Arial" w:eastAsia="Arial" w:hAnsi="Arial"/>
          <w:sz w:val="12"/>
          <w:szCs w:val="12"/>
          <w:color w:val="auto"/>
        </w:rPr>
        <w:t xml:space="preserve">, the </w:t>
      </w:r>
      <w:r>
        <w:rPr>
          <w:rFonts w:ascii="Arial" w:cs="Arial" w:eastAsia="Arial" w:hAnsi="Arial"/>
          <w:sz w:val="12"/>
          <w:szCs w:val="12"/>
          <w:i w:val="1"/>
          <w:iCs w:val="1"/>
          <w:color w:val="auto"/>
        </w:rPr>
        <w:t>Company</w:t>
      </w:r>
      <w:r>
        <w:rPr>
          <w:rFonts w:ascii="Arial" w:cs="Arial" w:eastAsia="Arial" w:hAnsi="Arial"/>
          <w:sz w:val="12"/>
          <w:szCs w:val="12"/>
          <w:color w:val="auto"/>
        </w:rPr>
        <w:t xml:space="preserve">, </w:t>
      </w:r>
      <w:r>
        <w:rPr>
          <w:rFonts w:ascii="Arial" w:cs="Arial" w:eastAsia="Arial" w:hAnsi="Arial"/>
          <w:sz w:val="12"/>
          <w:szCs w:val="12"/>
          <w:i w:val="1"/>
          <w:iCs w:val="1"/>
          <w:color w:val="auto"/>
        </w:rPr>
        <w:t>our</w:t>
      </w:r>
      <w:r>
        <w:rPr>
          <w:rFonts w:ascii="Arial" w:cs="Arial" w:eastAsia="Arial" w:hAnsi="Arial"/>
          <w:sz w:val="12"/>
          <w:szCs w:val="12"/>
          <w:color w:val="auto"/>
        </w:rPr>
        <w:t xml:space="preserve">, </w:t>
      </w:r>
      <w:r>
        <w:rPr>
          <w:rFonts w:ascii="Arial" w:cs="Arial" w:eastAsia="Arial" w:hAnsi="Arial"/>
          <w:sz w:val="12"/>
          <w:szCs w:val="12"/>
          <w:i w:val="1"/>
          <w:iCs w:val="1"/>
          <w:color w:val="auto"/>
        </w:rPr>
        <w:t>we</w:t>
      </w:r>
      <w:r>
        <w:rPr>
          <w:rFonts w:ascii="Arial" w:cs="Arial" w:eastAsia="Arial" w:hAnsi="Arial"/>
          <w:sz w:val="12"/>
          <w:szCs w:val="12"/>
          <w:color w:val="auto"/>
        </w:rPr>
        <w:t xml:space="preserve">, and </w:t>
      </w:r>
      <w:r>
        <w:rPr>
          <w:rFonts w:ascii="Arial" w:cs="Arial" w:eastAsia="Arial" w:hAnsi="Arial"/>
          <w:sz w:val="12"/>
          <w:szCs w:val="12"/>
          <w:i w:val="1"/>
          <w:iCs w:val="1"/>
          <w:color w:val="auto"/>
        </w:rPr>
        <w:t>us</w:t>
      </w:r>
      <w:r>
        <w:rPr>
          <w:rFonts w:ascii="Arial" w:cs="Arial" w:eastAsia="Arial" w:hAnsi="Arial"/>
          <w:sz w:val="12"/>
          <w:szCs w:val="12"/>
          <w:color w:val="auto"/>
        </w:rPr>
        <w:t xml:space="preserve"> mean APA Corporation and its</w:t>
      </w:r>
    </w:p>
    <w:p>
      <w:pPr>
        <w:spacing w:after="0" w:line="1" w:lineRule="exact"/>
        <w:rPr>
          <w:sz w:val="20"/>
          <w:szCs w:val="20"/>
          <w:color w:val="auto"/>
        </w:rPr>
      </w:pPr>
    </w:p>
    <w:p>
      <w:pPr>
        <w:ind w:left="720" w:right="120" w:hanging="706"/>
        <w:spacing w:after="0" w:line="198" w:lineRule="auto"/>
        <w:tabs>
          <w:tab w:leader="none" w:pos="720" w:val="left"/>
        </w:tabs>
        <w:numPr>
          <w:ilvl w:val="0"/>
          <w:numId w:val="8"/>
        </w:numPr>
        <w:rPr>
          <w:rFonts w:ascii="Arial" w:cs="Arial" w:eastAsia="Arial" w:hAnsi="Arial"/>
          <w:sz w:val="15"/>
          <w:szCs w:val="15"/>
          <w:color w:val="auto"/>
        </w:rPr>
      </w:pPr>
      <w:r>
        <w:rPr>
          <w:rFonts w:ascii="Arial" w:cs="Arial" w:eastAsia="Arial" w:hAnsi="Arial"/>
          <w:sz w:val="12"/>
          <w:szCs w:val="12"/>
          <w:color w:val="auto"/>
        </w:rPr>
        <w:t>consolidated subsidiaries, unless the context indicates otherwise. Information on our website and any other website referenced herein is not incorporated by</w:t>
      </w:r>
    </w:p>
    <w:p>
      <w:pPr>
        <w:ind w:left="720" w:hanging="706"/>
        <w:spacing w:after="0" w:line="226"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3"/>
          <w:szCs w:val="13"/>
          <w:color w:val="auto"/>
        </w:rPr>
        <w:t>reference into, and does not constitute a part of, this proxy statement.</w:t>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6"/>
          <w:szCs w:val="16"/>
          <w:color w:val="auto"/>
        </w:rPr>
        <w:t>2026 Proxy Statement</w:t>
      </w:r>
      <w:r>
        <w:rPr>
          <w:sz w:val="20"/>
          <w:szCs w:val="20"/>
          <w:color w:val="auto"/>
        </w:rPr>
        <w:tab/>
      </w:r>
      <w:r>
        <w:rPr>
          <w:rFonts w:ascii="Arial" w:cs="Arial" w:eastAsia="Arial" w:hAnsi="Arial"/>
          <w:sz w:val="14"/>
          <w:szCs w:val="14"/>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-3223895</wp:posOffset>
            </wp:positionH>
            <wp:positionV relativeFrom="paragraph">
              <wp:posOffset>565150</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2">
            <w:col w:w="4300" w:space="100"/>
            <w:col w:w="5320"/>
          </w:cols>
          <w:pgMar w:left="1080" w:top="1257" w:right="10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32"/>
          <w:szCs w:val="32"/>
          <w:b w:val="1"/>
          <w:bCs w:val="1"/>
          <w:color w:val="auto"/>
        </w:rPr>
        <w:t>MESSAGE FROM OUR BOARD CHAIR</w:t>
      </w:r>
    </w:p>
    <w:p>
      <w:pPr>
        <w:sectPr>
          <w:pgSz w:w="11900" w:h="16838" w:orient="portrait"/>
          <w:cols w:equalWidth="0" w:num="1">
            <w:col w:w="9700"/>
          </w:cols>
          <w:pgMar w:left="1080" w:top="1108" w:right="111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Fellow Shareholders,</w:t>
      </w:r>
    </w:p>
    <w:p>
      <w:pPr>
        <w:spacing w:after="0" w:line="22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 behalf of the Board of Directors, I am pleased to reflect on APA’s performance in 2025 and the continued execution of our strategy to build a resilient, capital-efficient company positioned to deliver long-term shareholder value. Throughout the year, the Board remained focused on overseeing a disciplined strategy grounded in our core competencies, financial strength, and operational excellence. In a dynamic and often challenging macro environment, our company demonstrated the benefits of this approach through consistent execution, continued portfolio high-grading, and meaningful progress on key strategic priorities.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Strategic Performance</w:t>
      </w:r>
    </w:p>
    <w:p>
      <w:pPr>
        <w:spacing w:after="0" w:line="10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During 2025, we further strengthened the foundation of our portfolio. The Permian Basin continues to serve as a cornerstone of our business, supported by a deep and durable inventory capable of sustaining oil production for at least the next decade. In Egypt, our updated commercial terms and continued development activity are supporting the long-term potential of that asset base. In Suriname, the GranMorgu development remains on track toward first oil in mid-2028, a significant future growth catalyst for APA.</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also continued to expand and mature our exploration portfolio. In Alaska, we are working to further define the potential of our acreage position through upcoming drilling activity, while in Uruguay we maintain exposure to high-impact exploration opportunities.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Performance</w:t>
      </w:r>
    </w:p>
    <w:p>
      <w:pPr>
        <w:spacing w:after="0" w:line="10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Our financial priorities remain consistent: maintaining discipline, strengthening the balance sheet, and delivering returns to shareholders. In 2025, we reduced debt and returned more than 60% of free cash flow to shareholders through a combination of dividends and share repurchases. Equally important, APA continued to improve its financial resilience by lowering its cost structure and enhancing capital efficiency across the portfolio. These efforts reflect a sustained focus on allocating capital to the highest return opportunities and ensuring the business is well positioned to perform across commodity cycles.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Performance</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Operational execution was a key driver of performance in 2025. Across the portfolio, teams delivered reliable production while reducing costs and improving efficiency. In the Permian Basin, continued advancements in drilling and completion performance, combined with disciplined activity levels, supported strong capital efficiency and reinforced the long-term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value of our assets in the basin. In Egypt, we delivered growth in gas production and continued to build momentum through focused development activity. In the North Sea, operational improvements and cost reductions supported performance as APA continues to manage these late-life assets responsibly.</w:t>
      </w:r>
    </w:p>
    <w:p>
      <w:pPr>
        <w:spacing w:after="0" w:line="7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Importantly, APA achieved these results while maintaining a strong commitment to safety and environmental performance, supported by a culture focused on operational discipline.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Engagement</w:t>
      </w:r>
    </w:p>
    <w:p>
      <w:pPr>
        <w:spacing w:after="0" w:line="1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Engagement with our shareholders remains a critical component of the Board’s oversight. During the past year, APA reached out directly to shareholders representing approximately 68% of shares outstanding, including our top 10 largest shareholders. We held engagement meetings with shareholders representing approximately 41% of shares outstanding, and Board members participated in meetings representing 92% of the shares engaged. These discussions provided valuable feedback on a range of topics, including strategy, capital allocation, and executive compensation, and they continue to inform the Board’s decision-making and oversight.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Looking Ahead</w:t>
      </w:r>
    </w:p>
    <w:p>
      <w:pPr>
        <w:spacing w:after="0" w:line="10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 we look to the future, we are confident in APA’s positioning and the opportunities ahead. Our portfolio is anchored by durable assets in the Permian Basin and Egypt, complemented by high-impact exploration opportunities. Suriname provides long-term growth potential, with first oil expected in mid-2028, and our positions in Alaska and Uruguay provide further upside potential, while our Permian inventory offers both depth and flexibility. We also remain focused on further improving our cost structure and driving efficiencies across the organization, building on the significant progress already achieved.</w:t>
      </w:r>
    </w:p>
    <w:p>
      <w:pPr>
        <w:spacing w:after="0" w:line="8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On behalf of the entire Board, I would like to thank you for your continued investment in APA Corporation. We remain committed to delivering sustainable, long-term value as we execute our strategy and continue to help meet the world’s energy needs.</w:t>
      </w:r>
    </w:p>
    <w:p>
      <w:pPr>
        <w:spacing w:after="0" w:line="112"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800225" cy="8229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022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580" w:right="520"/>
        <w:spacing w:after="0" w:line="304" w:lineRule="auto"/>
        <w:rPr>
          <w:sz w:val="20"/>
          <w:szCs w:val="20"/>
          <w:color w:val="auto"/>
        </w:rPr>
      </w:pPr>
      <w:r>
        <w:rPr>
          <w:rFonts w:ascii="Arial" w:cs="Arial" w:eastAsia="Arial" w:hAnsi="Arial"/>
          <w:sz w:val="16"/>
          <w:szCs w:val="16"/>
          <w:b w:val="1"/>
          <w:bCs w:val="1"/>
          <w:color w:val="auto"/>
        </w:rPr>
        <w:t xml:space="preserve">H. Lamar McKay </w:t>
      </w:r>
      <w:r>
        <w:rPr>
          <w:rFonts w:ascii="Arial" w:cs="Arial" w:eastAsia="Arial" w:hAnsi="Arial"/>
          <w:sz w:val="16"/>
          <w:szCs w:val="16"/>
          <w:color w:val="auto"/>
        </w:rPr>
        <w:t>Non-Executive Chair of the Board</w:t>
      </w:r>
    </w:p>
    <w:p>
      <w:pPr>
        <w:spacing w:after="0" w:line="470" w:lineRule="exact"/>
        <w:rPr>
          <w:sz w:val="20"/>
          <w:szCs w:val="20"/>
          <w:color w:val="auto"/>
        </w:rPr>
      </w:pPr>
    </w:p>
    <w:p>
      <w:pPr>
        <w:sectPr>
          <w:pgSz w:w="11900" w:h="16838" w:orient="portrait"/>
          <w:cols w:equalWidth="0" w:num="2">
            <w:col w:w="4540" w:space="640"/>
            <w:col w:w="4520"/>
          </w:cols>
          <w:pgMar w:left="1080" w:top="1108" w:right="1119" w:bottom="1440" w:gutter="0" w:footer="0" w:header="0"/>
          <w:type w:val="continuous"/>
        </w:sectPr>
      </w:pPr>
    </w:p>
    <w:p>
      <w:pPr>
        <w:spacing w:after="0" w:line="211"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6"/>
          <w:szCs w:val="16"/>
          <w:b w:val="1"/>
          <w:bCs w:val="1"/>
          <w:color w:val="auto"/>
        </w:rPr>
        <w:t>ii</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556895</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08" w:right="11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32"/>
          <w:szCs w:val="32"/>
          <w:b w:val="1"/>
          <w:bCs w:val="1"/>
          <w:color w:val="auto"/>
        </w:rPr>
        <w:t>NOTICE OF ANNUAL MEETING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423"/>
        </w:trPr>
        <w:tc>
          <w:tcPr>
            <w:tcW w:w="2720" w:type="dxa"/>
            <w:vAlign w:val="bottom"/>
            <w:tcBorders>
              <w:top w:val="single" w:sz="8" w:color="auto"/>
              <w:bottom w:val="single" w:sz="8" w:color="F3F3F4"/>
            </w:tcBorders>
            <w:shd w:val="clear" w:color="auto" w:fill="F3F3F4"/>
          </w:tcPr>
          <w:p>
            <w:pPr>
              <w:ind w:left="100"/>
              <w:spacing w:after="0"/>
              <w:rPr>
                <w:sz w:val="20"/>
                <w:szCs w:val="20"/>
                <w:color w:val="auto"/>
              </w:rPr>
            </w:pPr>
            <w:r>
              <w:rPr>
                <w:rFonts w:ascii="Arial" w:cs="Arial" w:eastAsia="Arial" w:hAnsi="Arial"/>
                <w:sz w:val="22"/>
                <w:szCs w:val="22"/>
                <w:b w:val="1"/>
                <w:bCs w:val="1"/>
                <w:color w:val="auto"/>
              </w:rPr>
              <w:t>When</w:t>
            </w:r>
          </w:p>
        </w:tc>
        <w:tc>
          <w:tcPr>
            <w:tcW w:w="3680" w:type="dxa"/>
            <w:vAlign w:val="bottom"/>
            <w:tcBorders>
              <w:top w:val="single" w:sz="8" w:color="auto"/>
              <w:bottom w:val="single" w:sz="8" w:color="F3F3F4"/>
            </w:tcBorders>
            <w:shd w:val="clear" w:color="auto" w:fill="F3F3F4"/>
          </w:tcPr>
          <w:p>
            <w:pPr>
              <w:ind w:left="880"/>
              <w:spacing w:after="0"/>
              <w:rPr>
                <w:sz w:val="20"/>
                <w:szCs w:val="20"/>
                <w:color w:val="auto"/>
              </w:rPr>
            </w:pPr>
            <w:r>
              <w:rPr>
                <w:rFonts w:ascii="Arial" w:cs="Arial" w:eastAsia="Arial" w:hAnsi="Arial"/>
                <w:sz w:val="22"/>
                <w:szCs w:val="22"/>
                <w:b w:val="1"/>
                <w:bCs w:val="1"/>
                <w:color w:val="auto"/>
              </w:rPr>
              <w:t>Virtual-Only Meeting</w:t>
            </w:r>
          </w:p>
        </w:tc>
        <w:tc>
          <w:tcPr>
            <w:tcW w:w="3320" w:type="dxa"/>
            <w:vAlign w:val="bottom"/>
            <w:tcBorders>
              <w:top w:val="single" w:sz="8" w:color="auto"/>
              <w:bottom w:val="single" w:sz="8" w:color="F3F3F4"/>
            </w:tcBorders>
            <w:shd w:val="clear" w:color="auto" w:fill="F3F3F4"/>
          </w:tcPr>
          <w:p>
            <w:pPr>
              <w:ind w:left="540"/>
              <w:spacing w:after="0"/>
              <w:rPr>
                <w:sz w:val="20"/>
                <w:szCs w:val="20"/>
                <w:color w:val="auto"/>
              </w:rPr>
            </w:pPr>
            <w:r>
              <w:rPr>
                <w:rFonts w:ascii="Arial" w:cs="Arial" w:eastAsia="Arial" w:hAnsi="Arial"/>
                <w:sz w:val="22"/>
                <w:szCs w:val="22"/>
                <w:b w:val="1"/>
                <w:bCs w:val="1"/>
                <w:color w:val="auto"/>
              </w:rPr>
              <w:t>Record Date</w:t>
            </w:r>
          </w:p>
        </w:tc>
      </w:tr>
      <w:tr>
        <w:trPr>
          <w:trHeight w:val="249"/>
        </w:trPr>
        <w:tc>
          <w:tcPr>
            <w:tcW w:w="272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Thursday, May 21, 2026</w:t>
            </w:r>
          </w:p>
        </w:tc>
        <w:tc>
          <w:tcPr>
            <w:tcW w:w="3680" w:type="dxa"/>
            <w:vAlign w:val="bottom"/>
            <w:tcBorders>
              <w:top w:val="single" w:sz="8" w:color="auto"/>
            </w:tcBorders>
          </w:tcPr>
          <w:p>
            <w:pPr>
              <w:ind w:left="880"/>
              <w:spacing w:after="0"/>
              <w:rPr>
                <w:sz w:val="20"/>
                <w:szCs w:val="20"/>
                <w:color w:val="auto"/>
              </w:rPr>
            </w:pPr>
            <w:r>
              <w:rPr>
                <w:rFonts w:ascii="Arial" w:cs="Arial" w:eastAsia="Arial" w:hAnsi="Arial"/>
                <w:sz w:val="16"/>
                <w:szCs w:val="16"/>
                <w:color w:val="auto"/>
              </w:rPr>
              <w:t>Register in advance by visiting:</w:t>
            </w:r>
          </w:p>
        </w:tc>
        <w:tc>
          <w:tcPr>
            <w:tcW w:w="3320" w:type="dxa"/>
            <w:vAlign w:val="bottom"/>
            <w:tcBorders>
              <w:top w:val="single" w:sz="8" w:color="auto"/>
            </w:tcBorders>
          </w:tcPr>
          <w:p>
            <w:pPr>
              <w:ind w:left="540"/>
              <w:spacing w:after="0"/>
              <w:rPr>
                <w:sz w:val="20"/>
                <w:szCs w:val="20"/>
                <w:color w:val="auto"/>
              </w:rPr>
            </w:pPr>
            <w:r>
              <w:rPr>
                <w:rFonts w:ascii="Arial" w:cs="Arial" w:eastAsia="Arial" w:hAnsi="Arial"/>
                <w:sz w:val="16"/>
                <w:szCs w:val="16"/>
                <w:color w:val="auto"/>
              </w:rPr>
              <w:t>March 23, 2026</w:t>
            </w:r>
          </w:p>
        </w:tc>
      </w:tr>
      <w:tr>
        <w:trPr>
          <w:trHeight w:val="223"/>
        </w:trPr>
        <w:tc>
          <w:tcPr>
            <w:tcW w:w="2720" w:type="dxa"/>
            <w:vAlign w:val="bottom"/>
          </w:tcPr>
          <w:p>
            <w:pPr>
              <w:ind w:left="100"/>
              <w:spacing w:after="0"/>
              <w:rPr>
                <w:sz w:val="20"/>
                <w:szCs w:val="20"/>
                <w:color w:val="auto"/>
              </w:rPr>
            </w:pPr>
            <w:r>
              <w:rPr>
                <w:rFonts w:ascii="Arial" w:cs="Arial" w:eastAsia="Arial" w:hAnsi="Arial"/>
                <w:sz w:val="16"/>
                <w:szCs w:val="16"/>
                <w:color w:val="auto"/>
              </w:rPr>
              <w:t>10:00 AM Central</w:t>
            </w:r>
          </w:p>
        </w:tc>
        <w:tc>
          <w:tcPr>
            <w:tcW w:w="3680" w:type="dxa"/>
            <w:vAlign w:val="bottom"/>
          </w:tcPr>
          <w:p>
            <w:pPr>
              <w:ind w:left="880"/>
              <w:spacing w:after="0"/>
              <w:rPr>
                <w:sz w:val="20"/>
                <w:szCs w:val="20"/>
                <w:color w:val="auto"/>
              </w:rPr>
            </w:pPr>
            <w:r>
              <w:rPr>
                <w:rFonts w:ascii="Arial" w:cs="Arial" w:eastAsia="Arial" w:hAnsi="Arial"/>
                <w:sz w:val="16"/>
                <w:szCs w:val="16"/>
                <w:b w:val="1"/>
                <w:bCs w:val="1"/>
                <w:color w:val="auto"/>
              </w:rPr>
              <w:t>www.proxydocs.com/APA</w:t>
            </w:r>
          </w:p>
        </w:tc>
        <w:tc>
          <w:tcPr>
            <w:tcW w:w="3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38735</wp:posOffset>
            </wp:positionV>
            <wp:extent cx="61722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Items of Business</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2026 annual meeting of shareholders of APA Corporation, a Delaware corporation (the Company), will be held as specified above, in a virtual-only format, for the following purposes: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0" w:type="dxa"/>
            <w:vAlign w:val="bottom"/>
            <w:tcBorders>
              <w:top w:val="single" w:sz="8" w:color="auto"/>
            </w:tcBorders>
            <w:shd w:val="clear" w:color="auto" w:fill="F3F3F4"/>
          </w:tcPr>
          <w:p>
            <w:pPr>
              <w:spacing w:after="0"/>
              <w:rPr>
                <w:sz w:val="21"/>
                <w:szCs w:val="21"/>
                <w:color w:val="auto"/>
              </w:rPr>
            </w:pPr>
          </w:p>
        </w:tc>
        <w:tc>
          <w:tcPr>
            <w:tcW w:w="7260" w:type="dxa"/>
            <w:vAlign w:val="bottom"/>
            <w:tcBorders>
              <w:top w:val="single" w:sz="8" w:color="auto"/>
            </w:tcBorders>
            <w:shd w:val="clear" w:color="auto" w:fill="F3F3F4"/>
          </w:tcPr>
          <w:p>
            <w:pPr>
              <w:spacing w:after="0"/>
              <w:rPr>
                <w:sz w:val="21"/>
                <w:szCs w:val="21"/>
                <w:color w:val="auto"/>
              </w:rPr>
            </w:pPr>
          </w:p>
        </w:tc>
        <w:tc>
          <w:tcPr>
            <w:tcW w:w="2220" w:type="dxa"/>
            <w:vAlign w:val="bottom"/>
            <w:tcBorders>
              <w:top w:val="single" w:sz="8" w:color="auto"/>
            </w:tcBorders>
            <w:shd w:val="clear" w:color="auto" w:fill="F3F3F4"/>
          </w:tcPr>
          <w:p>
            <w:pPr>
              <w:ind w:left="280"/>
              <w:spacing w:after="0"/>
              <w:rPr>
                <w:sz w:val="20"/>
                <w:szCs w:val="20"/>
                <w:color w:val="auto"/>
              </w:rPr>
            </w:pPr>
            <w:r>
              <w:rPr>
                <w:rFonts w:ascii="Arial" w:cs="Arial" w:eastAsia="Arial" w:hAnsi="Arial"/>
                <w:sz w:val="16"/>
                <w:szCs w:val="16"/>
                <w:b w:val="1"/>
                <w:bCs w:val="1"/>
                <w:color w:val="auto"/>
              </w:rPr>
              <w:t>Board Voting</w:t>
            </w:r>
          </w:p>
        </w:tc>
      </w:tr>
      <w:tr>
        <w:trPr>
          <w:trHeight w:val="262"/>
        </w:trPr>
        <w:tc>
          <w:tcPr>
            <w:tcW w:w="7500" w:type="dxa"/>
            <w:vAlign w:val="bottom"/>
            <w:tcBorders>
              <w:bottom w:val="single" w:sz="8" w:color="F3F3F4"/>
            </w:tcBorders>
            <w:gridSpan w:val="2"/>
            <w:shd w:val="clear" w:color="auto" w:fill="F3F3F4"/>
          </w:tcPr>
          <w:p>
            <w:pPr>
              <w:ind w:left="100"/>
              <w:spacing w:after="0"/>
              <w:rPr>
                <w:sz w:val="20"/>
                <w:szCs w:val="20"/>
                <w:color w:val="auto"/>
              </w:rPr>
            </w:pPr>
            <w:r>
              <w:rPr>
                <w:rFonts w:ascii="Arial" w:cs="Arial" w:eastAsia="Arial" w:hAnsi="Arial"/>
                <w:sz w:val="16"/>
                <w:szCs w:val="16"/>
                <w:b w:val="1"/>
                <w:bCs w:val="1"/>
                <w:color w:val="auto"/>
              </w:rPr>
              <w:t>Proposal</w:t>
            </w:r>
          </w:p>
        </w:tc>
        <w:tc>
          <w:tcPr>
            <w:tcW w:w="2220" w:type="dxa"/>
            <w:vAlign w:val="bottom"/>
            <w:tcBorders>
              <w:bottom w:val="single" w:sz="8" w:color="F3F3F4"/>
            </w:tcBorders>
            <w:shd w:val="clear" w:color="auto" w:fill="F3F3F4"/>
          </w:tcPr>
          <w:p>
            <w:pPr>
              <w:ind w:left="280"/>
              <w:spacing w:after="0"/>
              <w:rPr>
                <w:sz w:val="20"/>
                <w:szCs w:val="20"/>
                <w:color w:val="auto"/>
              </w:rPr>
            </w:pPr>
            <w:r>
              <w:rPr>
                <w:rFonts w:ascii="Arial" w:cs="Arial" w:eastAsia="Arial" w:hAnsi="Arial"/>
                <w:sz w:val="16"/>
                <w:szCs w:val="16"/>
                <w:b w:val="1"/>
                <w:bCs w:val="1"/>
                <w:color w:val="auto"/>
              </w:rPr>
              <w:t>Recommendation</w:t>
            </w:r>
          </w:p>
        </w:tc>
      </w:tr>
      <w:tr>
        <w:trPr>
          <w:trHeight w:val="270"/>
        </w:trPr>
        <w:tc>
          <w:tcPr>
            <w:tcW w:w="24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1</w:t>
            </w:r>
          </w:p>
        </w:tc>
        <w:tc>
          <w:tcPr>
            <w:tcW w:w="72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Election of the ten directors named in this proxy statement to serve until the next annual meeting</w:t>
            </w:r>
          </w:p>
        </w:tc>
        <w:tc>
          <w:tcPr>
            <w:tcW w:w="2220" w:type="dxa"/>
            <w:vAlign w:val="bottom"/>
            <w:tcBorders>
              <w:top w:val="single" w:sz="8" w:color="auto"/>
            </w:tcBorders>
          </w:tcPr>
          <w:p>
            <w:pPr>
              <w:ind w:left="280"/>
              <w:spacing w:after="0" w:line="184" w:lineRule="exact"/>
              <w:rPr>
                <w:sz w:val="20"/>
                <w:szCs w:val="20"/>
                <w:color w:val="auto"/>
              </w:rPr>
            </w:pPr>
            <w:r>
              <w:rPr>
                <w:rFonts w:ascii="MS PGothic" w:cs="MS PGothic" w:eastAsia="MS PGothic" w:hAnsi="MS PGothic"/>
                <w:sz w:val="16"/>
                <w:szCs w:val="16"/>
                <w:color w:val="D9AB28"/>
              </w:rPr>
              <w:t>✓</w:t>
            </w:r>
            <w:r>
              <w:rPr>
                <w:rFonts w:ascii="Arial" w:cs="Arial" w:eastAsia="Arial" w:hAnsi="Arial"/>
                <w:sz w:val="16"/>
                <w:szCs w:val="16"/>
                <w:b w:val="1"/>
                <w:bCs w:val="1"/>
                <w:color w:val="auto"/>
              </w:rPr>
              <w:t xml:space="preserve"> FOR </w:t>
            </w:r>
            <w:r>
              <w:rPr>
                <w:rFonts w:ascii="Arial" w:cs="Arial" w:eastAsia="Arial" w:hAnsi="Arial"/>
                <w:sz w:val="16"/>
                <w:szCs w:val="16"/>
                <w:color w:val="auto"/>
              </w:rPr>
              <w:t>each nominee</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70"/>
        </w:trPr>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2</w:t>
            </w:r>
          </w:p>
        </w:tc>
        <w:tc>
          <w:tcPr>
            <w:tcW w:w="7260" w:type="dxa"/>
            <w:vAlign w:val="bottom"/>
          </w:tcPr>
          <w:p>
            <w:pPr>
              <w:ind w:left="60"/>
              <w:spacing w:after="0"/>
              <w:rPr>
                <w:sz w:val="20"/>
                <w:szCs w:val="20"/>
                <w:color w:val="auto"/>
              </w:rPr>
            </w:pPr>
            <w:r>
              <w:rPr>
                <w:rFonts w:ascii="Arial" w:cs="Arial" w:eastAsia="Arial" w:hAnsi="Arial"/>
                <w:sz w:val="16"/>
                <w:szCs w:val="16"/>
                <w:color w:val="auto"/>
              </w:rPr>
              <w:t>Ratification of appointment of Ernst &amp; Young LLP as the Company’s independent auditor</w:t>
            </w:r>
          </w:p>
        </w:tc>
        <w:tc>
          <w:tcPr>
            <w:tcW w:w="2220" w:type="dxa"/>
            <w:vAlign w:val="bottom"/>
          </w:tcPr>
          <w:p>
            <w:pPr>
              <w:ind w:left="280"/>
              <w:spacing w:after="0" w:line="184" w:lineRule="exact"/>
              <w:rPr>
                <w:sz w:val="20"/>
                <w:szCs w:val="20"/>
                <w:color w:val="auto"/>
              </w:rPr>
            </w:pPr>
            <w:r>
              <w:rPr>
                <w:rFonts w:ascii="MS PGothic" w:cs="MS PGothic" w:eastAsia="MS PGothic" w:hAnsi="MS PGothic"/>
                <w:sz w:val="16"/>
                <w:szCs w:val="16"/>
                <w:color w:val="D9AB28"/>
              </w:rPr>
              <w:t>✓</w:t>
            </w:r>
            <w:r>
              <w:rPr>
                <w:rFonts w:ascii="Arial" w:cs="Arial" w:eastAsia="Arial" w:hAnsi="Arial"/>
                <w:sz w:val="16"/>
                <w:szCs w:val="16"/>
                <w:b w:val="1"/>
                <w:bCs w:val="1"/>
                <w:color w:val="auto"/>
              </w:rPr>
              <w:t xml:space="preserve"> FOR</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70"/>
        </w:trPr>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3</w:t>
            </w:r>
          </w:p>
        </w:tc>
        <w:tc>
          <w:tcPr>
            <w:tcW w:w="7260" w:type="dxa"/>
            <w:vAlign w:val="bottom"/>
          </w:tcPr>
          <w:p>
            <w:pPr>
              <w:ind w:left="60"/>
              <w:spacing w:after="0"/>
              <w:rPr>
                <w:sz w:val="20"/>
                <w:szCs w:val="20"/>
                <w:color w:val="auto"/>
              </w:rPr>
            </w:pPr>
            <w:r>
              <w:rPr>
                <w:rFonts w:ascii="Arial" w:cs="Arial" w:eastAsia="Arial" w:hAnsi="Arial"/>
                <w:sz w:val="16"/>
                <w:szCs w:val="16"/>
                <w:color w:val="auto"/>
              </w:rPr>
              <w:t>Advisory vote to approve the compensation of the Company’s named executive officers (NEOs)</w:t>
            </w:r>
          </w:p>
        </w:tc>
        <w:tc>
          <w:tcPr>
            <w:tcW w:w="2220" w:type="dxa"/>
            <w:vAlign w:val="bottom"/>
          </w:tcPr>
          <w:p>
            <w:pPr>
              <w:ind w:left="280"/>
              <w:spacing w:after="0" w:line="184" w:lineRule="exact"/>
              <w:rPr>
                <w:sz w:val="20"/>
                <w:szCs w:val="20"/>
                <w:color w:val="auto"/>
              </w:rPr>
            </w:pPr>
            <w:r>
              <w:rPr>
                <w:rFonts w:ascii="MS PGothic" w:cs="MS PGothic" w:eastAsia="MS PGothic" w:hAnsi="MS PGothic"/>
                <w:sz w:val="16"/>
                <w:szCs w:val="16"/>
                <w:color w:val="D9AB28"/>
              </w:rPr>
              <w:t>✓</w:t>
            </w:r>
            <w:r>
              <w:rPr>
                <w:rFonts w:ascii="Arial" w:cs="Arial" w:eastAsia="Arial" w:hAnsi="Arial"/>
                <w:sz w:val="16"/>
                <w:szCs w:val="16"/>
                <w:b w:val="1"/>
                <w:bCs w:val="1"/>
                <w:color w:val="auto"/>
              </w:rPr>
              <w:t xml:space="preserve"> 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172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8" w:lineRule="exact"/>
        <w:rPr>
          <w:sz w:val="20"/>
          <w:szCs w:val="20"/>
          <w:color w:val="auto"/>
        </w:rPr>
      </w:pPr>
    </w:p>
    <w:p>
      <w:pPr>
        <w:ind w:left="300" w:right="1420" w:hanging="192"/>
        <w:spacing w:after="0" w:line="220" w:lineRule="exact"/>
        <w:tabs>
          <w:tab w:leader="none" w:pos="30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 xml:space="preserve">Approval of an amendment to the Company’s 2016 Omnibus Compensation Plan to extend its term and </w:t>
      </w:r>
      <w:r>
        <w:rPr>
          <w:rFonts w:ascii="MS PGothic" w:cs="MS PGothic" w:eastAsia="MS PGothic" w:hAnsi="MS PGothic"/>
          <w:sz w:val="16"/>
          <w:szCs w:val="16"/>
          <w:color w:val="D9AB28"/>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FOR</w:t>
      </w:r>
      <w:r>
        <w:rPr>
          <w:rFonts w:ascii="Arial" w:cs="Arial" w:eastAsia="Arial" w:hAnsi="Arial"/>
          <w:sz w:val="16"/>
          <w:szCs w:val="16"/>
          <w:color w:val="auto"/>
        </w:rPr>
        <w:t xml:space="preserve"> increase the shares authorized for issuance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6172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Shareholders will transact any other business that may properly come before the meeting or any adjournment or postponement thereof.</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and Virtual Attendance</w:t>
      </w:r>
    </w:p>
    <w:p>
      <w:pPr>
        <w:spacing w:after="0" w:line="10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Holders of record of the Company’s common stock as of the close of business on the record date set forth above are entitled to notice of, and to vote at, the annual meeting.</w:t>
      </w:r>
    </w:p>
    <w:p>
      <w:pPr>
        <w:spacing w:after="0" w:line="4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 xml:space="preserve">The Company’s annual meeting of shareholders will be held in a virtual-only format. Shareholders will not be able to attend the meeting in person. For details on attending the annual meeting virtually, please refer to the section titled </w:t>
      </w:r>
      <w:r>
        <w:rPr>
          <w:rFonts w:ascii="Arial" w:cs="Arial" w:eastAsia="Arial" w:hAnsi="Arial"/>
          <w:sz w:val="16"/>
          <w:szCs w:val="16"/>
          <w:i w:val="1"/>
          <w:iCs w:val="1"/>
          <w:color w:val="auto"/>
        </w:rPr>
        <w:t>How to Register for and Access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Virtual Meeting </w:t>
      </w:r>
      <w:r>
        <w:rPr>
          <w:rFonts w:ascii="Arial" w:cs="Arial" w:eastAsia="Arial" w:hAnsi="Arial"/>
          <w:sz w:val="16"/>
          <w:szCs w:val="16"/>
          <w:color w:val="auto"/>
        </w:rPr>
        <w:t>located near the end of this proxy statement.</w:t>
      </w:r>
    </w:p>
    <w:p>
      <w:pPr>
        <w:spacing w:after="0" w:line="63"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Whether or not you plan to attend the annual meeting virtually, we encourage you to vote as soon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possible. For specific instructions on how to vote your shares, please refer to the instructions in the Notice of Internet Availability of Proxy Materials you received in the mail, the section titled </w:t>
      </w:r>
      <w:r>
        <w:rPr>
          <w:rFonts w:ascii="Arial" w:cs="Arial" w:eastAsia="Arial" w:hAnsi="Arial"/>
          <w:sz w:val="16"/>
          <w:szCs w:val="16"/>
          <w:i w:val="1"/>
          <w:iCs w:val="1"/>
          <w:color w:val="auto"/>
        </w:rPr>
        <w:t>Voting</w:t>
      </w:r>
      <w:r>
        <w:rPr>
          <w:rFonts w:ascii="Arial" w:cs="Arial" w:eastAsia="Arial" w:hAnsi="Arial"/>
          <w:sz w:val="16"/>
          <w:szCs w:val="16"/>
          <w:color w:val="auto"/>
        </w:rPr>
        <w:t xml:space="preserve"> near the end of this proxy statement, or, if you requested to receive printed proxy materials, your enclosed proxy card.</w:t>
      </w:r>
    </w:p>
    <w:p>
      <w:pPr>
        <w:spacing w:after="0" w:line="70"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1979930" cy="822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79930" cy="8229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Kimberly O. Warnica</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Executive Vice President, Chief Legal Officer,</w:t>
      </w:r>
    </w:p>
    <w:p>
      <w:pPr>
        <w:spacing w:after="0" w:line="5"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and Corporate Secretary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APA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 W. Sam Houston Pkwy. S., Suite 200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Houston, Texas 77042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6176010" cy="638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6010" cy="63817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Annual Meeting of Shareholders to be held on May 21, 2026:</w:t>
      </w:r>
    </w:p>
    <w:p>
      <w:pPr>
        <w:spacing w:after="0" w:line="97" w:lineRule="exact"/>
        <w:rPr>
          <w:sz w:val="20"/>
          <w:szCs w:val="20"/>
          <w:color w:val="auto"/>
        </w:rPr>
      </w:pPr>
    </w:p>
    <w:p>
      <w:pPr>
        <w:jc w:val="center"/>
        <w:ind w:left="1100" w:right="720"/>
        <w:spacing w:after="0" w:line="296" w:lineRule="auto"/>
        <w:rPr>
          <w:sz w:val="20"/>
          <w:szCs w:val="20"/>
          <w:color w:val="auto"/>
        </w:rPr>
      </w:pPr>
      <w:r>
        <w:rPr>
          <w:rFonts w:ascii="Arial" w:cs="Arial" w:eastAsia="Arial" w:hAnsi="Arial"/>
          <w:sz w:val="16"/>
          <w:szCs w:val="16"/>
          <w:color w:val="auto"/>
        </w:rPr>
        <w:t xml:space="preserve">This proxy statement and the Company’s annual report on Form 10-K for the fiscal year ended December 31, 2025, are available free of charge at: </w:t>
      </w:r>
      <w:r>
        <w:rPr>
          <w:rFonts w:ascii="Arial" w:cs="Arial" w:eastAsia="Arial" w:hAnsi="Arial"/>
          <w:sz w:val="16"/>
          <w:szCs w:val="16"/>
          <w:b w:val="1"/>
          <w:bCs w:val="1"/>
          <w:color w:val="auto"/>
        </w:rPr>
        <w:t>www.proxydocs.com/APA</w:t>
      </w: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6"/>
          <w:szCs w:val="16"/>
          <w:color w:val="auto"/>
        </w:rPr>
        <w:t>2026 Proxy Statement</w:t>
      </w:r>
      <w:r>
        <w:rPr>
          <w:sz w:val="20"/>
          <w:szCs w:val="20"/>
          <w:color w:val="auto"/>
        </w:rPr>
        <w:tab/>
      </w:r>
      <w:r>
        <w:rPr>
          <w:rFonts w:ascii="Arial" w:cs="Arial" w:eastAsia="Arial" w:hAnsi="Arial"/>
          <w:sz w:val="16"/>
          <w:szCs w:val="16"/>
          <w:b w:val="1"/>
          <w:bCs w:val="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08" w:right="1099" w:bottom="1440" w:gutter="0" w:footer="0" w:header="0"/>
        </w:sectPr>
      </w:pPr>
    </w:p>
    <w:bookmarkStart w:id="5" w:name="page6"/>
    <w:bookmarkEnd w:id="5"/>
    <w:p>
      <w:pPr>
        <w:ind w:left="660"/>
        <w:spacing w:after="0"/>
        <w:rPr>
          <w:sz w:val="20"/>
          <w:szCs w:val="20"/>
          <w:color w:val="auto"/>
        </w:rPr>
      </w:pPr>
      <w:r>
        <w:rPr>
          <w:rFonts w:ascii="Arial" w:cs="Arial" w:eastAsia="Arial" w:hAnsi="Arial"/>
          <w:sz w:val="47"/>
          <w:szCs w:val="47"/>
          <w:color w:val="auto"/>
        </w:rPr>
        <w:drawing>
          <wp:anchor simplePos="0" relativeHeight="251657728" behindDoc="1" locked="0" layoutInCell="0" allowOverlap="1">
            <wp:simplePos x="0" y="0"/>
            <wp:positionH relativeFrom="page">
              <wp:posOffset>688340</wp:posOffset>
            </wp:positionH>
            <wp:positionV relativeFrom="page">
              <wp:posOffset>852170</wp:posOffset>
            </wp:positionV>
            <wp:extent cx="617220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0" cy="26035"/>
                    </a:xfrm>
                    <a:prstGeom prst="rect">
                      <a:avLst/>
                    </a:prstGeom>
                    <a:noFill/>
                  </pic:spPr>
                </pic:pic>
              </a:graphicData>
            </a:graphic>
          </wp:anchor>
        </w:drawing>
        <w:t>Proxy Statement</w:t>
      </w:r>
    </w:p>
    <w:p>
      <w:pPr>
        <w:spacing w:after="0" w:line="131" w:lineRule="exact"/>
        <w:rPr>
          <w:sz w:val="20"/>
          <w:szCs w:val="20"/>
          <w:color w:val="auto"/>
        </w:rPr>
      </w:pPr>
    </w:p>
    <w:p>
      <w:pPr>
        <w:ind w:left="660" w:right="940"/>
        <w:spacing w:after="0" w:line="286" w:lineRule="auto"/>
        <w:rPr>
          <w:sz w:val="20"/>
          <w:szCs w:val="20"/>
          <w:color w:val="auto"/>
        </w:rPr>
      </w:pPr>
      <w:r>
        <w:rPr>
          <w:rFonts w:ascii="Arial" w:cs="Arial" w:eastAsia="Arial" w:hAnsi="Arial"/>
          <w:sz w:val="16"/>
          <w:szCs w:val="16"/>
          <w:color w:val="auto"/>
        </w:rPr>
        <w:t>This proxy statement contains information about the Company’s 2026 annual meeting of shareholders and, along with any enclosed proxy card, is being made available to you by the Company’s Board of Directors (the Board) starting on or about April 9, 2026.</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auto"/>
        </w:rPr>
        <w:t>About APA Corporation</w:t>
      </w:r>
    </w:p>
    <w:p>
      <w:pPr>
        <w:spacing w:after="0" w:line="134" w:lineRule="exact"/>
        <w:rPr>
          <w:sz w:val="20"/>
          <w:szCs w:val="20"/>
          <w:color w:val="auto"/>
        </w:rPr>
      </w:pPr>
    </w:p>
    <w:p>
      <w:pPr>
        <w:ind w:left="660" w:right="1040"/>
        <w:spacing w:after="0" w:line="286" w:lineRule="auto"/>
        <w:rPr>
          <w:sz w:val="20"/>
          <w:szCs w:val="20"/>
          <w:color w:val="auto"/>
        </w:rPr>
      </w:pPr>
      <w:r>
        <w:rPr>
          <w:rFonts w:ascii="Arial" w:cs="Arial" w:eastAsia="Arial" w:hAnsi="Arial"/>
          <w:sz w:val="16"/>
          <w:szCs w:val="16"/>
          <w:color w:val="auto"/>
        </w:rPr>
        <w:t>The Company owns consolidated subsidiaries that explore for and produce oil and natural gas in the United States, Egypt, and the United Kingdom and that explore for oil and natural gas offshore Suriname and elsewhere.</w:t>
      </w:r>
    </w:p>
    <w:p>
      <w:pPr>
        <w:spacing w:after="0" w:line="48" w:lineRule="exact"/>
        <w:rPr>
          <w:sz w:val="20"/>
          <w:szCs w:val="20"/>
          <w:color w:val="auto"/>
        </w:rPr>
      </w:pPr>
    </w:p>
    <w:p>
      <w:pPr>
        <w:ind w:left="660" w:right="680"/>
        <w:spacing w:after="0" w:line="256" w:lineRule="auto"/>
        <w:rPr>
          <w:sz w:val="20"/>
          <w:szCs w:val="20"/>
          <w:color w:val="auto"/>
        </w:rPr>
      </w:pPr>
      <w:r>
        <w:rPr>
          <w:rFonts w:ascii="Arial" w:cs="Arial" w:eastAsia="Arial" w:hAnsi="Arial"/>
          <w:sz w:val="16"/>
          <w:szCs w:val="16"/>
          <w:color w:val="auto"/>
        </w:rPr>
        <w:t>Since 1954, our company has been unified by our values, culture, and commitment to building shareholder value, with a collective sense of purpose that empowers every employee to make decisions and achieve our goals. Our global team is brought together by a sense of ownership and the knowledge that the best answers win. We aim to be a community partner in our areas of operation, focused on protecting the safety and health of our employees, our communities, and the environment while continuously looking for more sustainable ways to operate.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auto"/>
        </w:rPr>
        <w:t>Purpose of the Annual Meeting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Company’s annual meeting, shareholders will vote on the following matters:</w:t>
      </w:r>
    </w:p>
    <w:p>
      <w:pPr>
        <w:spacing w:after="0" w:line="107"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200" w:type="dxa"/>
            <w:vAlign w:val="bottom"/>
            <w:tcBorders>
              <w:top w:val="single" w:sz="8" w:color="auto"/>
            </w:tcBorders>
            <w:shd w:val="clear" w:color="auto" w:fill="F3F3F4"/>
          </w:tcPr>
          <w:p>
            <w:pPr>
              <w:spacing w:after="0"/>
              <w:rPr>
                <w:sz w:val="23"/>
                <w:szCs w:val="23"/>
                <w:color w:val="auto"/>
              </w:rPr>
            </w:pPr>
          </w:p>
        </w:tc>
        <w:tc>
          <w:tcPr>
            <w:tcW w:w="7680" w:type="dxa"/>
            <w:vAlign w:val="bottom"/>
            <w:tcBorders>
              <w:top w:val="single" w:sz="8" w:color="auto"/>
            </w:tcBorders>
            <w:shd w:val="clear" w:color="auto" w:fill="F3F3F4"/>
          </w:tcPr>
          <w:p>
            <w:pPr>
              <w:spacing w:after="0"/>
              <w:rPr>
                <w:sz w:val="23"/>
                <w:szCs w:val="23"/>
                <w:color w:val="auto"/>
              </w:rPr>
            </w:pPr>
          </w:p>
        </w:tc>
        <w:tc>
          <w:tcPr>
            <w:tcW w:w="1840" w:type="dxa"/>
            <w:vAlign w:val="bottom"/>
            <w:tcBorders>
              <w:top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Board Voting</w:t>
            </w:r>
          </w:p>
        </w:tc>
      </w:tr>
      <w:tr>
        <w:trPr>
          <w:trHeight w:val="189"/>
        </w:trPr>
        <w:tc>
          <w:tcPr>
            <w:tcW w:w="7880" w:type="dxa"/>
            <w:vAlign w:val="bottom"/>
            <w:gridSpan w:val="2"/>
            <w:shd w:val="clear" w:color="auto" w:fill="F3F3F4"/>
          </w:tcPr>
          <w:p>
            <w:pPr>
              <w:spacing w:after="0"/>
              <w:rPr>
                <w:sz w:val="20"/>
                <w:szCs w:val="20"/>
                <w:color w:val="auto"/>
              </w:rPr>
            </w:pPr>
            <w:r>
              <w:rPr>
                <w:rFonts w:ascii="Arial" w:cs="Arial" w:eastAsia="Arial" w:hAnsi="Arial"/>
                <w:sz w:val="16"/>
                <w:szCs w:val="16"/>
                <w:b w:val="1"/>
                <w:bCs w:val="1"/>
                <w:color w:val="auto"/>
              </w:rPr>
              <w:t>Proposal</w:t>
            </w:r>
          </w:p>
        </w:tc>
        <w:tc>
          <w:tcPr>
            <w:tcW w:w="1840" w:type="dxa"/>
            <w:vAlign w:val="bottom"/>
            <w:shd w:val="clear" w:color="auto" w:fill="F3F3F4"/>
          </w:tcPr>
          <w:p>
            <w:pPr>
              <w:spacing w:after="0"/>
              <w:rPr>
                <w:sz w:val="20"/>
                <w:szCs w:val="20"/>
                <w:color w:val="auto"/>
              </w:rPr>
            </w:pPr>
            <w:r>
              <w:rPr>
                <w:rFonts w:ascii="Arial" w:cs="Arial" w:eastAsia="Arial" w:hAnsi="Arial"/>
                <w:sz w:val="16"/>
                <w:szCs w:val="16"/>
                <w:b w:val="1"/>
                <w:bCs w:val="1"/>
                <w:color w:val="auto"/>
              </w:rPr>
              <w:t>Recommendation</w:t>
            </w:r>
          </w:p>
        </w:tc>
      </w:tr>
      <w:tr>
        <w:trPr>
          <w:trHeight w:val="68"/>
        </w:trPr>
        <w:tc>
          <w:tcPr>
            <w:tcW w:w="200" w:type="dxa"/>
            <w:vAlign w:val="bottom"/>
            <w:tcBorders>
              <w:bottom w:val="single" w:sz="8" w:color="auto"/>
            </w:tcBorders>
            <w:shd w:val="clear" w:color="auto" w:fill="F3F3F4"/>
          </w:tcPr>
          <w:p>
            <w:pPr>
              <w:spacing w:after="0"/>
              <w:rPr>
                <w:sz w:val="5"/>
                <w:szCs w:val="5"/>
                <w:color w:val="auto"/>
              </w:rPr>
            </w:pPr>
          </w:p>
        </w:tc>
        <w:tc>
          <w:tcPr>
            <w:tcW w:w="7680" w:type="dxa"/>
            <w:vAlign w:val="bottom"/>
            <w:tcBorders>
              <w:bottom w:val="single" w:sz="8" w:color="auto"/>
            </w:tcBorders>
            <w:shd w:val="clear" w:color="auto" w:fill="F3F3F4"/>
          </w:tcPr>
          <w:p>
            <w:pPr>
              <w:spacing w:after="0"/>
              <w:rPr>
                <w:sz w:val="5"/>
                <w:szCs w:val="5"/>
                <w:color w:val="auto"/>
              </w:rPr>
            </w:pPr>
          </w:p>
        </w:tc>
        <w:tc>
          <w:tcPr>
            <w:tcW w:w="1840" w:type="dxa"/>
            <w:vAlign w:val="bottom"/>
            <w:tcBorders>
              <w:bottom w:val="single" w:sz="8" w:color="auto"/>
            </w:tcBorders>
            <w:shd w:val="clear" w:color="auto" w:fill="F3F3F4"/>
          </w:tcPr>
          <w:p>
            <w:pPr>
              <w:spacing w:after="0"/>
              <w:rPr>
                <w:sz w:val="5"/>
                <w:szCs w:val="5"/>
                <w:color w:val="auto"/>
              </w:rPr>
            </w:pPr>
          </w:p>
        </w:tc>
      </w:tr>
      <w:tr>
        <w:trPr>
          <w:trHeight w:val="279"/>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7680" w:type="dxa"/>
            <w:vAlign w:val="bottom"/>
          </w:tcPr>
          <w:p>
            <w:pPr>
              <w:ind w:left="120"/>
              <w:spacing w:after="0"/>
              <w:rPr>
                <w:sz w:val="20"/>
                <w:szCs w:val="20"/>
                <w:color w:val="auto"/>
              </w:rPr>
            </w:pPr>
            <w:r>
              <w:rPr>
                <w:rFonts w:ascii="Arial" w:cs="Arial" w:eastAsia="Arial" w:hAnsi="Arial"/>
                <w:sz w:val="16"/>
                <w:szCs w:val="16"/>
                <w:color w:val="auto"/>
              </w:rPr>
              <w:t>Election of the ten directors named in this proxy statement</w:t>
            </w:r>
          </w:p>
        </w:tc>
        <w:tc>
          <w:tcPr>
            <w:tcW w:w="1840" w:type="dxa"/>
            <w:vAlign w:val="bottom"/>
          </w:tcPr>
          <w:p>
            <w:pPr>
              <w:spacing w:after="0" w:line="184" w:lineRule="exact"/>
              <w:rPr>
                <w:sz w:val="20"/>
                <w:szCs w:val="20"/>
                <w:color w:val="auto"/>
              </w:rPr>
            </w:pPr>
            <w:r>
              <w:rPr>
                <w:rFonts w:ascii="MS PGothic" w:cs="MS PGothic" w:eastAsia="MS PGothic" w:hAnsi="MS PGothic"/>
                <w:sz w:val="15"/>
                <w:szCs w:val="15"/>
                <w:color w:val="D9AB28"/>
              </w:rPr>
              <w:t>✓</w:t>
            </w:r>
            <w:r>
              <w:rPr>
                <w:rFonts w:ascii="Arial" w:cs="Arial" w:eastAsia="Arial" w:hAnsi="Arial"/>
                <w:sz w:val="16"/>
                <w:szCs w:val="16"/>
                <w:b w:val="1"/>
                <w:bCs w:val="1"/>
                <w:color w:val="auto"/>
              </w:rPr>
              <w:t xml:space="preserve"> FOR </w:t>
            </w:r>
            <w:r>
              <w:rPr>
                <w:rFonts w:ascii="Arial" w:cs="Arial" w:eastAsia="Arial" w:hAnsi="Arial"/>
                <w:sz w:val="16"/>
                <w:szCs w:val="16"/>
                <w:color w:val="auto"/>
              </w:rPr>
              <w:t>each nominee</w:t>
            </w:r>
          </w:p>
        </w:tc>
      </w:tr>
      <w:tr>
        <w:trPr>
          <w:trHeight w:val="24"/>
        </w:trPr>
        <w:tc>
          <w:tcPr>
            <w:tcW w:w="20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0"/>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7680" w:type="dxa"/>
            <w:vAlign w:val="bottom"/>
          </w:tcPr>
          <w:p>
            <w:pPr>
              <w:ind w:left="120"/>
              <w:spacing w:after="0"/>
              <w:rPr>
                <w:sz w:val="20"/>
                <w:szCs w:val="20"/>
                <w:color w:val="auto"/>
              </w:rPr>
            </w:pPr>
            <w:r>
              <w:rPr>
                <w:rFonts w:ascii="Arial" w:cs="Arial" w:eastAsia="Arial" w:hAnsi="Arial"/>
                <w:sz w:val="16"/>
                <w:szCs w:val="16"/>
                <w:color w:val="auto"/>
              </w:rPr>
              <w:t>Ratification of appointment of Ernst &amp; Young LLP (EY) as the Company’s independent auditor</w:t>
            </w:r>
          </w:p>
        </w:tc>
        <w:tc>
          <w:tcPr>
            <w:tcW w:w="1840" w:type="dxa"/>
            <w:vAlign w:val="bottom"/>
          </w:tcPr>
          <w:p>
            <w:pPr>
              <w:spacing w:after="0" w:line="184" w:lineRule="exact"/>
              <w:rPr>
                <w:sz w:val="20"/>
                <w:szCs w:val="20"/>
                <w:color w:val="auto"/>
              </w:rPr>
            </w:pPr>
            <w:r>
              <w:rPr>
                <w:rFonts w:ascii="MS PGothic" w:cs="MS PGothic" w:eastAsia="MS PGothic" w:hAnsi="MS PGothic"/>
                <w:sz w:val="15"/>
                <w:szCs w:val="15"/>
                <w:color w:val="D9AB28"/>
              </w:rPr>
              <w:t>✓</w:t>
            </w:r>
            <w:r>
              <w:rPr>
                <w:rFonts w:ascii="Arial" w:cs="Arial" w:eastAsia="Arial" w:hAnsi="Arial"/>
                <w:sz w:val="16"/>
                <w:szCs w:val="16"/>
                <w:b w:val="1"/>
                <w:bCs w:val="1"/>
                <w:color w:val="auto"/>
              </w:rPr>
              <w:t xml:space="preserve"> FOR</w:t>
            </w:r>
          </w:p>
        </w:tc>
      </w:tr>
      <w:tr>
        <w:trPr>
          <w:trHeight w:val="24"/>
        </w:trPr>
        <w:tc>
          <w:tcPr>
            <w:tcW w:w="20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0"/>
        </w:trPr>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7680" w:type="dxa"/>
            <w:vAlign w:val="bottom"/>
          </w:tcPr>
          <w:p>
            <w:pPr>
              <w:ind w:left="120"/>
              <w:spacing w:after="0"/>
              <w:rPr>
                <w:sz w:val="20"/>
                <w:szCs w:val="20"/>
                <w:color w:val="auto"/>
              </w:rPr>
            </w:pPr>
            <w:r>
              <w:rPr>
                <w:rFonts w:ascii="Arial" w:cs="Arial" w:eastAsia="Arial" w:hAnsi="Arial"/>
                <w:sz w:val="16"/>
                <w:szCs w:val="16"/>
                <w:color w:val="auto"/>
              </w:rPr>
              <w:t>Advisory vote to approve the compensation of the Company’s NEOs</w:t>
            </w:r>
          </w:p>
        </w:tc>
        <w:tc>
          <w:tcPr>
            <w:tcW w:w="1840" w:type="dxa"/>
            <w:vAlign w:val="bottom"/>
          </w:tcPr>
          <w:p>
            <w:pPr>
              <w:spacing w:after="0" w:line="184" w:lineRule="exact"/>
              <w:rPr>
                <w:sz w:val="20"/>
                <w:szCs w:val="20"/>
                <w:color w:val="auto"/>
              </w:rPr>
            </w:pPr>
            <w:r>
              <w:rPr>
                <w:rFonts w:ascii="MS PGothic" w:cs="MS PGothic" w:eastAsia="MS PGothic" w:hAnsi="MS PGothic"/>
                <w:sz w:val="15"/>
                <w:szCs w:val="15"/>
                <w:color w:val="D9AB28"/>
              </w:rPr>
              <w:t>✓</w:t>
            </w:r>
            <w:r>
              <w:rPr>
                <w:rFonts w:ascii="Arial" w:cs="Arial" w:eastAsia="Arial" w:hAnsi="Arial"/>
                <w:sz w:val="16"/>
                <w:szCs w:val="16"/>
                <w:b w:val="1"/>
                <w:bCs w:val="1"/>
                <w:color w:val="auto"/>
              </w:rPr>
              <w:t xml:space="preserve"> FOR</w:t>
            </w:r>
          </w:p>
        </w:tc>
      </w:tr>
      <w:tr>
        <w:trPr>
          <w:trHeight w:val="25"/>
        </w:trPr>
        <w:tc>
          <w:tcPr>
            <w:tcW w:w="20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2"/>
        </w:trPr>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7680" w:type="dxa"/>
            <w:vAlign w:val="bottom"/>
          </w:tcPr>
          <w:p>
            <w:pPr>
              <w:ind w:left="120"/>
              <w:spacing w:after="0"/>
              <w:rPr>
                <w:sz w:val="20"/>
                <w:szCs w:val="20"/>
                <w:color w:val="auto"/>
              </w:rPr>
            </w:pPr>
            <w:r>
              <w:rPr>
                <w:rFonts w:ascii="Arial" w:cs="Arial" w:eastAsia="Arial" w:hAnsi="Arial"/>
                <w:sz w:val="16"/>
                <w:szCs w:val="16"/>
                <w:color w:val="auto"/>
              </w:rPr>
              <w:t>Approval of an amendment (the Amendment) to the Company’s 2016 Omnibus Compensation Plan (the</w:t>
            </w:r>
          </w:p>
        </w:tc>
        <w:tc>
          <w:tcPr>
            <w:tcW w:w="1840" w:type="dxa"/>
            <w:vAlign w:val="bottom"/>
          </w:tcPr>
          <w:p>
            <w:pPr>
              <w:spacing w:after="0" w:line="184" w:lineRule="exact"/>
              <w:rPr>
                <w:sz w:val="20"/>
                <w:szCs w:val="20"/>
                <w:color w:val="auto"/>
              </w:rPr>
            </w:pPr>
            <w:r>
              <w:rPr>
                <w:rFonts w:ascii="MS PGothic" w:cs="MS PGothic" w:eastAsia="MS PGothic" w:hAnsi="MS PGothic"/>
                <w:sz w:val="15"/>
                <w:szCs w:val="15"/>
                <w:color w:val="D9AB28"/>
              </w:rPr>
              <w:t>✓</w:t>
            </w:r>
            <w:r>
              <w:rPr>
                <w:rFonts w:ascii="Arial" w:cs="Arial" w:eastAsia="Arial" w:hAnsi="Arial"/>
                <w:sz w:val="16"/>
                <w:szCs w:val="16"/>
                <w:b w:val="1"/>
                <w:bCs w:val="1"/>
                <w:color w:val="auto"/>
              </w:rPr>
              <w:t xml:space="preserve"> FOR</w:t>
            </w:r>
          </w:p>
        </w:tc>
      </w:tr>
      <w:tr>
        <w:trPr>
          <w:trHeight w:val="215"/>
        </w:trPr>
        <w:tc>
          <w:tcPr>
            <w:tcW w:w="200" w:type="dxa"/>
            <w:vAlign w:val="bottom"/>
          </w:tcPr>
          <w:p>
            <w:pPr>
              <w:spacing w:after="0"/>
              <w:rPr>
                <w:sz w:val="18"/>
                <w:szCs w:val="18"/>
                <w:color w:val="auto"/>
              </w:rPr>
            </w:pPr>
          </w:p>
        </w:tc>
        <w:tc>
          <w:tcPr>
            <w:tcW w:w="7680" w:type="dxa"/>
            <w:vAlign w:val="bottom"/>
          </w:tcPr>
          <w:p>
            <w:pPr>
              <w:ind w:left="120"/>
              <w:spacing w:after="0"/>
              <w:rPr>
                <w:sz w:val="20"/>
                <w:szCs w:val="20"/>
                <w:color w:val="auto"/>
              </w:rPr>
            </w:pPr>
            <w:r>
              <w:rPr>
                <w:rFonts w:ascii="Arial" w:cs="Arial" w:eastAsia="Arial" w:hAnsi="Arial"/>
                <w:sz w:val="16"/>
                <w:szCs w:val="16"/>
                <w:color w:val="auto"/>
              </w:rPr>
              <w:t>2016 Plan) to extend its term and increase the shares authorized for issuance thereunder</w:t>
            </w:r>
          </w:p>
        </w:tc>
        <w:tc>
          <w:tcPr>
            <w:tcW w:w="1840" w:type="dxa"/>
            <w:vAlign w:val="bottom"/>
          </w:tcPr>
          <w:p>
            <w:pPr>
              <w:spacing w:after="0"/>
              <w:rPr>
                <w:sz w:val="18"/>
                <w:szCs w:val="18"/>
                <w:color w:val="auto"/>
              </w:rPr>
            </w:pPr>
          </w:p>
        </w:tc>
      </w:tr>
      <w:tr>
        <w:trPr>
          <w:trHeight w:val="42"/>
        </w:trPr>
        <w:tc>
          <w:tcPr>
            <w:tcW w:w="200" w:type="dxa"/>
            <w:vAlign w:val="bottom"/>
            <w:tcBorders>
              <w:bottom w:val="single" w:sz="8" w:color="auto"/>
            </w:tcBorders>
          </w:tcPr>
          <w:p>
            <w:pPr>
              <w:spacing w:after="0"/>
              <w:rPr>
                <w:sz w:val="3"/>
                <w:szCs w:val="3"/>
                <w:color w:val="auto"/>
              </w:rPr>
            </w:pPr>
          </w:p>
        </w:tc>
        <w:tc>
          <w:tcPr>
            <w:tcW w:w="76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r>
    </w:tbl>
    <w:p>
      <w:pPr>
        <w:spacing w:after="0" w:line="94" w:lineRule="exact"/>
        <w:rPr>
          <w:sz w:val="20"/>
          <w:szCs w:val="20"/>
          <w:color w:val="auto"/>
        </w:rPr>
      </w:pPr>
    </w:p>
    <w:p>
      <w:pPr>
        <w:ind w:left="660" w:right="780"/>
        <w:spacing w:after="0" w:line="266" w:lineRule="auto"/>
        <w:rPr>
          <w:sz w:val="20"/>
          <w:szCs w:val="20"/>
          <w:color w:val="auto"/>
        </w:rPr>
      </w:pPr>
      <w:r>
        <w:rPr>
          <w:rFonts w:ascii="Arial" w:cs="Arial" w:eastAsia="Arial" w:hAnsi="Arial"/>
          <w:sz w:val="16"/>
          <w:szCs w:val="16"/>
          <w:color w:val="auto"/>
        </w:rPr>
        <w:t>Any other business that properly comes before the meeting may also be transacted. As of the date of this proxy statement, the Company is not aware of any other business to come before the meeting. For complete information on who can vote, how to vote, and the votes needed for approval of the above items, please see the Other Information section near the end of this proxy statement.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Your vote is very important. Please vote your shares in advance, even if you plan to attend the annual meeting virtually.</w:t>
      </w:r>
    </w:p>
    <w:p>
      <w:pPr>
        <w:spacing w:after="0" w:line="107"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2300" w:type="dxa"/>
            <w:vAlign w:val="bottom"/>
            <w:tcBorders>
              <w:top w:val="single" w:sz="8" w:color="auto"/>
            </w:tcBorders>
            <w:shd w:val="clear" w:color="auto" w:fill="F3F3F4"/>
          </w:tcPr>
          <w:p>
            <w:pPr>
              <w:ind w:left="820"/>
              <w:spacing w:after="0"/>
              <w:rPr>
                <w:sz w:val="20"/>
                <w:szCs w:val="20"/>
                <w:color w:val="auto"/>
              </w:rPr>
            </w:pPr>
            <w:r>
              <w:rPr>
                <w:rFonts w:ascii="Arial" w:cs="Arial" w:eastAsia="Arial" w:hAnsi="Arial"/>
                <w:sz w:val="16"/>
                <w:szCs w:val="16"/>
                <w:b w:val="1"/>
                <w:bCs w:val="1"/>
                <w:color w:val="auto"/>
              </w:rPr>
              <w:t>Internet</w:t>
            </w:r>
          </w:p>
        </w:tc>
        <w:tc>
          <w:tcPr>
            <w:tcW w:w="2660" w:type="dxa"/>
            <w:vAlign w:val="bottom"/>
            <w:tcBorders>
              <w:top w:val="single" w:sz="8" w:color="auto"/>
            </w:tcBorders>
            <w:shd w:val="clear" w:color="auto" w:fill="F3F3F4"/>
          </w:tcPr>
          <w:p>
            <w:pPr>
              <w:ind w:left="860"/>
              <w:spacing w:after="0"/>
              <w:rPr>
                <w:sz w:val="20"/>
                <w:szCs w:val="20"/>
                <w:color w:val="auto"/>
              </w:rPr>
            </w:pPr>
            <w:r>
              <w:rPr>
                <w:rFonts w:ascii="Arial" w:cs="Arial" w:eastAsia="Arial" w:hAnsi="Arial"/>
                <w:sz w:val="16"/>
                <w:szCs w:val="16"/>
                <w:b w:val="1"/>
                <w:bCs w:val="1"/>
                <w:color w:val="auto"/>
              </w:rPr>
              <w:t>Telephone</w:t>
            </w:r>
          </w:p>
        </w:tc>
        <w:tc>
          <w:tcPr>
            <w:tcW w:w="2000" w:type="dxa"/>
            <w:vAlign w:val="bottom"/>
            <w:tcBorders>
              <w:top w:val="single" w:sz="8" w:color="auto"/>
            </w:tcBorders>
            <w:shd w:val="clear" w:color="auto" w:fill="F3F3F4"/>
          </w:tcPr>
          <w:p>
            <w:pPr>
              <w:ind w:left="980"/>
              <w:spacing w:after="0"/>
              <w:rPr>
                <w:sz w:val="20"/>
                <w:szCs w:val="20"/>
                <w:color w:val="auto"/>
              </w:rPr>
            </w:pPr>
            <w:r>
              <w:rPr>
                <w:rFonts w:ascii="Arial" w:cs="Arial" w:eastAsia="Arial" w:hAnsi="Arial"/>
                <w:sz w:val="16"/>
                <w:szCs w:val="16"/>
                <w:b w:val="1"/>
                <w:bCs w:val="1"/>
                <w:color w:val="auto"/>
              </w:rPr>
              <w:t>Mail</w:t>
            </w:r>
          </w:p>
        </w:tc>
        <w:tc>
          <w:tcPr>
            <w:tcW w:w="2760" w:type="dxa"/>
            <w:vAlign w:val="bottom"/>
            <w:tcBorders>
              <w:top w:val="single" w:sz="8" w:color="auto"/>
            </w:tcBorders>
            <w:shd w:val="clear" w:color="auto" w:fill="F3F3F4"/>
          </w:tcPr>
          <w:p>
            <w:pPr>
              <w:ind w:left="720"/>
              <w:spacing w:after="0"/>
              <w:rPr>
                <w:sz w:val="20"/>
                <w:szCs w:val="20"/>
                <w:color w:val="auto"/>
              </w:rPr>
            </w:pPr>
            <w:r>
              <w:rPr>
                <w:rFonts w:ascii="Arial" w:cs="Arial" w:eastAsia="Arial" w:hAnsi="Arial"/>
                <w:sz w:val="16"/>
                <w:szCs w:val="16"/>
                <w:b w:val="1"/>
                <w:bCs w:val="1"/>
                <w:color w:val="auto"/>
              </w:rPr>
              <w:t>Virtual Annual Meeting</w:t>
            </w:r>
          </w:p>
        </w:tc>
      </w:tr>
      <w:tr>
        <w:trPr>
          <w:trHeight w:val="68"/>
        </w:trPr>
        <w:tc>
          <w:tcPr>
            <w:tcW w:w="2300" w:type="dxa"/>
            <w:vAlign w:val="bottom"/>
            <w:tcBorders>
              <w:bottom w:val="single" w:sz="8" w:color="auto"/>
            </w:tcBorders>
            <w:shd w:val="clear" w:color="auto" w:fill="F3F3F4"/>
          </w:tcPr>
          <w:p>
            <w:pPr>
              <w:spacing w:after="0"/>
              <w:rPr>
                <w:sz w:val="5"/>
                <w:szCs w:val="5"/>
                <w:color w:val="auto"/>
              </w:rPr>
            </w:pPr>
          </w:p>
        </w:tc>
        <w:tc>
          <w:tcPr>
            <w:tcW w:w="2660" w:type="dxa"/>
            <w:vAlign w:val="bottom"/>
            <w:tcBorders>
              <w:bottom w:val="single" w:sz="8" w:color="auto"/>
            </w:tcBorders>
            <w:shd w:val="clear" w:color="auto" w:fill="F3F3F4"/>
          </w:tcPr>
          <w:p>
            <w:pPr>
              <w:spacing w:after="0"/>
              <w:rPr>
                <w:sz w:val="5"/>
                <w:szCs w:val="5"/>
                <w:color w:val="auto"/>
              </w:rPr>
            </w:pPr>
          </w:p>
        </w:tc>
        <w:tc>
          <w:tcPr>
            <w:tcW w:w="2000" w:type="dxa"/>
            <w:vAlign w:val="bottom"/>
            <w:tcBorders>
              <w:bottom w:val="single" w:sz="8" w:color="auto"/>
            </w:tcBorders>
            <w:shd w:val="clear" w:color="auto" w:fill="F3F3F4"/>
          </w:tcPr>
          <w:p>
            <w:pPr>
              <w:spacing w:after="0"/>
              <w:rPr>
                <w:sz w:val="5"/>
                <w:szCs w:val="5"/>
                <w:color w:val="auto"/>
              </w:rPr>
            </w:pPr>
          </w:p>
        </w:tc>
        <w:tc>
          <w:tcPr>
            <w:tcW w:w="2760" w:type="dxa"/>
            <w:vAlign w:val="bottom"/>
            <w:tcBorders>
              <w:bottom w:val="single" w:sz="8" w:color="auto"/>
            </w:tcBorders>
            <w:shd w:val="clear" w:color="auto" w:fill="F3F3F4"/>
          </w:tcPr>
          <w:p>
            <w:pPr>
              <w:spacing w:after="0"/>
              <w:rPr>
                <w:sz w:val="5"/>
                <w:szCs w:val="5"/>
                <w:color w:val="auto"/>
              </w:rPr>
            </w:pPr>
          </w:p>
        </w:tc>
      </w:tr>
    </w:tbl>
    <w:p>
      <w:pPr>
        <w:spacing w:after="0" w:line="53" w:lineRule="exact"/>
        <w:rPr>
          <w:sz w:val="20"/>
          <w:szCs w:val="20"/>
          <w:color w:val="auto"/>
        </w:rPr>
      </w:pPr>
    </w:p>
    <w:p>
      <w:pPr>
        <w:sectPr>
          <w:pgSz w:w="11900" w:h="16838" w:orient="portrait"/>
          <w:cols w:equalWidth="0" w:num="1">
            <w:col w:w="11040"/>
          </w:cols>
          <w:pgMar w:left="420" w:top="1344" w:right="439" w:bottom="1440" w:gutter="0" w:footer="0" w:header="0"/>
        </w:sectPr>
      </w:pPr>
    </w:p>
    <w:p>
      <w:pPr>
        <w:ind w:left="720"/>
        <w:spacing w:after="0" w:line="266" w:lineRule="auto"/>
        <w:rPr>
          <w:sz w:val="20"/>
          <w:szCs w:val="20"/>
          <w:color w:val="auto"/>
        </w:rPr>
      </w:pPr>
      <w:r>
        <w:rPr>
          <w:rFonts w:ascii="Arial" w:cs="Arial" w:eastAsia="Arial" w:hAnsi="Arial"/>
          <w:sz w:val="16"/>
          <w:szCs w:val="16"/>
          <w:color w:val="auto"/>
        </w:rPr>
        <w:t>Follow the instructions on the proxy card or other voting materials you received.</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6"/>
          <w:szCs w:val="16"/>
          <w:color w:val="auto"/>
        </w:rPr>
        <w:t>Call the number provided on the voting materials and follow the prompts to vote.</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Arial" w:cs="Arial" w:eastAsia="Arial" w:hAnsi="Arial"/>
          <w:sz w:val="16"/>
          <w:szCs w:val="16"/>
          <w:color w:val="auto"/>
        </w:rPr>
        <w:t>Complete and return the proxy card included with the materials sent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14605</wp:posOffset>
            </wp:positionV>
            <wp:extent cx="61722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80"/>
        <w:spacing w:after="0" w:line="266" w:lineRule="auto"/>
        <w:rPr>
          <w:sz w:val="20"/>
          <w:szCs w:val="20"/>
          <w:color w:val="auto"/>
        </w:rPr>
      </w:pPr>
      <w:r>
        <w:rPr>
          <w:rFonts w:ascii="Arial" w:cs="Arial" w:eastAsia="Arial" w:hAnsi="Arial"/>
          <w:sz w:val="16"/>
          <w:szCs w:val="16"/>
          <w:color w:val="auto"/>
        </w:rPr>
        <w:t>Vote during the virtual annual meeting as described in this proxy statement.</w:t>
      </w:r>
    </w:p>
    <w:p>
      <w:pPr>
        <w:spacing w:after="0" w:line="200" w:lineRule="exact"/>
        <w:rPr>
          <w:sz w:val="20"/>
          <w:szCs w:val="20"/>
          <w:color w:val="auto"/>
        </w:rPr>
      </w:pPr>
    </w:p>
    <w:p>
      <w:pPr>
        <w:sectPr>
          <w:pgSz w:w="11900" w:h="16838" w:orient="portrait"/>
          <w:cols w:equalWidth="0" w:num="4">
            <w:col w:w="2820" w:space="200"/>
            <w:col w:w="2300" w:space="220"/>
            <w:col w:w="2260" w:space="260"/>
            <w:col w:w="2980"/>
          </w:cols>
          <w:pgMar w:left="420" w:top="1344" w:right="439" w:bottom="1440" w:gutter="0" w:footer="0" w:header="0"/>
          <w:type w:val="continuous"/>
        </w:sect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40" w:type="dxa"/>
            <w:vAlign w:val="bottom"/>
          </w:tcPr>
          <w:p>
            <w:pPr>
              <w:ind w:left="8380"/>
              <w:spacing w:after="0"/>
              <w:rPr>
                <w:sz w:val="20"/>
                <w:szCs w:val="20"/>
                <w:color w:val="auto"/>
              </w:rPr>
            </w:pPr>
            <w:r>
              <w:rPr>
                <w:rFonts w:ascii="Arial" w:cs="Arial" w:eastAsia="Arial" w:hAnsi="Arial"/>
                <w:sz w:val="16"/>
                <w:szCs w:val="16"/>
                <w:color w:val="auto"/>
              </w:rPr>
              <w:t>2026 Proxy Statement</w:t>
            </w:r>
          </w:p>
        </w:tc>
        <w:tc>
          <w:tcPr>
            <w:tcW w:w="900" w:type="dxa"/>
            <w:vAlign w:val="bottom"/>
          </w:tcPr>
          <w:p>
            <w:pPr>
              <w:jc w:val="right"/>
              <w:ind w:right="579"/>
              <w:spacing w:after="0"/>
              <w:rPr>
                <w:sz w:val="20"/>
                <w:szCs w:val="20"/>
                <w:color w:val="auto"/>
              </w:rPr>
            </w:pPr>
            <w:r>
              <w:rPr>
                <w:rFonts w:ascii="Arial" w:cs="Arial" w:eastAsia="Arial" w:hAnsi="Arial"/>
                <w:sz w:val="16"/>
                <w:szCs w:val="16"/>
                <w:b w:val="1"/>
                <w:bCs w:val="1"/>
                <w:color w:val="auto"/>
              </w:rPr>
              <w:t>1</w:t>
            </w:r>
          </w:p>
        </w:tc>
      </w:tr>
      <w:tr>
        <w:trPr>
          <w:trHeight w:val="878"/>
        </w:trPr>
        <w:tc>
          <w:tcPr>
            <w:tcW w:w="10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344" w:right="4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32"/>
          <w:szCs w:val="32"/>
          <w:b w:val="1"/>
          <w:bCs w:val="1"/>
          <w:color w:val="auto"/>
        </w:rPr>
        <w:t>CORPORATE GOVERNANCE</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Committees, Meetings, and Responsibilities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20" w:type="dxa"/>
            <w:vAlign w:val="bottom"/>
            <w:tcBorders>
              <w:top w:val="single" w:sz="8" w:color="auto"/>
            </w:tcBorders>
            <w:shd w:val="clear" w:color="auto" w:fill="F3F3F4"/>
          </w:tcPr>
          <w:p>
            <w:pPr>
              <w:spacing w:after="0"/>
              <w:rPr>
                <w:sz w:val="21"/>
                <w:szCs w:val="21"/>
                <w:color w:val="auto"/>
              </w:rPr>
            </w:pPr>
          </w:p>
        </w:tc>
        <w:tc>
          <w:tcPr>
            <w:tcW w:w="1200" w:type="dxa"/>
            <w:vAlign w:val="bottom"/>
            <w:tcBorders>
              <w:top w:val="single" w:sz="8" w:color="auto"/>
            </w:tcBorders>
            <w:shd w:val="clear" w:color="auto" w:fill="F3F3F4"/>
          </w:tcPr>
          <w:p>
            <w:pPr>
              <w:spacing w:after="0"/>
              <w:rPr>
                <w:sz w:val="21"/>
                <w:szCs w:val="21"/>
                <w:color w:val="auto"/>
              </w:rPr>
            </w:pPr>
          </w:p>
        </w:tc>
        <w:tc>
          <w:tcPr>
            <w:tcW w:w="1560" w:type="dxa"/>
            <w:vAlign w:val="bottom"/>
            <w:tcBorders>
              <w:top w:val="single" w:sz="8" w:color="auto"/>
            </w:tcBorders>
            <w:shd w:val="clear" w:color="auto" w:fill="F3F3F4"/>
          </w:tcPr>
          <w:p>
            <w:pPr>
              <w:spacing w:after="0"/>
              <w:rPr>
                <w:sz w:val="21"/>
                <w:szCs w:val="21"/>
                <w:color w:val="auto"/>
              </w:rPr>
            </w:pPr>
          </w:p>
        </w:tc>
        <w:tc>
          <w:tcPr>
            <w:tcW w:w="2040" w:type="dxa"/>
            <w:vAlign w:val="bottom"/>
            <w:tcBorders>
              <w:top w:val="single" w:sz="8" w:color="auto"/>
            </w:tcBorders>
            <w:shd w:val="clear" w:color="auto" w:fill="F3F3F4"/>
          </w:tcPr>
          <w:p>
            <w:pPr>
              <w:jc w:val="center"/>
              <w:spacing w:after="0"/>
              <w:rPr>
                <w:sz w:val="20"/>
                <w:szCs w:val="20"/>
                <w:color w:val="auto"/>
              </w:rPr>
            </w:pPr>
            <w:r>
              <w:rPr>
                <w:rFonts w:ascii="Arial" w:cs="Arial" w:eastAsia="Arial" w:hAnsi="Arial"/>
                <w:sz w:val="16"/>
                <w:szCs w:val="16"/>
                <w:b w:val="1"/>
                <w:bCs w:val="1"/>
                <w:color w:val="auto"/>
              </w:rPr>
              <w:t>Corporate</w:t>
            </w:r>
          </w:p>
        </w:tc>
        <w:tc>
          <w:tcPr>
            <w:tcW w:w="860" w:type="dxa"/>
            <w:vAlign w:val="bottom"/>
            <w:tcBorders>
              <w:top w:val="single" w:sz="8" w:color="auto"/>
            </w:tcBorders>
            <w:shd w:val="clear" w:color="auto" w:fill="F3F3F4"/>
          </w:tcPr>
          <w:p>
            <w:pPr>
              <w:jc w:val="center"/>
              <w:spacing w:after="0"/>
              <w:rPr>
                <w:sz w:val="20"/>
                <w:szCs w:val="20"/>
                <w:color w:val="auto"/>
              </w:rPr>
            </w:pPr>
            <w:r>
              <w:rPr>
                <w:rFonts w:ascii="Arial" w:cs="Arial" w:eastAsia="Arial" w:hAnsi="Arial"/>
                <w:sz w:val="16"/>
                <w:szCs w:val="16"/>
                <w:b w:val="1"/>
                <w:bCs w:val="1"/>
                <w:color w:val="auto"/>
                <w:w w:val="99"/>
              </w:rPr>
              <w:t>Cybersec</w:t>
            </w:r>
          </w:p>
        </w:tc>
        <w:tc>
          <w:tcPr>
            <w:tcW w:w="1640" w:type="dxa"/>
            <w:vAlign w:val="bottom"/>
            <w:tcBorders>
              <w:top w:val="single" w:sz="8" w:color="auto"/>
            </w:tcBorders>
            <w:shd w:val="clear" w:color="auto" w:fill="F3F3F4"/>
          </w:tcPr>
          <w:p>
            <w:pPr>
              <w:jc w:val="center"/>
              <w:ind w:right="45"/>
              <w:spacing w:after="0"/>
              <w:rPr>
                <w:sz w:val="20"/>
                <w:szCs w:val="20"/>
                <w:color w:val="auto"/>
              </w:rPr>
            </w:pPr>
            <w:r>
              <w:rPr>
                <w:rFonts w:ascii="Arial" w:cs="Arial" w:eastAsia="Arial" w:hAnsi="Arial"/>
                <w:sz w:val="16"/>
                <w:szCs w:val="16"/>
                <w:b w:val="1"/>
                <w:bCs w:val="1"/>
                <w:color w:val="auto"/>
              </w:rPr>
              <w:t>Management</w:t>
            </w:r>
          </w:p>
        </w:tc>
      </w:tr>
      <w:tr>
        <w:trPr>
          <w:trHeight w:val="189"/>
        </w:trPr>
        <w:tc>
          <w:tcPr>
            <w:tcW w:w="2420" w:type="dxa"/>
            <w:vAlign w:val="bottom"/>
            <w:shd w:val="clear" w:color="auto" w:fill="F3F3F4"/>
          </w:tcPr>
          <w:p>
            <w:pPr>
              <w:spacing w:after="0"/>
              <w:rPr>
                <w:sz w:val="16"/>
                <w:szCs w:val="16"/>
                <w:color w:val="auto"/>
              </w:rPr>
            </w:pPr>
          </w:p>
        </w:tc>
        <w:tc>
          <w:tcPr>
            <w:tcW w:w="1200" w:type="dxa"/>
            <w:vAlign w:val="bottom"/>
            <w:shd w:val="clear" w:color="auto" w:fill="F3F3F4"/>
          </w:tcPr>
          <w:p>
            <w:pPr>
              <w:spacing w:after="0"/>
              <w:rPr>
                <w:sz w:val="16"/>
                <w:szCs w:val="16"/>
                <w:color w:val="auto"/>
              </w:rPr>
            </w:pPr>
          </w:p>
        </w:tc>
        <w:tc>
          <w:tcPr>
            <w:tcW w:w="1560" w:type="dxa"/>
            <w:vAlign w:val="bottom"/>
            <w:shd w:val="clear" w:color="auto" w:fill="F3F3F4"/>
          </w:tcPr>
          <w:p>
            <w:pPr>
              <w:spacing w:after="0"/>
              <w:rPr>
                <w:sz w:val="16"/>
                <w:szCs w:val="16"/>
                <w:color w:val="auto"/>
              </w:rPr>
            </w:pPr>
          </w:p>
        </w:tc>
        <w:tc>
          <w:tcPr>
            <w:tcW w:w="2040" w:type="dxa"/>
            <w:vAlign w:val="bottom"/>
            <w:shd w:val="clear" w:color="auto" w:fill="F3F3F4"/>
          </w:tcPr>
          <w:p>
            <w:pPr>
              <w:jc w:val="center"/>
              <w:spacing w:after="0"/>
              <w:rPr>
                <w:sz w:val="20"/>
                <w:szCs w:val="20"/>
                <w:color w:val="auto"/>
              </w:rPr>
            </w:pPr>
            <w:r>
              <w:rPr>
                <w:rFonts w:ascii="Arial" w:cs="Arial" w:eastAsia="Arial" w:hAnsi="Arial"/>
                <w:sz w:val="16"/>
                <w:szCs w:val="16"/>
                <w:b w:val="1"/>
                <w:bCs w:val="1"/>
                <w:color w:val="auto"/>
              </w:rPr>
              <w:t>Responsibility,</w:t>
            </w:r>
          </w:p>
        </w:tc>
        <w:tc>
          <w:tcPr>
            <w:tcW w:w="860" w:type="dxa"/>
            <w:vAlign w:val="bottom"/>
            <w:shd w:val="clear" w:color="auto" w:fill="F3F3F4"/>
          </w:tcPr>
          <w:p>
            <w:pPr>
              <w:jc w:val="center"/>
              <w:ind w:right="29"/>
              <w:spacing w:after="0"/>
              <w:rPr>
                <w:sz w:val="20"/>
                <w:szCs w:val="20"/>
                <w:color w:val="auto"/>
              </w:rPr>
            </w:pPr>
            <w:r>
              <w:rPr>
                <w:rFonts w:ascii="Arial" w:cs="Arial" w:eastAsia="Arial" w:hAnsi="Arial"/>
                <w:sz w:val="16"/>
                <w:szCs w:val="16"/>
                <w:b w:val="1"/>
                <w:bCs w:val="1"/>
                <w:color w:val="auto"/>
              </w:rPr>
              <w:t>urity</w:t>
            </w:r>
          </w:p>
        </w:tc>
        <w:tc>
          <w:tcPr>
            <w:tcW w:w="1640" w:type="dxa"/>
            <w:vAlign w:val="bottom"/>
            <w:shd w:val="clear" w:color="auto" w:fill="F3F3F4"/>
          </w:tcPr>
          <w:p>
            <w:pPr>
              <w:jc w:val="center"/>
              <w:ind w:right="45"/>
              <w:spacing w:after="0"/>
              <w:rPr>
                <w:sz w:val="20"/>
                <w:szCs w:val="20"/>
                <w:color w:val="auto"/>
              </w:rPr>
            </w:pPr>
            <w:r>
              <w:rPr>
                <w:rFonts w:ascii="Arial" w:cs="Arial" w:eastAsia="Arial" w:hAnsi="Arial"/>
                <w:sz w:val="16"/>
                <w:szCs w:val="16"/>
                <w:b w:val="1"/>
                <w:bCs w:val="1"/>
                <w:color w:val="auto"/>
              </w:rPr>
              <w:t>Development and</w:t>
            </w:r>
          </w:p>
        </w:tc>
      </w:tr>
      <w:tr>
        <w:trPr>
          <w:trHeight w:val="163"/>
        </w:trPr>
        <w:tc>
          <w:tcPr>
            <w:tcW w:w="2420" w:type="dxa"/>
            <w:vAlign w:val="bottom"/>
            <w:shd w:val="clear" w:color="auto" w:fill="F3F3F4"/>
          </w:tcPr>
          <w:p>
            <w:pPr>
              <w:spacing w:after="0"/>
              <w:rPr>
                <w:sz w:val="14"/>
                <w:szCs w:val="14"/>
                <w:color w:val="auto"/>
              </w:rPr>
            </w:pPr>
          </w:p>
        </w:tc>
        <w:tc>
          <w:tcPr>
            <w:tcW w:w="1200" w:type="dxa"/>
            <w:vAlign w:val="bottom"/>
            <w:shd w:val="clear" w:color="auto" w:fill="F3F3F4"/>
          </w:tcPr>
          <w:p>
            <w:pPr>
              <w:spacing w:after="0"/>
              <w:rPr>
                <w:sz w:val="14"/>
                <w:szCs w:val="14"/>
                <w:color w:val="auto"/>
              </w:rPr>
            </w:pPr>
          </w:p>
        </w:tc>
        <w:tc>
          <w:tcPr>
            <w:tcW w:w="1560" w:type="dxa"/>
            <w:vAlign w:val="bottom"/>
            <w:shd w:val="clear" w:color="auto" w:fill="F3F3F4"/>
          </w:tcPr>
          <w:p>
            <w:pPr>
              <w:jc w:val="center"/>
              <w:ind w:left="148"/>
              <w:spacing w:after="0" w:line="163" w:lineRule="exact"/>
              <w:rPr>
                <w:sz w:val="20"/>
                <w:szCs w:val="20"/>
                <w:color w:val="auto"/>
              </w:rPr>
            </w:pPr>
            <w:r>
              <w:rPr>
                <w:rFonts w:ascii="Arial" w:cs="Arial" w:eastAsia="Arial" w:hAnsi="Arial"/>
                <w:sz w:val="16"/>
                <w:szCs w:val="16"/>
                <w:b w:val="1"/>
                <w:bCs w:val="1"/>
                <w:color w:val="auto"/>
              </w:rPr>
              <w:t>Audit</w:t>
            </w:r>
          </w:p>
        </w:tc>
        <w:tc>
          <w:tcPr>
            <w:tcW w:w="2040" w:type="dxa"/>
            <w:vAlign w:val="bottom"/>
            <w:shd w:val="clear" w:color="auto" w:fill="F3F3F4"/>
          </w:tcPr>
          <w:p>
            <w:pPr>
              <w:jc w:val="center"/>
              <w:spacing w:after="0" w:line="163" w:lineRule="exact"/>
              <w:rPr>
                <w:sz w:val="20"/>
                <w:szCs w:val="20"/>
                <w:color w:val="auto"/>
              </w:rPr>
            </w:pPr>
            <w:r>
              <w:rPr>
                <w:rFonts w:ascii="Arial" w:cs="Arial" w:eastAsia="Arial" w:hAnsi="Arial"/>
                <w:sz w:val="16"/>
                <w:szCs w:val="16"/>
                <w:b w:val="1"/>
                <w:bCs w:val="1"/>
                <w:color w:val="auto"/>
              </w:rPr>
              <w:t>Governance, and</w:t>
            </w:r>
          </w:p>
        </w:tc>
        <w:tc>
          <w:tcPr>
            <w:tcW w:w="860" w:type="dxa"/>
            <w:vAlign w:val="bottom"/>
            <w:shd w:val="clear" w:color="auto" w:fill="F3F3F4"/>
          </w:tcPr>
          <w:p>
            <w:pPr>
              <w:jc w:val="center"/>
              <w:spacing w:after="0" w:line="163" w:lineRule="exact"/>
              <w:rPr>
                <w:sz w:val="20"/>
                <w:szCs w:val="20"/>
                <w:color w:val="auto"/>
              </w:rPr>
            </w:pPr>
            <w:r>
              <w:rPr>
                <w:rFonts w:ascii="Arial" w:cs="Arial" w:eastAsia="Arial" w:hAnsi="Arial"/>
                <w:sz w:val="16"/>
                <w:szCs w:val="16"/>
                <w:b w:val="1"/>
                <w:bCs w:val="1"/>
                <w:color w:val="auto"/>
              </w:rPr>
              <w:t>Committe</w:t>
            </w:r>
          </w:p>
        </w:tc>
        <w:tc>
          <w:tcPr>
            <w:tcW w:w="1640" w:type="dxa"/>
            <w:vAlign w:val="bottom"/>
            <w:shd w:val="clear" w:color="auto" w:fill="F3F3F4"/>
          </w:tcPr>
          <w:p>
            <w:pPr>
              <w:jc w:val="center"/>
              <w:ind w:right="45"/>
              <w:spacing w:after="0" w:line="163" w:lineRule="exact"/>
              <w:rPr>
                <w:sz w:val="20"/>
                <w:szCs w:val="20"/>
                <w:color w:val="auto"/>
              </w:rPr>
            </w:pPr>
            <w:r>
              <w:rPr>
                <w:rFonts w:ascii="Arial" w:cs="Arial" w:eastAsia="Arial" w:hAnsi="Arial"/>
                <w:sz w:val="16"/>
                <w:szCs w:val="16"/>
                <w:b w:val="1"/>
                <w:bCs w:val="1"/>
                <w:color w:val="auto"/>
              </w:rPr>
              <w:t>Compensation</w:t>
            </w:r>
          </w:p>
        </w:tc>
      </w:tr>
      <w:tr>
        <w:trPr>
          <w:trHeight w:val="284"/>
        </w:trPr>
        <w:tc>
          <w:tcPr>
            <w:tcW w:w="242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Member</w:t>
            </w:r>
          </w:p>
        </w:tc>
        <w:tc>
          <w:tcPr>
            <w:tcW w:w="1200" w:type="dxa"/>
            <w:vAlign w:val="bottom"/>
            <w:tcBorders>
              <w:bottom w:val="single" w:sz="8" w:color="auto"/>
            </w:tcBorders>
            <w:shd w:val="clear" w:color="auto" w:fill="F3F3F4"/>
          </w:tcPr>
          <w:p>
            <w:pPr>
              <w:jc w:val="right"/>
              <w:ind w:right="293"/>
              <w:spacing w:after="0"/>
              <w:rPr>
                <w:sz w:val="20"/>
                <w:szCs w:val="20"/>
                <w:color w:val="auto"/>
              </w:rPr>
            </w:pPr>
            <w:r>
              <w:rPr>
                <w:rFonts w:ascii="Arial" w:cs="Arial" w:eastAsia="Arial" w:hAnsi="Arial"/>
                <w:sz w:val="16"/>
                <w:szCs w:val="16"/>
                <w:b w:val="1"/>
                <w:bCs w:val="1"/>
                <w:color w:val="auto"/>
              </w:rPr>
              <w:t>Board</w:t>
            </w:r>
          </w:p>
        </w:tc>
        <w:tc>
          <w:tcPr>
            <w:tcW w:w="1560" w:type="dxa"/>
            <w:vAlign w:val="bottom"/>
            <w:tcBorders>
              <w:bottom w:val="single" w:sz="8" w:color="auto"/>
            </w:tcBorders>
            <w:shd w:val="clear" w:color="auto" w:fill="F3F3F4"/>
          </w:tcPr>
          <w:p>
            <w:pPr>
              <w:jc w:val="center"/>
              <w:ind w:left="148"/>
              <w:spacing w:after="0"/>
              <w:rPr>
                <w:sz w:val="20"/>
                <w:szCs w:val="20"/>
                <w:color w:val="auto"/>
              </w:rPr>
            </w:pPr>
            <w:r>
              <w:rPr>
                <w:rFonts w:ascii="Arial" w:cs="Arial" w:eastAsia="Arial" w:hAnsi="Arial"/>
                <w:sz w:val="16"/>
                <w:szCs w:val="16"/>
                <w:b w:val="1"/>
                <w:bCs w:val="1"/>
                <w:color w:val="auto"/>
                <w:w w:val="94"/>
              </w:rPr>
              <w:t>Committee</w:t>
            </w:r>
            <w:r>
              <w:rPr>
                <w:rFonts w:ascii="Arial" w:cs="Arial" w:eastAsia="Arial" w:hAnsi="Arial"/>
                <w:sz w:val="21"/>
                <w:szCs w:val="21"/>
                <w:color w:val="auto"/>
                <w:w w:val="94"/>
                <w:vertAlign w:val="superscript"/>
              </w:rPr>
              <w:t>(1)(2)</w:t>
            </w:r>
          </w:p>
        </w:tc>
        <w:tc>
          <w:tcPr>
            <w:tcW w:w="2040" w:type="dxa"/>
            <w:vAlign w:val="bottom"/>
            <w:tcBorders>
              <w:bottom w:val="single" w:sz="8" w:color="auto"/>
            </w:tcBorders>
            <w:shd w:val="clear" w:color="auto" w:fill="F3F3F4"/>
          </w:tcPr>
          <w:p>
            <w:pPr>
              <w:jc w:val="center"/>
              <w:ind w:left="25"/>
              <w:spacing w:after="0"/>
              <w:rPr>
                <w:sz w:val="20"/>
                <w:szCs w:val="20"/>
                <w:color w:val="auto"/>
              </w:rPr>
            </w:pPr>
            <w:r>
              <w:rPr>
                <w:rFonts w:ascii="Arial" w:cs="Arial" w:eastAsia="Arial" w:hAnsi="Arial"/>
                <w:sz w:val="16"/>
                <w:szCs w:val="16"/>
                <w:b w:val="1"/>
                <w:bCs w:val="1"/>
                <w:color w:val="auto"/>
                <w:w w:val="98"/>
              </w:rPr>
              <w:t>Nominating Committee</w:t>
            </w:r>
            <w:r>
              <w:rPr>
                <w:rFonts w:ascii="Arial" w:cs="Arial" w:eastAsia="Arial" w:hAnsi="Arial"/>
                <w:sz w:val="21"/>
                <w:szCs w:val="21"/>
                <w:color w:val="auto"/>
                <w:w w:val="98"/>
                <w:vertAlign w:val="superscript"/>
              </w:rPr>
              <w:t>(2)</w:t>
            </w:r>
          </w:p>
        </w:tc>
        <w:tc>
          <w:tcPr>
            <w:tcW w:w="860" w:type="dxa"/>
            <w:vAlign w:val="bottom"/>
            <w:tcBorders>
              <w:bottom w:val="single" w:sz="8" w:color="auto"/>
            </w:tcBorders>
            <w:shd w:val="clear" w:color="auto" w:fill="F3F3F4"/>
          </w:tcPr>
          <w:p>
            <w:pPr>
              <w:jc w:val="center"/>
              <w:ind w:right="9"/>
              <w:spacing w:after="0" w:line="283" w:lineRule="exact"/>
              <w:rPr>
                <w:sz w:val="20"/>
                <w:szCs w:val="20"/>
                <w:color w:val="auto"/>
              </w:rPr>
            </w:pPr>
            <w:r>
              <w:rPr>
                <w:rFonts w:ascii="Arial" w:cs="Arial" w:eastAsia="Arial" w:hAnsi="Arial"/>
                <w:sz w:val="32"/>
                <w:szCs w:val="32"/>
                <w:b w:val="1"/>
                <w:bCs w:val="1"/>
                <w:color w:val="auto"/>
                <w:w w:val="86"/>
                <w:vertAlign w:val="subscript"/>
              </w:rPr>
              <w:t>e</w:t>
            </w:r>
            <w:r>
              <w:rPr>
                <w:rFonts w:ascii="Arial" w:cs="Arial" w:eastAsia="Arial" w:hAnsi="Arial"/>
                <w:sz w:val="11"/>
                <w:szCs w:val="11"/>
                <w:color w:val="auto"/>
                <w:w w:val="86"/>
              </w:rPr>
              <w:t>(2)</w:t>
            </w:r>
          </w:p>
        </w:tc>
        <w:tc>
          <w:tcPr>
            <w:tcW w:w="1640" w:type="dxa"/>
            <w:vAlign w:val="bottom"/>
            <w:tcBorders>
              <w:bottom w:val="single" w:sz="8" w:color="auto"/>
            </w:tcBorders>
            <w:shd w:val="clear" w:color="auto" w:fill="F3F3F4"/>
          </w:tcPr>
          <w:p>
            <w:pPr>
              <w:jc w:val="center"/>
              <w:spacing w:after="0"/>
              <w:rPr>
                <w:sz w:val="20"/>
                <w:szCs w:val="20"/>
                <w:color w:val="auto"/>
              </w:rPr>
            </w:pPr>
            <w:r>
              <w:rPr>
                <w:rFonts w:ascii="Arial" w:cs="Arial" w:eastAsia="Arial" w:hAnsi="Arial"/>
                <w:sz w:val="16"/>
                <w:szCs w:val="16"/>
                <w:b w:val="1"/>
                <w:bCs w:val="1"/>
                <w:color w:val="auto"/>
                <w:w w:val="98"/>
              </w:rPr>
              <w:t>Committee</w:t>
            </w:r>
            <w:r>
              <w:rPr>
                <w:rFonts w:ascii="Arial" w:cs="Arial" w:eastAsia="Arial" w:hAnsi="Arial"/>
                <w:sz w:val="21"/>
                <w:szCs w:val="21"/>
                <w:color w:val="auto"/>
                <w:w w:val="98"/>
                <w:vertAlign w:val="superscript"/>
              </w:rPr>
              <w:t>(2)</w:t>
            </w:r>
          </w:p>
        </w:tc>
      </w:tr>
      <w:tr>
        <w:trPr>
          <w:trHeight w:val="248"/>
        </w:trPr>
        <w:tc>
          <w:tcPr>
            <w:tcW w:w="2420" w:type="dxa"/>
            <w:vAlign w:val="bottom"/>
          </w:tcPr>
          <w:p>
            <w:pPr>
              <w:spacing w:after="0"/>
              <w:rPr>
                <w:sz w:val="20"/>
                <w:szCs w:val="20"/>
                <w:color w:val="auto"/>
              </w:rPr>
            </w:pPr>
            <w:r>
              <w:rPr>
                <w:rFonts w:ascii="Arial" w:cs="Arial" w:eastAsia="Arial" w:hAnsi="Arial"/>
                <w:sz w:val="16"/>
                <w:szCs w:val="16"/>
                <w:color w:val="auto"/>
              </w:rPr>
              <w:t>Annell R. Bay</w:t>
            </w:r>
          </w:p>
        </w:tc>
        <w:tc>
          <w:tcPr>
            <w:tcW w:w="1200" w:type="dxa"/>
            <w:vAlign w:val="bottom"/>
          </w:tcPr>
          <w:p>
            <w:pPr>
              <w:jc w:val="right"/>
              <w:ind w:right="473"/>
              <w:spacing w:after="0"/>
              <w:rPr>
                <w:sz w:val="20"/>
                <w:szCs w:val="20"/>
                <w:color w:val="auto"/>
              </w:rPr>
            </w:pPr>
            <w:r>
              <w:rPr>
                <w:rFonts w:ascii="Arial" w:cs="Arial" w:eastAsia="Arial" w:hAnsi="Arial"/>
                <w:sz w:val="13"/>
                <w:szCs w:val="13"/>
                <w:color w:val="auto"/>
              </w:rPr>
              <w:t>●</w:t>
            </w:r>
          </w:p>
        </w:tc>
        <w:tc>
          <w:tcPr>
            <w:tcW w:w="1560" w:type="dxa"/>
            <w:vAlign w:val="bottom"/>
          </w:tcPr>
          <w:p>
            <w:pPr>
              <w:spacing w:after="0"/>
              <w:rPr>
                <w:sz w:val="21"/>
                <w:szCs w:val="21"/>
                <w:color w:val="auto"/>
              </w:rPr>
            </w:pPr>
          </w:p>
        </w:tc>
        <w:tc>
          <w:tcPr>
            <w:tcW w:w="2040" w:type="dxa"/>
            <w:vAlign w:val="bottom"/>
          </w:tcPr>
          <w:p>
            <w:pPr>
              <w:jc w:val="center"/>
              <w:ind w:left="25"/>
              <w:spacing w:after="0"/>
              <w:rPr>
                <w:sz w:val="20"/>
                <w:szCs w:val="20"/>
                <w:color w:val="auto"/>
              </w:rPr>
            </w:pPr>
            <w:r>
              <w:rPr>
                <w:rFonts w:ascii="Arial" w:cs="Arial" w:eastAsia="Arial" w:hAnsi="Arial"/>
                <w:sz w:val="16"/>
                <w:szCs w:val="16"/>
                <w:color w:val="auto"/>
                <w:w w:val="99"/>
              </w:rPr>
              <w:t>Chair</w:t>
            </w:r>
          </w:p>
        </w:tc>
        <w:tc>
          <w:tcPr>
            <w:tcW w:w="860" w:type="dxa"/>
            <w:vAlign w:val="bottom"/>
          </w:tcPr>
          <w:p>
            <w:pPr>
              <w:spacing w:after="0"/>
              <w:rPr>
                <w:sz w:val="21"/>
                <w:szCs w:val="21"/>
                <w:color w:val="auto"/>
              </w:rPr>
            </w:pPr>
          </w:p>
        </w:tc>
        <w:tc>
          <w:tcPr>
            <w:tcW w:w="1640" w:type="dxa"/>
            <w:vAlign w:val="bottom"/>
          </w:tcPr>
          <w:p>
            <w:pPr>
              <w:jc w:val="right"/>
              <w:ind w:right="745"/>
              <w:spacing w:after="0"/>
              <w:rPr>
                <w:sz w:val="20"/>
                <w:szCs w:val="20"/>
                <w:color w:val="auto"/>
              </w:rPr>
            </w:pPr>
            <w:r>
              <w:rPr>
                <w:rFonts w:ascii="Arial" w:cs="Arial" w:eastAsia="Arial" w:hAnsi="Arial"/>
                <w:sz w:val="13"/>
                <w:szCs w:val="13"/>
                <w:color w:val="auto"/>
              </w:rPr>
              <w:t>●</w:t>
            </w:r>
          </w:p>
        </w:tc>
      </w:tr>
      <w:tr>
        <w:trPr>
          <w:trHeight w:val="43"/>
        </w:trPr>
        <w:tc>
          <w:tcPr>
            <w:tcW w:w="2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91"/>
        </w:trPr>
        <w:tc>
          <w:tcPr>
            <w:tcW w:w="242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6"/>
                <w:szCs w:val="16"/>
                <w:color w:val="auto"/>
              </w:rPr>
              <w:t>Matthew R. Bob</w:t>
            </w:r>
            <w:r>
              <w:rPr>
                <w:rFonts w:ascii="Arial" w:cs="Arial" w:eastAsia="Arial" w:hAnsi="Arial"/>
                <w:sz w:val="21"/>
                <w:szCs w:val="21"/>
                <w:color w:val="auto"/>
                <w:vertAlign w:val="superscript"/>
              </w:rPr>
              <w:t>(3)</w:t>
            </w:r>
          </w:p>
        </w:tc>
        <w:tc>
          <w:tcPr>
            <w:tcW w:w="1200" w:type="dxa"/>
            <w:vAlign w:val="bottom"/>
            <w:tcBorders>
              <w:bottom w:val="single" w:sz="8" w:color="auto"/>
            </w:tcBorders>
            <w:shd w:val="clear" w:color="auto" w:fill="F3F3F4"/>
          </w:tcPr>
          <w:p>
            <w:pPr>
              <w:jc w:val="right"/>
              <w:ind w:right="473"/>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shd w:val="clear" w:color="auto" w:fill="F3F3F4"/>
          </w:tcPr>
          <w:p>
            <w:pPr>
              <w:jc w:val="right"/>
              <w:ind w:right="568"/>
              <w:spacing w:after="0"/>
              <w:rPr>
                <w:sz w:val="20"/>
                <w:szCs w:val="20"/>
                <w:color w:val="auto"/>
              </w:rPr>
            </w:pPr>
            <w:r>
              <w:rPr>
                <w:rFonts w:ascii="Arial" w:cs="Arial" w:eastAsia="Arial" w:hAnsi="Arial"/>
                <w:sz w:val="13"/>
                <w:szCs w:val="13"/>
                <w:color w:val="auto"/>
              </w:rPr>
              <w:t>●</w:t>
            </w:r>
          </w:p>
        </w:tc>
        <w:tc>
          <w:tcPr>
            <w:tcW w:w="2040" w:type="dxa"/>
            <w:vAlign w:val="bottom"/>
            <w:tcBorders>
              <w:bottom w:val="single" w:sz="8" w:color="auto"/>
            </w:tcBorders>
            <w:shd w:val="clear" w:color="auto" w:fill="F3F3F4"/>
          </w:tcPr>
          <w:p>
            <w:pPr>
              <w:jc w:val="right"/>
              <w:ind w:right="86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F3F3F4"/>
          </w:tcPr>
          <w:p>
            <w:pPr>
              <w:spacing w:after="0"/>
              <w:rPr>
                <w:sz w:val="24"/>
                <w:szCs w:val="24"/>
                <w:color w:val="auto"/>
              </w:rPr>
            </w:pPr>
          </w:p>
        </w:tc>
        <w:tc>
          <w:tcPr>
            <w:tcW w:w="1640" w:type="dxa"/>
            <w:vAlign w:val="bottom"/>
            <w:tcBorders>
              <w:bottom w:val="single" w:sz="8" w:color="auto"/>
            </w:tcBorders>
            <w:shd w:val="clear" w:color="auto" w:fill="F3F3F4"/>
          </w:tcPr>
          <w:p>
            <w:pPr>
              <w:spacing w:after="0"/>
              <w:rPr>
                <w:sz w:val="24"/>
                <w:szCs w:val="24"/>
                <w:color w:val="auto"/>
              </w:rPr>
            </w:pPr>
          </w:p>
        </w:tc>
      </w:tr>
      <w:tr>
        <w:trPr>
          <w:trHeight w:val="248"/>
        </w:trPr>
        <w:tc>
          <w:tcPr>
            <w:tcW w:w="2420" w:type="dxa"/>
            <w:vAlign w:val="bottom"/>
          </w:tcPr>
          <w:p>
            <w:pPr>
              <w:spacing w:after="0"/>
              <w:rPr>
                <w:sz w:val="20"/>
                <w:szCs w:val="20"/>
                <w:color w:val="auto"/>
              </w:rPr>
            </w:pPr>
            <w:r>
              <w:rPr>
                <w:rFonts w:ascii="Arial" w:cs="Arial" w:eastAsia="Arial" w:hAnsi="Arial"/>
                <w:sz w:val="16"/>
                <w:szCs w:val="16"/>
                <w:color w:val="auto"/>
              </w:rPr>
              <w:t xml:space="preserve">John J. Christmann IV, </w:t>
            </w:r>
            <w:r>
              <w:rPr>
                <w:rFonts w:ascii="Arial" w:cs="Arial" w:eastAsia="Arial" w:hAnsi="Arial"/>
                <w:sz w:val="16"/>
                <w:szCs w:val="16"/>
                <w:i w:val="1"/>
                <w:iCs w:val="1"/>
                <w:color w:val="auto"/>
              </w:rPr>
              <w:t>CEO</w:t>
            </w:r>
          </w:p>
        </w:tc>
        <w:tc>
          <w:tcPr>
            <w:tcW w:w="1200" w:type="dxa"/>
            <w:vAlign w:val="bottom"/>
          </w:tcPr>
          <w:p>
            <w:pPr>
              <w:jc w:val="right"/>
              <w:ind w:right="473"/>
              <w:spacing w:after="0"/>
              <w:rPr>
                <w:sz w:val="20"/>
                <w:szCs w:val="20"/>
                <w:color w:val="auto"/>
              </w:rPr>
            </w:pPr>
            <w:r>
              <w:rPr>
                <w:rFonts w:ascii="Arial" w:cs="Arial" w:eastAsia="Arial" w:hAnsi="Arial"/>
                <w:sz w:val="13"/>
                <w:szCs w:val="13"/>
                <w:color w:val="auto"/>
              </w:rPr>
              <w:t>●</w:t>
            </w:r>
          </w:p>
        </w:tc>
        <w:tc>
          <w:tcPr>
            <w:tcW w:w="15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43"/>
        </w:trPr>
        <w:tc>
          <w:tcPr>
            <w:tcW w:w="2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96"/>
        </w:trPr>
        <w:tc>
          <w:tcPr>
            <w:tcW w:w="2420" w:type="dxa"/>
            <w:vAlign w:val="bottom"/>
            <w:tcBorders>
              <w:bottom w:val="single" w:sz="8" w:color="F3F3F4"/>
            </w:tcBorders>
            <w:shd w:val="clear" w:color="auto" w:fill="F3F3F4"/>
          </w:tcPr>
          <w:p>
            <w:pPr>
              <w:spacing w:after="0"/>
              <w:rPr>
                <w:sz w:val="20"/>
                <w:szCs w:val="20"/>
                <w:color w:val="auto"/>
              </w:rPr>
            </w:pPr>
            <w:r>
              <w:rPr>
                <w:rFonts w:ascii="Arial" w:cs="Arial" w:eastAsia="Arial" w:hAnsi="Arial"/>
                <w:sz w:val="16"/>
                <w:szCs w:val="16"/>
                <w:color w:val="auto"/>
              </w:rPr>
              <w:t>Juliet S. Ellis</w:t>
            </w:r>
          </w:p>
        </w:tc>
        <w:tc>
          <w:tcPr>
            <w:tcW w:w="1200" w:type="dxa"/>
            <w:vAlign w:val="bottom"/>
            <w:tcBorders>
              <w:bottom w:val="single" w:sz="8" w:color="F3F3F4"/>
            </w:tcBorders>
            <w:shd w:val="clear" w:color="auto" w:fill="F3F3F4"/>
          </w:tcPr>
          <w:p>
            <w:pPr>
              <w:jc w:val="right"/>
              <w:ind w:right="473"/>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F3F3F4"/>
            </w:tcBorders>
            <w:shd w:val="clear" w:color="auto" w:fill="F3F3F4"/>
          </w:tcPr>
          <w:p>
            <w:pPr>
              <w:spacing w:after="0"/>
              <w:rPr>
                <w:sz w:val="24"/>
                <w:szCs w:val="24"/>
                <w:color w:val="auto"/>
              </w:rPr>
            </w:pPr>
          </w:p>
        </w:tc>
        <w:tc>
          <w:tcPr>
            <w:tcW w:w="2040" w:type="dxa"/>
            <w:vAlign w:val="bottom"/>
            <w:tcBorders>
              <w:bottom w:val="single" w:sz="8" w:color="F3F3F4"/>
            </w:tcBorders>
            <w:shd w:val="clear" w:color="auto" w:fill="F3F3F4"/>
          </w:tcPr>
          <w:p>
            <w:pPr>
              <w:jc w:val="right"/>
              <w:ind w:right="865"/>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F3F3F4"/>
            </w:tcBorders>
            <w:shd w:val="clear" w:color="auto" w:fill="F3F3F4"/>
          </w:tcPr>
          <w:p>
            <w:pPr>
              <w:spacing w:after="0"/>
              <w:rPr>
                <w:sz w:val="24"/>
                <w:szCs w:val="24"/>
                <w:color w:val="auto"/>
              </w:rPr>
            </w:pPr>
          </w:p>
        </w:tc>
        <w:tc>
          <w:tcPr>
            <w:tcW w:w="1640" w:type="dxa"/>
            <w:vAlign w:val="bottom"/>
            <w:tcBorders>
              <w:bottom w:val="single" w:sz="8" w:color="F3F3F4"/>
            </w:tcBorders>
            <w:shd w:val="clear" w:color="auto" w:fill="F3F3F4"/>
          </w:tcPr>
          <w:p>
            <w:pPr>
              <w:jc w:val="center"/>
              <w:spacing w:after="0"/>
              <w:rPr>
                <w:sz w:val="20"/>
                <w:szCs w:val="20"/>
                <w:color w:val="auto"/>
              </w:rPr>
            </w:pPr>
            <w:r>
              <w:rPr>
                <w:rFonts w:ascii="Arial" w:cs="Arial" w:eastAsia="Arial" w:hAnsi="Arial"/>
                <w:sz w:val="16"/>
                <w:szCs w:val="16"/>
                <w:color w:val="auto"/>
                <w:w w:val="99"/>
              </w:rPr>
              <w:t>Chair</w:t>
            </w:r>
          </w:p>
        </w:tc>
      </w:tr>
      <w:tr>
        <w:trPr>
          <w:trHeight w:val="248"/>
        </w:trPr>
        <w:tc>
          <w:tcPr>
            <w:tcW w:w="2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Kenneth M. Fisher</w:t>
            </w:r>
          </w:p>
        </w:tc>
        <w:tc>
          <w:tcPr>
            <w:tcW w:w="1200" w:type="dxa"/>
            <w:vAlign w:val="bottom"/>
            <w:tcBorders>
              <w:top w:val="single" w:sz="8" w:color="auto"/>
            </w:tcBorders>
          </w:tcPr>
          <w:p>
            <w:pPr>
              <w:jc w:val="right"/>
              <w:ind w:right="473"/>
              <w:spacing w:after="0"/>
              <w:rPr>
                <w:sz w:val="20"/>
                <w:szCs w:val="20"/>
                <w:color w:val="auto"/>
              </w:rPr>
            </w:pPr>
            <w:r>
              <w:rPr>
                <w:rFonts w:ascii="Arial" w:cs="Arial" w:eastAsia="Arial" w:hAnsi="Arial"/>
                <w:sz w:val="13"/>
                <w:szCs w:val="13"/>
                <w:color w:val="auto"/>
              </w:rPr>
              <w:t>●</w:t>
            </w:r>
          </w:p>
        </w:tc>
        <w:tc>
          <w:tcPr>
            <w:tcW w:w="1560" w:type="dxa"/>
            <w:vAlign w:val="bottom"/>
            <w:tcBorders>
              <w:top w:val="single" w:sz="8" w:color="auto"/>
            </w:tcBorders>
          </w:tcPr>
          <w:p>
            <w:pPr>
              <w:jc w:val="center"/>
              <w:ind w:left="148"/>
              <w:spacing w:after="0"/>
              <w:rPr>
                <w:sz w:val="20"/>
                <w:szCs w:val="20"/>
                <w:color w:val="auto"/>
              </w:rPr>
            </w:pPr>
            <w:r>
              <w:rPr>
                <w:rFonts w:ascii="Arial" w:cs="Arial" w:eastAsia="Arial" w:hAnsi="Arial"/>
                <w:sz w:val="16"/>
                <w:szCs w:val="16"/>
                <w:color w:val="auto"/>
                <w:w w:val="99"/>
              </w:rPr>
              <w:t>Chair</w:t>
            </w:r>
          </w:p>
        </w:tc>
        <w:tc>
          <w:tcPr>
            <w:tcW w:w="20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49"/>
              <w:spacing w:after="0"/>
              <w:rPr>
                <w:sz w:val="20"/>
                <w:szCs w:val="20"/>
                <w:color w:val="auto"/>
              </w:rPr>
            </w:pPr>
            <w:r>
              <w:rPr>
                <w:rFonts w:ascii="Arial" w:cs="Arial" w:eastAsia="Arial" w:hAnsi="Arial"/>
                <w:sz w:val="13"/>
                <w:szCs w:val="13"/>
                <w:color w:val="auto"/>
              </w:rPr>
              <w:t>●</w:t>
            </w:r>
          </w:p>
        </w:tc>
        <w:tc>
          <w:tcPr>
            <w:tcW w:w="1640" w:type="dxa"/>
            <w:vAlign w:val="bottom"/>
            <w:tcBorders>
              <w:top w:val="single" w:sz="8" w:color="auto"/>
            </w:tcBorders>
          </w:tcPr>
          <w:p>
            <w:pPr>
              <w:spacing w:after="0"/>
              <w:rPr>
                <w:sz w:val="21"/>
                <w:szCs w:val="21"/>
                <w:color w:val="auto"/>
              </w:rPr>
            </w:pPr>
          </w:p>
        </w:tc>
      </w:tr>
      <w:tr>
        <w:trPr>
          <w:trHeight w:val="43"/>
        </w:trPr>
        <w:tc>
          <w:tcPr>
            <w:tcW w:w="2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96"/>
        </w:trPr>
        <w:tc>
          <w:tcPr>
            <w:tcW w:w="2420" w:type="dxa"/>
            <w:vAlign w:val="bottom"/>
            <w:tcBorders>
              <w:bottom w:val="single" w:sz="8" w:color="F3F3F4"/>
            </w:tcBorders>
            <w:shd w:val="clear" w:color="auto" w:fill="F3F3F4"/>
          </w:tcPr>
          <w:p>
            <w:pPr>
              <w:spacing w:after="0"/>
              <w:rPr>
                <w:sz w:val="20"/>
                <w:szCs w:val="20"/>
                <w:color w:val="auto"/>
              </w:rPr>
            </w:pPr>
            <w:r>
              <w:rPr>
                <w:rFonts w:ascii="Arial" w:cs="Arial" w:eastAsia="Arial" w:hAnsi="Arial"/>
                <w:sz w:val="16"/>
                <w:szCs w:val="16"/>
                <w:color w:val="auto"/>
              </w:rPr>
              <w:t>Charles W. Hooper</w:t>
            </w:r>
          </w:p>
        </w:tc>
        <w:tc>
          <w:tcPr>
            <w:tcW w:w="1200" w:type="dxa"/>
            <w:vAlign w:val="bottom"/>
            <w:tcBorders>
              <w:bottom w:val="single" w:sz="8" w:color="F3F3F4"/>
            </w:tcBorders>
            <w:shd w:val="clear" w:color="auto" w:fill="F3F3F4"/>
          </w:tcPr>
          <w:p>
            <w:pPr>
              <w:jc w:val="right"/>
              <w:ind w:right="473"/>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F3F3F4"/>
            </w:tcBorders>
            <w:shd w:val="clear" w:color="auto" w:fill="F3F3F4"/>
          </w:tcPr>
          <w:p>
            <w:pPr>
              <w:spacing w:after="0"/>
              <w:rPr>
                <w:sz w:val="24"/>
                <w:szCs w:val="24"/>
                <w:color w:val="auto"/>
              </w:rPr>
            </w:pPr>
          </w:p>
        </w:tc>
        <w:tc>
          <w:tcPr>
            <w:tcW w:w="2040" w:type="dxa"/>
            <w:vAlign w:val="bottom"/>
            <w:tcBorders>
              <w:bottom w:val="single" w:sz="8" w:color="F3F3F4"/>
            </w:tcBorders>
            <w:shd w:val="clear" w:color="auto" w:fill="F3F3F4"/>
          </w:tcPr>
          <w:p>
            <w:pPr>
              <w:spacing w:after="0"/>
              <w:rPr>
                <w:sz w:val="24"/>
                <w:szCs w:val="24"/>
                <w:color w:val="auto"/>
              </w:rPr>
            </w:pPr>
          </w:p>
        </w:tc>
        <w:tc>
          <w:tcPr>
            <w:tcW w:w="860" w:type="dxa"/>
            <w:vAlign w:val="bottom"/>
            <w:tcBorders>
              <w:bottom w:val="single" w:sz="8" w:color="F3F3F4"/>
            </w:tcBorders>
            <w:shd w:val="clear" w:color="auto" w:fill="F3F3F4"/>
          </w:tcPr>
          <w:p>
            <w:pPr>
              <w:jc w:val="center"/>
              <w:spacing w:after="0"/>
              <w:rPr>
                <w:sz w:val="20"/>
                <w:szCs w:val="20"/>
                <w:color w:val="auto"/>
              </w:rPr>
            </w:pPr>
            <w:r>
              <w:rPr>
                <w:rFonts w:ascii="Arial" w:cs="Arial" w:eastAsia="Arial" w:hAnsi="Arial"/>
                <w:sz w:val="16"/>
                <w:szCs w:val="16"/>
                <w:color w:val="auto"/>
              </w:rPr>
              <w:t>Chair</w:t>
            </w:r>
          </w:p>
        </w:tc>
        <w:tc>
          <w:tcPr>
            <w:tcW w:w="1640" w:type="dxa"/>
            <w:vAlign w:val="bottom"/>
            <w:tcBorders>
              <w:bottom w:val="single" w:sz="8" w:color="F3F3F4"/>
            </w:tcBorders>
            <w:shd w:val="clear" w:color="auto" w:fill="F3F3F4"/>
          </w:tcPr>
          <w:p>
            <w:pPr>
              <w:jc w:val="right"/>
              <w:ind w:right="745"/>
              <w:spacing w:after="0"/>
              <w:rPr>
                <w:sz w:val="20"/>
                <w:szCs w:val="20"/>
                <w:color w:val="auto"/>
              </w:rPr>
            </w:pPr>
            <w:r>
              <w:rPr>
                <w:rFonts w:ascii="Arial" w:cs="Arial" w:eastAsia="Arial" w:hAnsi="Arial"/>
                <w:sz w:val="13"/>
                <w:szCs w:val="13"/>
                <w:color w:val="auto"/>
              </w:rPr>
              <w:t>●</w:t>
            </w:r>
          </w:p>
        </w:tc>
      </w:tr>
      <w:tr>
        <w:trPr>
          <w:trHeight w:val="248"/>
        </w:trPr>
        <w:tc>
          <w:tcPr>
            <w:tcW w:w="2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Chansoo Joung</w:t>
            </w:r>
          </w:p>
        </w:tc>
        <w:tc>
          <w:tcPr>
            <w:tcW w:w="1200" w:type="dxa"/>
            <w:vAlign w:val="bottom"/>
            <w:tcBorders>
              <w:top w:val="single" w:sz="8" w:color="auto"/>
            </w:tcBorders>
          </w:tcPr>
          <w:p>
            <w:pPr>
              <w:jc w:val="right"/>
              <w:ind w:right="473"/>
              <w:spacing w:after="0"/>
              <w:rPr>
                <w:sz w:val="20"/>
                <w:szCs w:val="20"/>
                <w:color w:val="auto"/>
              </w:rPr>
            </w:pPr>
            <w:r>
              <w:rPr>
                <w:rFonts w:ascii="Arial" w:cs="Arial" w:eastAsia="Arial" w:hAnsi="Arial"/>
                <w:sz w:val="13"/>
                <w:szCs w:val="13"/>
                <w:color w:val="auto"/>
              </w:rPr>
              <w:t>●</w:t>
            </w:r>
          </w:p>
        </w:tc>
        <w:tc>
          <w:tcPr>
            <w:tcW w:w="1560" w:type="dxa"/>
            <w:vAlign w:val="bottom"/>
            <w:tcBorders>
              <w:top w:val="single" w:sz="8" w:color="auto"/>
            </w:tcBorders>
          </w:tcPr>
          <w:p>
            <w:pPr>
              <w:jc w:val="right"/>
              <w:ind w:right="568"/>
              <w:spacing w:after="0"/>
              <w:rPr>
                <w:sz w:val="20"/>
                <w:szCs w:val="20"/>
                <w:color w:val="auto"/>
              </w:rPr>
            </w:pPr>
            <w:r>
              <w:rPr>
                <w:rFonts w:ascii="Arial" w:cs="Arial" w:eastAsia="Arial" w:hAnsi="Arial"/>
                <w:sz w:val="13"/>
                <w:szCs w:val="13"/>
                <w:color w:val="auto"/>
              </w:rPr>
              <w:t>●</w:t>
            </w:r>
          </w:p>
        </w:tc>
        <w:tc>
          <w:tcPr>
            <w:tcW w:w="20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49"/>
              <w:spacing w:after="0"/>
              <w:rPr>
                <w:sz w:val="20"/>
                <w:szCs w:val="20"/>
                <w:color w:val="auto"/>
              </w:rPr>
            </w:pPr>
            <w:r>
              <w:rPr>
                <w:rFonts w:ascii="Arial" w:cs="Arial" w:eastAsia="Arial" w:hAnsi="Arial"/>
                <w:sz w:val="13"/>
                <w:szCs w:val="13"/>
                <w:color w:val="auto"/>
              </w:rPr>
              <w:t>●</w:t>
            </w:r>
          </w:p>
        </w:tc>
        <w:tc>
          <w:tcPr>
            <w:tcW w:w="1640" w:type="dxa"/>
            <w:vAlign w:val="bottom"/>
            <w:tcBorders>
              <w:top w:val="single" w:sz="8" w:color="auto"/>
            </w:tcBorders>
          </w:tcPr>
          <w:p>
            <w:pPr>
              <w:spacing w:after="0"/>
              <w:rPr>
                <w:sz w:val="21"/>
                <w:szCs w:val="21"/>
                <w:color w:val="auto"/>
              </w:rPr>
            </w:pPr>
          </w:p>
        </w:tc>
      </w:tr>
      <w:tr>
        <w:trPr>
          <w:trHeight w:val="43"/>
        </w:trPr>
        <w:tc>
          <w:tcPr>
            <w:tcW w:w="2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95"/>
        </w:trPr>
        <w:tc>
          <w:tcPr>
            <w:tcW w:w="2420" w:type="dxa"/>
            <w:vAlign w:val="bottom"/>
            <w:tcBorders>
              <w:bottom w:val="single" w:sz="8" w:color="F3F3F4"/>
            </w:tcBorders>
            <w:shd w:val="clear" w:color="auto" w:fill="F3F3F4"/>
          </w:tcPr>
          <w:p>
            <w:pPr>
              <w:spacing w:after="0"/>
              <w:rPr>
                <w:sz w:val="20"/>
                <w:szCs w:val="20"/>
                <w:color w:val="auto"/>
              </w:rPr>
            </w:pPr>
            <w:r>
              <w:rPr>
                <w:rFonts w:ascii="Arial" w:cs="Arial" w:eastAsia="Arial" w:hAnsi="Arial"/>
                <w:sz w:val="16"/>
                <w:szCs w:val="16"/>
                <w:color w:val="auto"/>
              </w:rPr>
              <w:t>H. Lamar McKay</w:t>
            </w:r>
          </w:p>
        </w:tc>
        <w:tc>
          <w:tcPr>
            <w:tcW w:w="1200" w:type="dxa"/>
            <w:vAlign w:val="bottom"/>
            <w:tcBorders>
              <w:bottom w:val="single" w:sz="8" w:color="F3F3F4"/>
            </w:tcBorders>
            <w:shd w:val="clear" w:color="auto" w:fill="F3F3F4"/>
          </w:tcPr>
          <w:p>
            <w:pPr>
              <w:jc w:val="right"/>
              <w:ind w:right="333"/>
              <w:spacing w:after="0"/>
              <w:rPr>
                <w:sz w:val="20"/>
                <w:szCs w:val="20"/>
                <w:color w:val="auto"/>
              </w:rPr>
            </w:pPr>
            <w:r>
              <w:rPr>
                <w:rFonts w:ascii="Arial" w:cs="Arial" w:eastAsia="Arial" w:hAnsi="Arial"/>
                <w:sz w:val="16"/>
                <w:szCs w:val="16"/>
                <w:color w:val="auto"/>
              </w:rPr>
              <w:t>Chair</w:t>
            </w:r>
          </w:p>
        </w:tc>
        <w:tc>
          <w:tcPr>
            <w:tcW w:w="1560" w:type="dxa"/>
            <w:vAlign w:val="bottom"/>
            <w:tcBorders>
              <w:bottom w:val="single" w:sz="8" w:color="F3F3F4"/>
            </w:tcBorders>
            <w:shd w:val="clear" w:color="auto" w:fill="F3F3F4"/>
          </w:tcPr>
          <w:p>
            <w:pPr>
              <w:spacing w:after="0"/>
              <w:rPr>
                <w:sz w:val="24"/>
                <w:szCs w:val="24"/>
                <w:color w:val="auto"/>
              </w:rPr>
            </w:pPr>
          </w:p>
        </w:tc>
        <w:tc>
          <w:tcPr>
            <w:tcW w:w="2040" w:type="dxa"/>
            <w:vAlign w:val="bottom"/>
            <w:tcBorders>
              <w:bottom w:val="single" w:sz="8" w:color="F3F3F4"/>
            </w:tcBorders>
            <w:shd w:val="clear" w:color="auto" w:fill="F3F3F4"/>
          </w:tcPr>
          <w:p>
            <w:pPr>
              <w:spacing w:after="0"/>
              <w:rPr>
                <w:sz w:val="24"/>
                <w:szCs w:val="24"/>
                <w:color w:val="auto"/>
              </w:rPr>
            </w:pPr>
          </w:p>
        </w:tc>
        <w:tc>
          <w:tcPr>
            <w:tcW w:w="860" w:type="dxa"/>
            <w:vAlign w:val="bottom"/>
            <w:tcBorders>
              <w:bottom w:val="single" w:sz="8" w:color="F3F3F4"/>
            </w:tcBorders>
            <w:shd w:val="clear" w:color="auto" w:fill="F3F3F4"/>
          </w:tcPr>
          <w:p>
            <w:pPr>
              <w:spacing w:after="0"/>
              <w:rPr>
                <w:sz w:val="24"/>
                <w:szCs w:val="24"/>
                <w:color w:val="auto"/>
              </w:rPr>
            </w:pPr>
          </w:p>
        </w:tc>
        <w:tc>
          <w:tcPr>
            <w:tcW w:w="1640" w:type="dxa"/>
            <w:vAlign w:val="bottom"/>
            <w:tcBorders>
              <w:bottom w:val="single" w:sz="8" w:color="F3F3F4"/>
            </w:tcBorders>
            <w:shd w:val="clear" w:color="auto" w:fill="F3F3F4"/>
          </w:tcPr>
          <w:p>
            <w:pPr>
              <w:spacing w:after="0"/>
              <w:rPr>
                <w:sz w:val="24"/>
                <w:szCs w:val="24"/>
                <w:color w:val="auto"/>
              </w:rPr>
            </w:pPr>
          </w:p>
        </w:tc>
      </w:tr>
      <w:tr>
        <w:trPr>
          <w:trHeight w:val="248"/>
        </w:trPr>
        <w:tc>
          <w:tcPr>
            <w:tcW w:w="2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Peter A. Ragauss</w:t>
            </w:r>
          </w:p>
        </w:tc>
        <w:tc>
          <w:tcPr>
            <w:tcW w:w="1200" w:type="dxa"/>
            <w:vAlign w:val="bottom"/>
            <w:tcBorders>
              <w:top w:val="single" w:sz="8" w:color="auto"/>
            </w:tcBorders>
          </w:tcPr>
          <w:p>
            <w:pPr>
              <w:jc w:val="right"/>
              <w:ind w:right="473"/>
              <w:spacing w:after="0"/>
              <w:rPr>
                <w:sz w:val="20"/>
                <w:szCs w:val="20"/>
                <w:color w:val="auto"/>
              </w:rPr>
            </w:pPr>
            <w:r>
              <w:rPr>
                <w:rFonts w:ascii="Arial" w:cs="Arial" w:eastAsia="Arial" w:hAnsi="Arial"/>
                <w:sz w:val="13"/>
                <w:szCs w:val="13"/>
                <w:color w:val="auto"/>
              </w:rPr>
              <w:t>●</w:t>
            </w:r>
          </w:p>
        </w:tc>
        <w:tc>
          <w:tcPr>
            <w:tcW w:w="1560" w:type="dxa"/>
            <w:vAlign w:val="bottom"/>
            <w:tcBorders>
              <w:top w:val="single" w:sz="8" w:color="auto"/>
            </w:tcBorders>
          </w:tcPr>
          <w:p>
            <w:pPr>
              <w:jc w:val="right"/>
              <w:ind w:right="568"/>
              <w:spacing w:after="0"/>
              <w:rPr>
                <w:sz w:val="20"/>
                <w:szCs w:val="20"/>
                <w:color w:val="auto"/>
              </w:rPr>
            </w:pPr>
            <w:r>
              <w:rPr>
                <w:rFonts w:ascii="Arial" w:cs="Arial" w:eastAsia="Arial" w:hAnsi="Arial"/>
                <w:sz w:val="13"/>
                <w:szCs w:val="13"/>
                <w:color w:val="auto"/>
              </w:rPr>
              <w:t>●</w:t>
            </w:r>
          </w:p>
        </w:tc>
        <w:tc>
          <w:tcPr>
            <w:tcW w:w="20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49"/>
              <w:spacing w:after="0"/>
              <w:rPr>
                <w:sz w:val="20"/>
                <w:szCs w:val="20"/>
                <w:color w:val="auto"/>
              </w:rPr>
            </w:pPr>
            <w:r>
              <w:rPr>
                <w:rFonts w:ascii="Arial" w:cs="Arial" w:eastAsia="Arial" w:hAnsi="Arial"/>
                <w:sz w:val="13"/>
                <w:szCs w:val="13"/>
                <w:color w:val="auto"/>
              </w:rPr>
              <w:t>●</w:t>
            </w:r>
          </w:p>
        </w:tc>
        <w:tc>
          <w:tcPr>
            <w:tcW w:w="1640" w:type="dxa"/>
            <w:vAlign w:val="bottom"/>
            <w:tcBorders>
              <w:top w:val="single" w:sz="8" w:color="auto"/>
            </w:tcBorders>
          </w:tcPr>
          <w:p>
            <w:pPr>
              <w:spacing w:after="0"/>
              <w:rPr>
                <w:sz w:val="21"/>
                <w:szCs w:val="21"/>
                <w:color w:val="auto"/>
              </w:rPr>
            </w:pPr>
          </w:p>
        </w:tc>
      </w:tr>
      <w:tr>
        <w:trPr>
          <w:trHeight w:val="43"/>
        </w:trPr>
        <w:tc>
          <w:tcPr>
            <w:tcW w:w="2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95"/>
        </w:trPr>
        <w:tc>
          <w:tcPr>
            <w:tcW w:w="2420" w:type="dxa"/>
            <w:vAlign w:val="bottom"/>
            <w:tcBorders>
              <w:bottom w:val="single" w:sz="8" w:color="F3F3F4"/>
            </w:tcBorders>
            <w:shd w:val="clear" w:color="auto" w:fill="F3F3F4"/>
          </w:tcPr>
          <w:p>
            <w:pPr>
              <w:spacing w:after="0"/>
              <w:rPr>
                <w:sz w:val="20"/>
                <w:szCs w:val="20"/>
                <w:color w:val="auto"/>
              </w:rPr>
            </w:pPr>
            <w:r>
              <w:rPr>
                <w:rFonts w:ascii="Arial" w:cs="Arial" w:eastAsia="Arial" w:hAnsi="Arial"/>
                <w:sz w:val="16"/>
                <w:szCs w:val="16"/>
                <w:color w:val="auto"/>
              </w:rPr>
              <w:t>David L. Stover</w:t>
            </w:r>
          </w:p>
        </w:tc>
        <w:tc>
          <w:tcPr>
            <w:tcW w:w="1200" w:type="dxa"/>
            <w:vAlign w:val="bottom"/>
            <w:tcBorders>
              <w:bottom w:val="single" w:sz="8" w:color="F3F3F4"/>
            </w:tcBorders>
            <w:shd w:val="clear" w:color="auto" w:fill="F3F3F4"/>
          </w:tcPr>
          <w:p>
            <w:pPr>
              <w:jc w:val="right"/>
              <w:ind w:right="473"/>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F3F3F4"/>
            </w:tcBorders>
            <w:shd w:val="clear" w:color="auto" w:fill="F3F3F4"/>
          </w:tcPr>
          <w:p>
            <w:pPr>
              <w:spacing w:after="0"/>
              <w:rPr>
                <w:sz w:val="24"/>
                <w:szCs w:val="24"/>
                <w:color w:val="auto"/>
              </w:rPr>
            </w:pPr>
          </w:p>
        </w:tc>
        <w:tc>
          <w:tcPr>
            <w:tcW w:w="2040" w:type="dxa"/>
            <w:vAlign w:val="bottom"/>
            <w:tcBorders>
              <w:bottom w:val="single" w:sz="8" w:color="F3F3F4"/>
            </w:tcBorders>
            <w:shd w:val="clear" w:color="auto" w:fill="F3F3F4"/>
          </w:tcPr>
          <w:p>
            <w:pPr>
              <w:spacing w:after="0"/>
              <w:rPr>
                <w:sz w:val="24"/>
                <w:szCs w:val="24"/>
                <w:color w:val="auto"/>
              </w:rPr>
            </w:pPr>
          </w:p>
        </w:tc>
        <w:tc>
          <w:tcPr>
            <w:tcW w:w="860" w:type="dxa"/>
            <w:vAlign w:val="bottom"/>
            <w:tcBorders>
              <w:bottom w:val="single" w:sz="8" w:color="F3F3F4"/>
            </w:tcBorders>
            <w:shd w:val="clear" w:color="auto" w:fill="F3F3F4"/>
          </w:tcPr>
          <w:p>
            <w:pPr>
              <w:jc w:val="right"/>
              <w:ind w:right="349"/>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F3F3F4"/>
            </w:tcBorders>
            <w:shd w:val="clear" w:color="auto" w:fill="F3F3F4"/>
          </w:tcPr>
          <w:p>
            <w:pPr>
              <w:jc w:val="right"/>
              <w:ind w:right="745"/>
              <w:spacing w:after="0"/>
              <w:rPr>
                <w:sz w:val="20"/>
                <w:szCs w:val="20"/>
                <w:color w:val="auto"/>
              </w:rPr>
            </w:pPr>
            <w:r>
              <w:rPr>
                <w:rFonts w:ascii="Arial" w:cs="Arial" w:eastAsia="Arial" w:hAnsi="Arial"/>
                <w:sz w:val="13"/>
                <w:szCs w:val="13"/>
                <w:color w:val="auto"/>
              </w:rPr>
              <w:t>●</w:t>
            </w:r>
          </w:p>
        </w:tc>
      </w:tr>
      <w:tr>
        <w:trPr>
          <w:trHeight w:val="248"/>
        </w:trPr>
        <w:tc>
          <w:tcPr>
            <w:tcW w:w="24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Anya Weaving</w:t>
            </w:r>
          </w:p>
        </w:tc>
        <w:tc>
          <w:tcPr>
            <w:tcW w:w="1200" w:type="dxa"/>
            <w:vAlign w:val="bottom"/>
            <w:tcBorders>
              <w:top w:val="single" w:sz="8" w:color="auto"/>
            </w:tcBorders>
          </w:tcPr>
          <w:p>
            <w:pPr>
              <w:jc w:val="right"/>
              <w:ind w:right="473"/>
              <w:spacing w:after="0"/>
              <w:rPr>
                <w:sz w:val="20"/>
                <w:szCs w:val="20"/>
                <w:color w:val="auto"/>
              </w:rPr>
            </w:pPr>
            <w:r>
              <w:rPr>
                <w:rFonts w:ascii="Arial" w:cs="Arial" w:eastAsia="Arial" w:hAnsi="Arial"/>
                <w:sz w:val="13"/>
                <w:szCs w:val="13"/>
                <w:color w:val="auto"/>
              </w:rPr>
              <w:t>●</w:t>
            </w:r>
          </w:p>
        </w:tc>
        <w:tc>
          <w:tcPr>
            <w:tcW w:w="1560" w:type="dxa"/>
            <w:vAlign w:val="bottom"/>
            <w:tcBorders>
              <w:top w:val="single" w:sz="8" w:color="auto"/>
            </w:tcBorders>
          </w:tcPr>
          <w:p>
            <w:pPr>
              <w:jc w:val="right"/>
              <w:ind w:right="568"/>
              <w:spacing w:after="0"/>
              <w:rPr>
                <w:sz w:val="20"/>
                <w:szCs w:val="20"/>
                <w:color w:val="auto"/>
              </w:rPr>
            </w:pPr>
            <w:r>
              <w:rPr>
                <w:rFonts w:ascii="Arial" w:cs="Arial" w:eastAsia="Arial" w:hAnsi="Arial"/>
                <w:sz w:val="13"/>
                <w:szCs w:val="13"/>
                <w:color w:val="auto"/>
              </w:rPr>
              <w:t>●</w:t>
            </w:r>
          </w:p>
        </w:tc>
        <w:tc>
          <w:tcPr>
            <w:tcW w:w="2040" w:type="dxa"/>
            <w:vAlign w:val="bottom"/>
            <w:tcBorders>
              <w:top w:val="single" w:sz="8" w:color="auto"/>
            </w:tcBorders>
          </w:tcPr>
          <w:p>
            <w:pPr>
              <w:jc w:val="right"/>
              <w:ind w:right="865"/>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r>
      <w:tr>
        <w:trPr>
          <w:trHeight w:val="43"/>
        </w:trPr>
        <w:tc>
          <w:tcPr>
            <w:tcW w:w="24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70"/>
        </w:trPr>
        <w:tc>
          <w:tcPr>
            <w:tcW w:w="2420" w:type="dxa"/>
            <w:vAlign w:val="bottom"/>
            <w:tcBorders>
              <w:bottom w:val="single" w:sz="8" w:color="F3F3F4"/>
            </w:tcBorders>
            <w:shd w:val="clear" w:color="auto" w:fill="F3F3F4"/>
          </w:tcPr>
          <w:p>
            <w:pPr>
              <w:spacing w:after="0"/>
              <w:rPr>
                <w:sz w:val="20"/>
                <w:szCs w:val="20"/>
                <w:color w:val="auto"/>
              </w:rPr>
            </w:pPr>
            <w:r>
              <w:rPr>
                <w:rFonts w:ascii="Arial" w:cs="Arial" w:eastAsia="Arial" w:hAnsi="Arial"/>
                <w:sz w:val="16"/>
                <w:szCs w:val="16"/>
                <w:b w:val="1"/>
                <w:bCs w:val="1"/>
                <w:color w:val="auto"/>
              </w:rPr>
              <w:t>Meetings in 2025</w:t>
            </w:r>
          </w:p>
        </w:tc>
        <w:tc>
          <w:tcPr>
            <w:tcW w:w="1200" w:type="dxa"/>
            <w:vAlign w:val="bottom"/>
            <w:tcBorders>
              <w:bottom w:val="single" w:sz="8" w:color="F3F3F4"/>
            </w:tcBorders>
            <w:shd w:val="clear" w:color="auto" w:fill="F3F3F4"/>
          </w:tcPr>
          <w:p>
            <w:pPr>
              <w:jc w:val="right"/>
              <w:ind w:right="473"/>
              <w:spacing w:after="0"/>
              <w:rPr>
                <w:sz w:val="20"/>
                <w:szCs w:val="20"/>
                <w:color w:val="auto"/>
              </w:rPr>
            </w:pPr>
            <w:r>
              <w:rPr>
                <w:rFonts w:ascii="Arial" w:cs="Arial" w:eastAsia="Arial" w:hAnsi="Arial"/>
                <w:sz w:val="16"/>
                <w:szCs w:val="16"/>
                <w:b w:val="1"/>
                <w:bCs w:val="1"/>
                <w:color w:val="auto"/>
              </w:rPr>
              <w:t>9</w:t>
            </w:r>
          </w:p>
        </w:tc>
        <w:tc>
          <w:tcPr>
            <w:tcW w:w="1560" w:type="dxa"/>
            <w:vAlign w:val="bottom"/>
            <w:tcBorders>
              <w:bottom w:val="single" w:sz="8" w:color="F3F3F4"/>
            </w:tcBorders>
            <w:shd w:val="clear" w:color="auto" w:fill="F3F3F4"/>
          </w:tcPr>
          <w:p>
            <w:pPr>
              <w:jc w:val="right"/>
              <w:ind w:right="548"/>
              <w:spacing w:after="0"/>
              <w:rPr>
                <w:sz w:val="20"/>
                <w:szCs w:val="20"/>
                <w:color w:val="auto"/>
              </w:rPr>
            </w:pPr>
            <w:r>
              <w:rPr>
                <w:rFonts w:ascii="Arial" w:cs="Arial" w:eastAsia="Arial" w:hAnsi="Arial"/>
                <w:sz w:val="16"/>
                <w:szCs w:val="16"/>
                <w:b w:val="1"/>
                <w:bCs w:val="1"/>
                <w:color w:val="auto"/>
              </w:rPr>
              <w:t>8</w:t>
            </w:r>
          </w:p>
        </w:tc>
        <w:tc>
          <w:tcPr>
            <w:tcW w:w="2040" w:type="dxa"/>
            <w:vAlign w:val="bottom"/>
            <w:tcBorders>
              <w:bottom w:val="single" w:sz="8" w:color="F3F3F4"/>
            </w:tcBorders>
            <w:shd w:val="clear" w:color="auto" w:fill="F3F3F4"/>
          </w:tcPr>
          <w:p>
            <w:pPr>
              <w:jc w:val="right"/>
              <w:ind w:right="845"/>
              <w:spacing w:after="0"/>
              <w:rPr>
                <w:sz w:val="20"/>
                <w:szCs w:val="20"/>
                <w:color w:val="auto"/>
              </w:rPr>
            </w:pPr>
            <w:r>
              <w:rPr>
                <w:rFonts w:ascii="Arial" w:cs="Arial" w:eastAsia="Arial" w:hAnsi="Arial"/>
                <w:sz w:val="16"/>
                <w:szCs w:val="16"/>
                <w:b w:val="1"/>
                <w:bCs w:val="1"/>
                <w:color w:val="auto"/>
              </w:rPr>
              <w:t>5</w:t>
            </w:r>
          </w:p>
        </w:tc>
        <w:tc>
          <w:tcPr>
            <w:tcW w:w="860" w:type="dxa"/>
            <w:vAlign w:val="bottom"/>
            <w:tcBorders>
              <w:bottom w:val="single" w:sz="8" w:color="F3F3F4"/>
            </w:tcBorders>
            <w:shd w:val="clear" w:color="auto" w:fill="F3F3F4"/>
          </w:tcPr>
          <w:p>
            <w:pPr>
              <w:jc w:val="right"/>
              <w:ind w:right="349"/>
              <w:spacing w:after="0"/>
              <w:rPr>
                <w:sz w:val="20"/>
                <w:szCs w:val="20"/>
                <w:color w:val="auto"/>
              </w:rPr>
            </w:pPr>
            <w:r>
              <w:rPr>
                <w:rFonts w:ascii="Arial" w:cs="Arial" w:eastAsia="Arial" w:hAnsi="Arial"/>
                <w:sz w:val="16"/>
                <w:szCs w:val="16"/>
                <w:b w:val="1"/>
                <w:bCs w:val="1"/>
                <w:color w:val="auto"/>
              </w:rPr>
              <w:t>4</w:t>
            </w:r>
          </w:p>
        </w:tc>
        <w:tc>
          <w:tcPr>
            <w:tcW w:w="1640" w:type="dxa"/>
            <w:vAlign w:val="bottom"/>
            <w:tcBorders>
              <w:bottom w:val="single" w:sz="8" w:color="F3F3F4"/>
            </w:tcBorders>
            <w:shd w:val="clear" w:color="auto" w:fill="F3F3F4"/>
          </w:tcPr>
          <w:p>
            <w:pPr>
              <w:jc w:val="right"/>
              <w:ind w:right="725"/>
              <w:spacing w:after="0"/>
              <w:rPr>
                <w:sz w:val="20"/>
                <w:szCs w:val="20"/>
                <w:color w:val="auto"/>
              </w:rPr>
            </w:pPr>
            <w:r>
              <w:rPr>
                <w:rFonts w:ascii="Arial" w:cs="Arial" w:eastAsia="Arial" w:hAnsi="Arial"/>
                <w:sz w:val="16"/>
                <w:szCs w:val="16"/>
                <w:b w:val="1"/>
                <w:bCs w:val="1"/>
                <w:color w:val="auto"/>
              </w:rPr>
              <w:t>6</w:t>
            </w:r>
          </w:p>
        </w:tc>
      </w:tr>
      <w:tr>
        <w:trPr>
          <w:trHeight w:val="20"/>
        </w:trPr>
        <w:tc>
          <w:tcPr>
            <w:tcW w:w="24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45" w:lineRule="exact"/>
        <w:rPr>
          <w:sz w:val="20"/>
          <w:szCs w:val="20"/>
          <w:color w:val="auto"/>
        </w:rPr>
      </w:pPr>
    </w:p>
    <w:p>
      <w:pPr>
        <w:ind w:left="240" w:right="600" w:hanging="236"/>
        <w:spacing w:after="0" w:line="281" w:lineRule="auto"/>
        <w:tabs>
          <w:tab w:leader="none" w:pos="327" w:val="left"/>
        </w:tabs>
        <w:numPr>
          <w:ilvl w:val="0"/>
          <w:numId w:val="11"/>
        </w:numPr>
        <w:rPr>
          <w:rFonts w:ascii="Arial" w:cs="Arial" w:eastAsia="Arial" w:hAnsi="Arial"/>
          <w:sz w:val="14"/>
          <w:szCs w:val="14"/>
          <w:color w:val="595959"/>
        </w:rPr>
      </w:pPr>
      <w:r>
        <w:rPr>
          <w:rFonts w:ascii="Arial" w:cs="Arial" w:eastAsia="Arial" w:hAnsi="Arial"/>
          <w:sz w:val="14"/>
          <w:szCs w:val="14"/>
          <w:color w:val="595959"/>
        </w:rPr>
        <w:t>The Board has determined that each committee member qualifies as a financial expert, as defined in Item 407 of Regulation S-K under the Securities Act, and is “financially sophisticated” under Nasdaq Stock Market (Nasdaq) rules.</w:t>
      </w:r>
    </w:p>
    <w:p>
      <w:pPr>
        <w:spacing w:after="0" w:line="1" w:lineRule="exact"/>
        <w:rPr>
          <w:rFonts w:ascii="Arial" w:cs="Arial" w:eastAsia="Arial" w:hAnsi="Arial"/>
          <w:sz w:val="14"/>
          <w:szCs w:val="14"/>
          <w:color w:val="595959"/>
        </w:rPr>
      </w:pPr>
    </w:p>
    <w:p>
      <w:pPr>
        <w:ind w:left="320" w:hanging="316"/>
        <w:spacing w:after="0"/>
        <w:tabs>
          <w:tab w:leader="none" w:pos="320" w:val="left"/>
        </w:tabs>
        <w:numPr>
          <w:ilvl w:val="0"/>
          <w:numId w:val="11"/>
        </w:numPr>
        <w:rPr>
          <w:rFonts w:ascii="Arial" w:cs="Arial" w:eastAsia="Arial" w:hAnsi="Arial"/>
          <w:sz w:val="14"/>
          <w:szCs w:val="14"/>
          <w:color w:val="595959"/>
        </w:rPr>
      </w:pPr>
      <w:r>
        <w:rPr>
          <w:rFonts w:ascii="Arial" w:cs="Arial" w:eastAsia="Arial" w:hAnsi="Arial"/>
          <w:sz w:val="14"/>
          <w:szCs w:val="14"/>
          <w:color w:val="595959"/>
        </w:rPr>
        <w:t>The Board has determined that each committee member qualifies as independent under Nasdaq and SEC rules.</w:t>
      </w:r>
    </w:p>
    <w:p>
      <w:pPr>
        <w:spacing w:after="0" w:line="55" w:lineRule="exact"/>
        <w:rPr>
          <w:rFonts w:ascii="Arial" w:cs="Arial" w:eastAsia="Arial" w:hAnsi="Arial"/>
          <w:sz w:val="14"/>
          <w:szCs w:val="14"/>
          <w:color w:val="595959"/>
        </w:rPr>
      </w:pPr>
    </w:p>
    <w:p>
      <w:pPr>
        <w:ind w:left="240" w:right="80" w:hanging="236"/>
        <w:spacing w:after="0" w:line="256" w:lineRule="auto"/>
        <w:tabs>
          <w:tab w:leader="none" w:pos="327" w:val="left"/>
        </w:tabs>
        <w:numPr>
          <w:ilvl w:val="0"/>
          <w:numId w:val="11"/>
        </w:numPr>
        <w:rPr>
          <w:rFonts w:ascii="Arial" w:cs="Arial" w:eastAsia="Arial" w:hAnsi="Arial"/>
          <w:sz w:val="14"/>
          <w:szCs w:val="14"/>
          <w:color w:val="595959"/>
        </w:rPr>
      </w:pPr>
      <w:r>
        <w:rPr>
          <w:rFonts w:ascii="Arial" w:cs="Arial" w:eastAsia="Arial" w:hAnsi="Arial"/>
          <w:sz w:val="14"/>
          <w:szCs w:val="14"/>
          <w:color w:val="595959"/>
        </w:rPr>
        <w:t>Mr. Bob was elected to the Board on April 1, 2024, in connection with the closing of the Company’s acquisition of Callon Petroleum Company, where he had served as a member of its board since 2014 and as board chair since 2023. Mr. Bob was instrumental in the Board’s oversight of the Company’s integration of Callon, which is now complete, and his term of office will expire at the annual meeting. We thank Mr. Bob for his numerous contributions to the Board and to the success of the Company.</w:t>
      </w:r>
    </w:p>
    <w:p>
      <w:pPr>
        <w:spacing w:after="0" w:line="64" w:lineRule="exact"/>
        <w:rPr>
          <w:sz w:val="20"/>
          <w:szCs w:val="20"/>
          <w:color w:val="auto"/>
        </w:rPr>
      </w:pPr>
    </w:p>
    <w:p>
      <w:pPr>
        <w:jc w:val="both"/>
        <w:ind w:right="640"/>
        <w:spacing w:after="0" w:line="266" w:lineRule="auto"/>
        <w:rPr>
          <w:sz w:val="20"/>
          <w:szCs w:val="20"/>
          <w:color w:val="auto"/>
        </w:rPr>
      </w:pPr>
      <w:r>
        <w:rPr>
          <w:rFonts w:ascii="Arial" w:cs="Arial" w:eastAsia="Arial" w:hAnsi="Arial"/>
          <w:sz w:val="16"/>
          <w:szCs w:val="16"/>
          <w:color w:val="auto"/>
        </w:rPr>
        <w:t>During 2025, each of the Company’s then-current directors attended at least 75% of Board meetings and applicable committee meetings held during their respective periods of service. While the Company does not have a policy regarding Board members’ attendance at our annual meeting of shareholders, all then-current directors attended last year’s meeting.</w:t>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Committee Responsibilities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140" w:type="dxa"/>
            <w:vAlign w:val="bottom"/>
            <w:tcBorders>
              <w:top w:val="single" w:sz="8" w:color="auto"/>
              <w:bottom w:val="single" w:sz="8" w:color="F3F3F4"/>
            </w:tcBorders>
            <w:shd w:val="clear" w:color="auto" w:fill="F3F3F4"/>
          </w:tcPr>
          <w:p>
            <w:pPr>
              <w:ind w:left="40"/>
              <w:spacing w:after="0"/>
              <w:rPr>
                <w:sz w:val="20"/>
                <w:szCs w:val="20"/>
                <w:color w:val="auto"/>
              </w:rPr>
            </w:pPr>
            <w:r>
              <w:rPr>
                <w:rFonts w:ascii="Arial" w:cs="Arial" w:eastAsia="Arial" w:hAnsi="Arial"/>
                <w:sz w:val="16"/>
                <w:szCs w:val="16"/>
                <w:b w:val="1"/>
                <w:bCs w:val="1"/>
                <w:color w:val="auto"/>
              </w:rPr>
              <w:t>Committee</w:t>
            </w:r>
          </w:p>
        </w:tc>
        <w:tc>
          <w:tcPr>
            <w:tcW w:w="7580" w:type="dxa"/>
            <w:vAlign w:val="bottom"/>
            <w:tcBorders>
              <w:top w:val="single" w:sz="8" w:color="auto"/>
              <w:bottom w:val="single" w:sz="8" w:color="F3F3F4"/>
            </w:tcBorders>
            <w:shd w:val="clear" w:color="auto" w:fill="F3F3F4"/>
          </w:tcPr>
          <w:p>
            <w:pPr>
              <w:ind w:left="140"/>
              <w:spacing w:after="0"/>
              <w:rPr>
                <w:sz w:val="20"/>
                <w:szCs w:val="20"/>
                <w:color w:val="auto"/>
              </w:rPr>
            </w:pPr>
            <w:r>
              <w:rPr>
                <w:rFonts w:ascii="Arial" w:cs="Arial" w:eastAsia="Arial" w:hAnsi="Arial"/>
                <w:sz w:val="16"/>
                <w:szCs w:val="16"/>
                <w:b w:val="1"/>
                <w:bCs w:val="1"/>
                <w:color w:val="auto"/>
              </w:rPr>
              <w:t>Primary Responsibilities</w:t>
            </w:r>
          </w:p>
        </w:tc>
      </w:tr>
      <w:tr>
        <w:trPr>
          <w:trHeight w:val="222"/>
        </w:trPr>
        <w:tc>
          <w:tcPr>
            <w:tcW w:w="21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Audit</w:t>
            </w:r>
          </w:p>
        </w:tc>
        <w:tc>
          <w:tcPr>
            <w:tcW w:w="758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 xml:space="preserve">Assists the Board in fulfilling its oversight responsibility for the </w:t>
            </w:r>
            <w:r>
              <w:rPr>
                <w:rFonts w:ascii="Arial" w:cs="Arial" w:eastAsia="Arial" w:hAnsi="Arial"/>
                <w:sz w:val="16"/>
                <w:szCs w:val="16"/>
                <w:b w:val="1"/>
                <w:bCs w:val="1"/>
                <w:color w:val="auto"/>
              </w:rPr>
              <w:t>integrity</w:t>
            </w:r>
            <w:r>
              <w:rPr>
                <w:rFonts w:ascii="Arial" w:cs="Arial" w:eastAsia="Arial" w:hAnsi="Arial"/>
                <w:sz w:val="16"/>
                <w:szCs w:val="16"/>
                <w:color w:val="auto"/>
              </w:rPr>
              <w:t xml:space="preserve"> of the consolidated financial</w:t>
            </w:r>
          </w:p>
        </w:tc>
      </w:tr>
      <w:tr>
        <w:trPr>
          <w:trHeight w:val="189"/>
        </w:trPr>
        <w:tc>
          <w:tcPr>
            <w:tcW w:w="214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6"/>
                <w:szCs w:val="16"/>
                <w:color w:val="auto"/>
              </w:rPr>
              <w:t>statements, accounting and financial reporting processes, and systems of internal controls; reviews the</w:t>
            </w:r>
          </w:p>
        </w:tc>
      </w:tr>
      <w:tr>
        <w:trPr>
          <w:trHeight w:val="189"/>
        </w:trPr>
        <w:tc>
          <w:tcPr>
            <w:tcW w:w="214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6"/>
                <w:szCs w:val="16"/>
                <w:color w:val="auto"/>
              </w:rPr>
              <w:t xml:space="preserve">performance of the </w:t>
            </w:r>
            <w:r>
              <w:rPr>
                <w:rFonts w:ascii="Arial" w:cs="Arial" w:eastAsia="Arial" w:hAnsi="Arial"/>
                <w:sz w:val="16"/>
                <w:szCs w:val="16"/>
                <w:b w:val="1"/>
                <w:bCs w:val="1"/>
                <w:color w:val="auto"/>
              </w:rPr>
              <w:t>independent auditor</w:t>
            </w:r>
            <w:r>
              <w:rPr>
                <w:rFonts w:ascii="Arial" w:cs="Arial" w:eastAsia="Arial" w:hAnsi="Arial"/>
                <w:sz w:val="16"/>
                <w:szCs w:val="16"/>
                <w:color w:val="auto"/>
              </w:rPr>
              <w:t xml:space="preserve"> and </w:t>
            </w:r>
            <w:r>
              <w:rPr>
                <w:rFonts w:ascii="Arial" w:cs="Arial" w:eastAsia="Arial" w:hAnsi="Arial"/>
                <w:sz w:val="16"/>
                <w:szCs w:val="16"/>
                <w:b w:val="1"/>
                <w:bCs w:val="1"/>
                <w:color w:val="auto"/>
              </w:rPr>
              <w:t>internal audit</w:t>
            </w:r>
            <w:r>
              <w:rPr>
                <w:rFonts w:ascii="Arial" w:cs="Arial" w:eastAsia="Arial" w:hAnsi="Arial"/>
                <w:sz w:val="16"/>
                <w:szCs w:val="16"/>
                <w:color w:val="auto"/>
              </w:rPr>
              <w:t xml:space="preserve"> function; and reviews with management</w:t>
            </w:r>
          </w:p>
        </w:tc>
      </w:tr>
      <w:tr>
        <w:trPr>
          <w:trHeight w:val="223"/>
        </w:trPr>
        <w:tc>
          <w:tcPr>
            <w:tcW w:w="214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Arial" w:cs="Arial" w:eastAsia="Arial" w:hAnsi="Arial"/>
                <w:sz w:val="16"/>
                <w:szCs w:val="16"/>
                <w:color w:val="auto"/>
              </w:rPr>
              <w:t xml:space="preserve">how the Company assesses and manages its </w:t>
            </w:r>
            <w:r>
              <w:rPr>
                <w:rFonts w:ascii="Arial" w:cs="Arial" w:eastAsia="Arial" w:hAnsi="Arial"/>
                <w:sz w:val="16"/>
                <w:szCs w:val="16"/>
                <w:b w:val="1"/>
                <w:bCs w:val="1"/>
                <w:color w:val="auto"/>
              </w:rPr>
              <w:t>exposure to risk</w:t>
            </w:r>
          </w:p>
        </w:tc>
      </w:tr>
      <w:tr>
        <w:trPr>
          <w:trHeight w:val="34"/>
        </w:trPr>
        <w:tc>
          <w:tcPr>
            <w:tcW w:w="2140" w:type="dxa"/>
            <w:vAlign w:val="bottom"/>
            <w:tcBorders>
              <w:bottom w:val="single" w:sz="8" w:color="auto"/>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r>
      <w:tr>
        <w:trPr>
          <w:trHeight w:val="222"/>
        </w:trPr>
        <w:tc>
          <w:tcPr>
            <w:tcW w:w="2140" w:type="dxa"/>
            <w:vAlign w:val="bottom"/>
          </w:tcPr>
          <w:p>
            <w:pPr>
              <w:ind w:left="40"/>
              <w:spacing w:after="0"/>
              <w:rPr>
                <w:sz w:val="20"/>
                <w:szCs w:val="20"/>
                <w:color w:val="auto"/>
              </w:rPr>
            </w:pPr>
            <w:r>
              <w:rPr>
                <w:rFonts w:ascii="Arial" w:cs="Arial" w:eastAsia="Arial" w:hAnsi="Arial"/>
                <w:sz w:val="16"/>
                <w:szCs w:val="16"/>
                <w:b w:val="1"/>
                <w:bCs w:val="1"/>
                <w:color w:val="auto"/>
              </w:rPr>
              <w:t>Corporate Responsibility,</w:t>
            </w:r>
          </w:p>
        </w:tc>
        <w:tc>
          <w:tcPr>
            <w:tcW w:w="7580" w:type="dxa"/>
            <w:vAlign w:val="bottom"/>
          </w:tcPr>
          <w:p>
            <w:pPr>
              <w:ind w:left="140"/>
              <w:spacing w:after="0"/>
              <w:rPr>
                <w:sz w:val="20"/>
                <w:szCs w:val="20"/>
                <w:color w:val="auto"/>
              </w:rPr>
            </w:pPr>
            <w:r>
              <w:rPr>
                <w:rFonts w:ascii="Arial" w:cs="Arial" w:eastAsia="Arial" w:hAnsi="Arial"/>
                <w:sz w:val="16"/>
                <w:szCs w:val="16"/>
                <w:color w:val="auto"/>
              </w:rPr>
              <w:t xml:space="preserve">Recommends to the Board the </w:t>
            </w:r>
            <w:r>
              <w:rPr>
                <w:rFonts w:ascii="Arial" w:cs="Arial" w:eastAsia="Arial" w:hAnsi="Arial"/>
                <w:sz w:val="16"/>
                <w:szCs w:val="16"/>
                <w:b w:val="1"/>
                <w:bCs w:val="1"/>
                <w:color w:val="auto"/>
              </w:rPr>
              <w:t>director nominees</w:t>
            </w:r>
            <w:r>
              <w:rPr>
                <w:rFonts w:ascii="Arial" w:cs="Arial" w:eastAsia="Arial" w:hAnsi="Arial"/>
                <w:sz w:val="16"/>
                <w:szCs w:val="16"/>
                <w:color w:val="auto"/>
              </w:rPr>
              <w:t xml:space="preserve"> for election and proposes </w:t>
            </w:r>
            <w:r>
              <w:rPr>
                <w:rFonts w:ascii="Arial" w:cs="Arial" w:eastAsia="Arial" w:hAnsi="Arial"/>
                <w:sz w:val="16"/>
                <w:szCs w:val="16"/>
                <w:b w:val="1"/>
                <w:bCs w:val="1"/>
                <w:color w:val="auto"/>
              </w:rPr>
              <w:t>qualified candidates</w:t>
            </w:r>
            <w:r>
              <w:rPr>
                <w:rFonts w:ascii="Arial" w:cs="Arial" w:eastAsia="Arial" w:hAnsi="Arial"/>
                <w:sz w:val="16"/>
                <w:szCs w:val="16"/>
                <w:color w:val="auto"/>
              </w:rPr>
              <w:t xml:space="preserve"> to</w:t>
            </w:r>
          </w:p>
        </w:tc>
      </w:tr>
      <w:tr>
        <w:trPr>
          <w:trHeight w:val="189"/>
        </w:trPr>
        <w:tc>
          <w:tcPr>
            <w:tcW w:w="2140" w:type="dxa"/>
            <w:vAlign w:val="bottom"/>
          </w:tcPr>
          <w:p>
            <w:pPr>
              <w:ind w:left="40"/>
              <w:spacing w:after="0"/>
              <w:rPr>
                <w:sz w:val="20"/>
                <w:szCs w:val="20"/>
                <w:color w:val="auto"/>
              </w:rPr>
            </w:pPr>
            <w:r>
              <w:rPr>
                <w:rFonts w:ascii="Arial" w:cs="Arial" w:eastAsia="Arial" w:hAnsi="Arial"/>
                <w:sz w:val="16"/>
                <w:szCs w:val="16"/>
                <w:b w:val="1"/>
                <w:bCs w:val="1"/>
                <w:color w:val="auto"/>
              </w:rPr>
              <w:t>Governance, and</w:t>
            </w:r>
          </w:p>
        </w:tc>
        <w:tc>
          <w:tcPr>
            <w:tcW w:w="7580" w:type="dxa"/>
            <w:vAlign w:val="bottom"/>
          </w:tcPr>
          <w:p>
            <w:pPr>
              <w:ind w:left="140"/>
              <w:spacing w:after="0"/>
              <w:rPr>
                <w:sz w:val="20"/>
                <w:szCs w:val="20"/>
                <w:color w:val="auto"/>
              </w:rPr>
            </w:pPr>
            <w:r>
              <w:rPr>
                <w:rFonts w:ascii="Arial" w:cs="Arial" w:eastAsia="Arial" w:hAnsi="Arial"/>
                <w:sz w:val="16"/>
                <w:szCs w:val="16"/>
                <w:color w:val="auto"/>
              </w:rPr>
              <w:t xml:space="preserve">fill vacancies; develops </w:t>
            </w:r>
            <w:r>
              <w:rPr>
                <w:rFonts w:ascii="Arial" w:cs="Arial" w:eastAsia="Arial" w:hAnsi="Arial"/>
                <w:sz w:val="16"/>
                <w:szCs w:val="16"/>
                <w:b w:val="1"/>
                <w:bCs w:val="1"/>
                <w:color w:val="auto"/>
              </w:rPr>
              <w:t>corporate governance principles</w:t>
            </w:r>
            <w:r>
              <w:rPr>
                <w:rFonts w:ascii="Arial" w:cs="Arial" w:eastAsia="Arial" w:hAnsi="Arial"/>
                <w:sz w:val="16"/>
                <w:szCs w:val="16"/>
                <w:color w:val="auto"/>
              </w:rPr>
              <w:t>, reviews related-party transactions, and</w:t>
            </w:r>
          </w:p>
        </w:tc>
      </w:tr>
      <w:tr>
        <w:trPr>
          <w:trHeight w:val="223"/>
        </w:trPr>
        <w:tc>
          <w:tcPr>
            <w:tcW w:w="2140" w:type="dxa"/>
            <w:vAlign w:val="bottom"/>
          </w:tcPr>
          <w:p>
            <w:pPr>
              <w:ind w:left="40"/>
              <w:spacing w:after="0"/>
              <w:rPr>
                <w:sz w:val="20"/>
                <w:szCs w:val="20"/>
                <w:color w:val="auto"/>
              </w:rPr>
            </w:pPr>
            <w:r>
              <w:rPr>
                <w:rFonts w:ascii="Arial" w:cs="Arial" w:eastAsia="Arial" w:hAnsi="Arial"/>
                <w:sz w:val="16"/>
                <w:szCs w:val="16"/>
                <w:b w:val="1"/>
                <w:bCs w:val="1"/>
                <w:color w:val="auto"/>
              </w:rPr>
              <w:t xml:space="preserve">Nominating </w:t>
            </w:r>
            <w:r>
              <w:rPr>
                <w:rFonts w:ascii="Arial" w:cs="Arial" w:eastAsia="Arial" w:hAnsi="Arial"/>
                <w:sz w:val="16"/>
                <w:szCs w:val="16"/>
                <w:color w:val="auto"/>
              </w:rPr>
              <w:t>(CRG&amp;N)</w:t>
            </w:r>
          </w:p>
        </w:tc>
        <w:tc>
          <w:tcPr>
            <w:tcW w:w="7580" w:type="dxa"/>
            <w:vAlign w:val="bottom"/>
          </w:tcPr>
          <w:p>
            <w:pPr>
              <w:ind w:left="140"/>
              <w:spacing w:after="0"/>
              <w:rPr>
                <w:sz w:val="20"/>
                <w:szCs w:val="20"/>
                <w:color w:val="auto"/>
              </w:rPr>
            </w:pPr>
            <w:r>
              <w:rPr>
                <w:rFonts w:ascii="Arial" w:cs="Arial" w:eastAsia="Arial" w:hAnsi="Arial"/>
                <w:sz w:val="16"/>
                <w:szCs w:val="16"/>
                <w:color w:val="auto"/>
              </w:rPr>
              <w:t xml:space="preserve">oversees the Board evaluation; and reviews strategies on </w:t>
            </w:r>
            <w:r>
              <w:rPr>
                <w:rFonts w:ascii="Arial" w:cs="Arial" w:eastAsia="Arial" w:hAnsi="Arial"/>
                <w:sz w:val="16"/>
                <w:szCs w:val="16"/>
                <w:b w:val="1"/>
                <w:bCs w:val="1"/>
                <w:color w:val="auto"/>
              </w:rPr>
              <w:t>sustainability</w:t>
            </w:r>
            <w:r>
              <w:rPr>
                <w:rFonts w:ascii="Arial" w:cs="Arial" w:eastAsia="Arial" w:hAnsi="Arial"/>
                <w:sz w:val="16"/>
                <w:szCs w:val="16"/>
                <w:color w:val="auto"/>
              </w:rPr>
              <w:t xml:space="preserve"> and </w:t>
            </w:r>
            <w:r>
              <w:rPr>
                <w:rFonts w:ascii="Arial" w:cs="Arial" w:eastAsia="Arial" w:hAnsi="Arial"/>
                <w:sz w:val="16"/>
                <w:szCs w:val="16"/>
                <w:b w:val="1"/>
                <w:bCs w:val="1"/>
                <w:color w:val="auto"/>
              </w:rPr>
              <w:t>corporate responsibility</w:t>
            </w:r>
          </w:p>
        </w:tc>
      </w:tr>
      <w:tr>
        <w:trPr>
          <w:trHeight w:val="35"/>
        </w:trPr>
        <w:tc>
          <w:tcPr>
            <w:tcW w:w="2140" w:type="dxa"/>
            <w:vAlign w:val="bottom"/>
            <w:tcBorders>
              <w:bottom w:val="single" w:sz="8" w:color="auto"/>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r>
      <w:tr>
        <w:trPr>
          <w:trHeight w:val="222"/>
        </w:trPr>
        <w:tc>
          <w:tcPr>
            <w:tcW w:w="2140" w:type="dxa"/>
            <w:vAlign w:val="bottom"/>
          </w:tcPr>
          <w:p>
            <w:pPr>
              <w:ind w:left="40"/>
              <w:spacing w:after="0"/>
              <w:rPr>
                <w:sz w:val="20"/>
                <w:szCs w:val="20"/>
                <w:color w:val="auto"/>
              </w:rPr>
            </w:pPr>
            <w:r>
              <w:rPr>
                <w:rFonts w:ascii="Arial" w:cs="Arial" w:eastAsia="Arial" w:hAnsi="Arial"/>
                <w:sz w:val="16"/>
                <w:szCs w:val="16"/>
                <w:b w:val="1"/>
                <w:bCs w:val="1"/>
                <w:color w:val="auto"/>
              </w:rPr>
              <w:t>Cybersecurity</w:t>
            </w:r>
          </w:p>
        </w:tc>
        <w:tc>
          <w:tcPr>
            <w:tcW w:w="7580" w:type="dxa"/>
            <w:vAlign w:val="bottom"/>
          </w:tcPr>
          <w:p>
            <w:pPr>
              <w:ind w:left="140"/>
              <w:spacing w:after="0"/>
              <w:rPr>
                <w:sz w:val="20"/>
                <w:szCs w:val="20"/>
                <w:color w:val="auto"/>
              </w:rPr>
            </w:pPr>
            <w:r>
              <w:rPr>
                <w:rFonts w:ascii="Arial" w:cs="Arial" w:eastAsia="Arial" w:hAnsi="Arial"/>
                <w:sz w:val="16"/>
                <w:szCs w:val="16"/>
                <w:color w:val="auto"/>
              </w:rPr>
              <w:t xml:space="preserve">Maintains an oversight role for </w:t>
            </w:r>
            <w:r>
              <w:rPr>
                <w:rFonts w:ascii="Arial" w:cs="Arial" w:eastAsia="Arial" w:hAnsi="Arial"/>
                <w:sz w:val="16"/>
                <w:szCs w:val="16"/>
                <w:b w:val="1"/>
                <w:bCs w:val="1"/>
                <w:color w:val="auto"/>
              </w:rPr>
              <w:t>cybersecurity policies</w:t>
            </w:r>
            <w:r>
              <w:rPr>
                <w:rFonts w:ascii="Arial" w:cs="Arial" w:eastAsia="Arial" w:hAnsi="Arial"/>
                <w:sz w:val="16"/>
                <w:szCs w:val="16"/>
                <w:color w:val="auto"/>
              </w:rPr>
              <w:t>, procedures, and plans; reviews policies and</w:t>
            </w:r>
          </w:p>
        </w:tc>
      </w:tr>
      <w:tr>
        <w:trPr>
          <w:trHeight w:val="189"/>
        </w:trPr>
        <w:tc>
          <w:tcPr>
            <w:tcW w:w="214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Arial" w:cs="Arial" w:eastAsia="Arial" w:hAnsi="Arial"/>
                <w:sz w:val="16"/>
                <w:szCs w:val="16"/>
                <w:color w:val="auto"/>
              </w:rPr>
              <w:t xml:space="preserve">procedures related to </w:t>
            </w:r>
            <w:r>
              <w:rPr>
                <w:rFonts w:ascii="Arial" w:cs="Arial" w:eastAsia="Arial" w:hAnsi="Arial"/>
                <w:sz w:val="16"/>
                <w:szCs w:val="16"/>
                <w:b w:val="1"/>
                <w:bCs w:val="1"/>
                <w:color w:val="auto"/>
              </w:rPr>
              <w:t>material cybersecurity attacks</w:t>
            </w:r>
            <w:r>
              <w:rPr>
                <w:rFonts w:ascii="Arial" w:cs="Arial" w:eastAsia="Arial" w:hAnsi="Arial"/>
                <w:sz w:val="16"/>
                <w:szCs w:val="16"/>
                <w:color w:val="auto"/>
              </w:rPr>
              <w:t>; and oversees the preparation of the Company’s</w:t>
            </w:r>
          </w:p>
        </w:tc>
      </w:tr>
      <w:tr>
        <w:trPr>
          <w:trHeight w:val="215"/>
        </w:trPr>
        <w:tc>
          <w:tcPr>
            <w:tcW w:w="214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6"/>
                <w:szCs w:val="16"/>
                <w:color w:val="auto"/>
              </w:rPr>
              <w:t>cybersecurity disclosures in its reports filed with the SEC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-1395095</wp:posOffset>
            </wp:positionV>
            <wp:extent cx="6172200" cy="18688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2200" cy="1868805"/>
                    </a:xfrm>
                    <a:prstGeom prst="rect">
                      <a:avLst/>
                    </a:prstGeom>
                    <a:noFill/>
                  </pic:spPr>
                </pic:pic>
              </a:graphicData>
            </a:graphic>
          </wp:anchor>
        </w:drawing>
      </w:r>
    </w:p>
    <w:p>
      <w:pPr>
        <w:spacing w:after="0" w:line="76" w:lineRule="exact"/>
        <w:rPr>
          <w:sz w:val="20"/>
          <w:szCs w:val="20"/>
          <w:color w:val="auto"/>
        </w:rPr>
      </w:pPr>
    </w:p>
    <w:p>
      <w:pPr>
        <w:ind w:left="40" w:right="520"/>
        <w:spacing w:after="0" w:line="256" w:lineRule="auto"/>
        <w:rPr>
          <w:sz w:val="20"/>
          <w:szCs w:val="20"/>
          <w:color w:val="auto"/>
        </w:rPr>
      </w:pPr>
      <w:r>
        <w:rPr>
          <w:rFonts w:ascii="Arial" w:cs="Arial" w:eastAsia="Arial" w:hAnsi="Arial"/>
          <w:sz w:val="16"/>
          <w:szCs w:val="16"/>
          <w:b w:val="1"/>
          <w:bCs w:val="1"/>
          <w:color w:val="auto"/>
        </w:rPr>
        <w:t xml:space="preserve">Management Development </w:t>
      </w:r>
      <w:r>
        <w:rPr>
          <w:rFonts w:ascii="Arial" w:cs="Arial" w:eastAsia="Arial" w:hAnsi="Arial"/>
          <w:sz w:val="16"/>
          <w:szCs w:val="16"/>
          <w:color w:val="auto"/>
        </w:rPr>
        <w:t>Reviews</w:t>
      </w:r>
      <w:r>
        <w:rPr>
          <w:rFonts w:ascii="Arial" w:cs="Arial" w:eastAsia="Arial" w:hAnsi="Arial"/>
          <w:sz w:val="16"/>
          <w:szCs w:val="16"/>
          <w:b w:val="1"/>
          <w:bCs w:val="1"/>
          <w:color w:val="auto"/>
        </w:rPr>
        <w:t xml:space="preserve"> management resources </w:t>
      </w:r>
      <w:r>
        <w:rPr>
          <w:rFonts w:ascii="Arial" w:cs="Arial" w:eastAsia="Arial" w:hAnsi="Arial"/>
          <w:sz w:val="16"/>
          <w:szCs w:val="16"/>
          <w:color w:val="auto"/>
        </w:rPr>
        <w:t>and structure, including CEO and management succession</w:t>
      </w:r>
      <w:r>
        <w:rPr>
          <w:rFonts w:ascii="Arial" w:cs="Arial" w:eastAsia="Arial" w:hAnsi="Arial"/>
          <w:sz w:val="16"/>
          <w:szCs w:val="16"/>
          <w:b w:val="1"/>
          <w:bCs w:val="1"/>
          <w:color w:val="auto"/>
        </w:rPr>
        <w:t xml:space="preserve"> and Compensation </w:t>
      </w:r>
      <w:r>
        <w:rPr>
          <w:rFonts w:ascii="Arial" w:cs="Arial" w:eastAsia="Arial" w:hAnsi="Arial"/>
          <w:sz w:val="16"/>
          <w:szCs w:val="16"/>
          <w:color w:val="auto"/>
        </w:rPr>
        <w:t>(MD&amp;C) planning; administers</w:t>
      </w:r>
      <w:r>
        <w:rPr>
          <w:rFonts w:ascii="Arial" w:cs="Arial" w:eastAsia="Arial" w:hAnsi="Arial"/>
          <w:sz w:val="16"/>
          <w:szCs w:val="16"/>
          <w:b w:val="1"/>
          <w:bCs w:val="1"/>
          <w:color w:val="auto"/>
        </w:rPr>
        <w:t xml:space="preserve"> compensation programs </w:t>
      </w:r>
      <w:r>
        <w:rPr>
          <w:rFonts w:ascii="Arial" w:cs="Arial" w:eastAsia="Arial" w:hAnsi="Arial"/>
          <w:sz w:val="16"/>
          <w:szCs w:val="16"/>
          <w:color w:val="auto"/>
        </w:rPr>
        <w:t>and retirement, equity-based, and similar plans;</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 xml:space="preserve">ensures appropriate practices are in place to support employee </w:t>
      </w:r>
      <w:r>
        <w:rPr>
          <w:rFonts w:ascii="Arial" w:cs="Arial" w:eastAsia="Arial" w:hAnsi="Arial"/>
          <w:sz w:val="16"/>
          <w:szCs w:val="16"/>
          <w:b w:val="1"/>
          <w:bCs w:val="1"/>
          <w:color w:val="auto"/>
        </w:rPr>
        <w:t>development and retention</w:t>
      </w:r>
    </w:p>
    <w:p>
      <w:pPr>
        <w:spacing w:after="0" w:line="200" w:lineRule="exact"/>
        <w:rPr>
          <w:sz w:val="20"/>
          <w:szCs w:val="20"/>
          <w:color w:val="auto"/>
        </w:rPr>
      </w:pPr>
    </w:p>
    <w:p>
      <w:pPr>
        <w:spacing w:after="0" w:line="289" w:lineRule="exact"/>
        <w:rPr>
          <w:sz w:val="20"/>
          <w:szCs w:val="20"/>
          <w:color w:val="auto"/>
        </w:rPr>
      </w:pPr>
    </w:p>
    <w:p>
      <w:pPr>
        <w:ind w:left="420" w:hanging="398"/>
        <w:spacing w:after="0"/>
        <w:tabs>
          <w:tab w:leader="none" w:pos="42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08" w:right="1099" w:bottom="1440" w:gutter="0" w:footer="0" w:header="0"/>
        </w:sectPr>
      </w:pPr>
    </w:p>
    <w:bookmarkStart w:id="7" w:name="page8"/>
    <w:bookmarkEnd w:id="7"/>
    <w:p>
      <w:pPr>
        <w:ind w:left="660"/>
        <w:spacing w:after="0"/>
        <w:rPr>
          <w:sz w:val="20"/>
          <w:szCs w:val="20"/>
          <w:color w:val="auto"/>
        </w:rPr>
      </w:pPr>
      <w:r>
        <w:rPr>
          <w:rFonts w:ascii="Arial" w:cs="Arial" w:eastAsia="Arial" w:hAnsi="Arial"/>
          <w:sz w:val="25"/>
          <w:szCs w:val="25"/>
          <w:b w:val="1"/>
          <w:bCs w:val="1"/>
          <w:i w:val="1"/>
          <w:iCs w:val="1"/>
          <w:color w:val="auto"/>
        </w:rPr>
        <w:t>Committee Charters and Governance Documents</w:t>
      </w:r>
    </w:p>
    <w:p>
      <w:pPr>
        <w:spacing w:after="0" w:line="124" w:lineRule="exact"/>
        <w:rPr>
          <w:sz w:val="20"/>
          <w:szCs w:val="20"/>
          <w:color w:val="auto"/>
        </w:rPr>
      </w:pPr>
    </w:p>
    <w:p>
      <w:pPr>
        <w:ind w:left="660" w:right="1100"/>
        <w:spacing w:after="0" w:line="259" w:lineRule="auto"/>
        <w:rPr>
          <w:sz w:val="20"/>
          <w:szCs w:val="20"/>
          <w:color w:val="auto"/>
        </w:rPr>
      </w:pPr>
      <w:r>
        <w:rPr>
          <w:rFonts w:ascii="Arial" w:cs="Arial" w:eastAsia="Arial" w:hAnsi="Arial"/>
          <w:sz w:val="16"/>
          <w:szCs w:val="16"/>
          <w:color w:val="auto"/>
        </w:rPr>
        <w:t>On our website at www.apacorp.com, you can access electronic copies of the charters of our standing committees, along with our Corporate Governance Principles and Code of Conduct, which meets the requirements of a code of ethics under applicable SEC regulations and Nasdaq standards. You may also request printed copies by writing to APA’s Corporate Secretary at our principal executive offices.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Board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161290</wp:posOffset>
            </wp:positionV>
            <wp:extent cx="6172200" cy="248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2200" cy="248285"/>
                    </a:xfrm>
                    <a:prstGeom prst="rect">
                      <a:avLst/>
                    </a:prstGeom>
                    <a:noFill/>
                  </pic:spPr>
                </pic:pic>
              </a:graphicData>
            </a:graphic>
          </wp:anchor>
        </w:drawing>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FFFFFF"/>
        </w:rPr>
        <w:t>Board of Directors</w:t>
      </w:r>
    </w:p>
    <w:p>
      <w:pPr>
        <w:spacing w:after="0" w:line="114" w:lineRule="exact"/>
        <w:rPr>
          <w:sz w:val="20"/>
          <w:szCs w:val="20"/>
          <w:color w:val="auto"/>
        </w:rPr>
      </w:pPr>
    </w:p>
    <w:p>
      <w:pPr>
        <w:ind w:left="1020" w:hanging="239"/>
        <w:spacing w:after="0"/>
        <w:tabs>
          <w:tab w:leader="none" w:pos="1020" w:val="left"/>
        </w:tabs>
        <w:numPr>
          <w:ilvl w:val="0"/>
          <w:numId w:val="13"/>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Oversees the Company’s </w:t>
      </w:r>
      <w:r>
        <w:rPr>
          <w:rFonts w:ascii="Arial" w:cs="Arial" w:eastAsia="Arial" w:hAnsi="Arial"/>
          <w:sz w:val="16"/>
          <w:szCs w:val="16"/>
          <w:b w:val="1"/>
          <w:bCs w:val="1"/>
          <w:color w:val="auto"/>
        </w:rPr>
        <w:t>risk management and business strategy</w:t>
      </w:r>
      <w:r>
        <w:rPr>
          <w:rFonts w:ascii="Arial" w:cs="Arial" w:eastAsia="Arial" w:hAnsi="Arial"/>
          <w:sz w:val="16"/>
          <w:szCs w:val="16"/>
          <w:color w:val="auto"/>
        </w:rPr>
        <w:t xml:space="preserve"> and receives updates from Board committees</w:t>
      </w:r>
    </w:p>
    <w:p>
      <w:pPr>
        <w:spacing w:after="0" w:line="5" w:lineRule="exact"/>
        <w:rPr>
          <w:rFonts w:ascii="Times New Roman" w:cs="Times New Roman" w:eastAsia="Times New Roman" w:hAnsi="Times New Roman"/>
          <w:sz w:val="22"/>
          <w:szCs w:val="22"/>
          <w:color w:val="D9AB28"/>
        </w:rPr>
      </w:pPr>
    </w:p>
    <w:p>
      <w:pPr>
        <w:ind w:left="1020" w:hanging="239"/>
        <w:spacing w:after="0" w:line="224" w:lineRule="auto"/>
        <w:tabs>
          <w:tab w:leader="none" w:pos="1020" w:val="left"/>
        </w:tabs>
        <w:numPr>
          <w:ilvl w:val="0"/>
          <w:numId w:val="13"/>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Invites </w:t>
      </w:r>
      <w:r>
        <w:rPr>
          <w:rFonts w:ascii="Arial" w:cs="Arial" w:eastAsia="Arial" w:hAnsi="Arial"/>
          <w:sz w:val="16"/>
          <w:szCs w:val="16"/>
          <w:b w:val="1"/>
          <w:bCs w:val="1"/>
          <w:color w:val="auto"/>
        </w:rPr>
        <w:t>external experts and advisors</w:t>
      </w:r>
      <w:r>
        <w:rPr>
          <w:rFonts w:ascii="Arial" w:cs="Arial" w:eastAsia="Arial" w:hAnsi="Arial"/>
          <w:sz w:val="16"/>
          <w:szCs w:val="16"/>
          <w:color w:val="auto"/>
        </w:rPr>
        <w:t xml:space="preserve"> to present current and future risks and trends</w:t>
      </w:r>
    </w:p>
    <w:p>
      <w:pPr>
        <w:spacing w:after="0" w:line="6" w:lineRule="exact"/>
        <w:rPr>
          <w:rFonts w:ascii="Times New Roman" w:cs="Times New Roman" w:eastAsia="Times New Roman" w:hAnsi="Times New Roman"/>
          <w:sz w:val="22"/>
          <w:szCs w:val="22"/>
          <w:color w:val="D9AB28"/>
        </w:rPr>
      </w:pPr>
    </w:p>
    <w:p>
      <w:pPr>
        <w:ind w:left="1020" w:hanging="239"/>
        <w:spacing w:after="0" w:line="224" w:lineRule="auto"/>
        <w:tabs>
          <w:tab w:leader="none" w:pos="1020" w:val="left"/>
        </w:tabs>
        <w:numPr>
          <w:ilvl w:val="0"/>
          <w:numId w:val="13"/>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Reviews </w:t>
      </w:r>
      <w:r>
        <w:rPr>
          <w:rFonts w:ascii="Arial" w:cs="Arial" w:eastAsia="Arial" w:hAnsi="Arial"/>
          <w:sz w:val="16"/>
          <w:szCs w:val="16"/>
          <w:b w:val="1"/>
          <w:bCs w:val="1"/>
          <w:color w:val="auto"/>
        </w:rPr>
        <w:t>strategic risks</w:t>
      </w:r>
      <w:r>
        <w:rPr>
          <w:rFonts w:ascii="Arial" w:cs="Arial" w:eastAsia="Arial" w:hAnsi="Arial"/>
          <w:sz w:val="16"/>
          <w:szCs w:val="16"/>
          <w:color w:val="auto"/>
        </w:rPr>
        <w:t>, including risks relating to operations, environment, health, safety, and security</w:t>
      </w:r>
    </w:p>
    <w:p>
      <w:pPr>
        <w:spacing w:after="0" w:line="21" w:lineRule="exact"/>
        <w:rPr>
          <w:rFonts w:ascii="Times New Roman" w:cs="Times New Roman" w:eastAsia="Times New Roman" w:hAnsi="Times New Roman"/>
          <w:sz w:val="22"/>
          <w:szCs w:val="22"/>
          <w:color w:val="D9AB28"/>
        </w:rPr>
      </w:pPr>
    </w:p>
    <w:p>
      <w:pPr>
        <w:jc w:val="both"/>
        <w:ind w:left="1020" w:right="780" w:hanging="239"/>
        <w:spacing w:after="0" w:line="229" w:lineRule="auto"/>
        <w:tabs>
          <w:tab w:leader="none" w:pos="1020" w:val="left"/>
        </w:tabs>
        <w:numPr>
          <w:ilvl w:val="0"/>
          <w:numId w:val="13"/>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Holds regularly scheduled </w:t>
      </w:r>
      <w:r>
        <w:rPr>
          <w:rFonts w:ascii="Arial" w:cs="Arial" w:eastAsia="Arial" w:hAnsi="Arial"/>
          <w:sz w:val="16"/>
          <w:szCs w:val="16"/>
          <w:b w:val="1"/>
          <w:bCs w:val="1"/>
          <w:color w:val="auto"/>
        </w:rPr>
        <w:t>executive sessions</w:t>
      </w:r>
      <w:r>
        <w:rPr>
          <w:rFonts w:ascii="Arial" w:cs="Arial" w:eastAsia="Arial" w:hAnsi="Arial"/>
          <w:sz w:val="16"/>
          <w:szCs w:val="16"/>
          <w:color w:val="auto"/>
        </w:rPr>
        <w:t xml:space="preserve"> of the independent directors as often as they deem appropriate, but in any event at least twice each year, providing an additional avenue through which the Board monitors the Company’s risk exposure and policies regarding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95885</wp:posOffset>
            </wp:positionV>
            <wp:extent cx="617220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2200" cy="222885"/>
                    </a:xfrm>
                    <a:prstGeom prst="rect">
                      <a:avLst/>
                    </a:prstGeom>
                    <a:noFill/>
                  </pic:spPr>
                </pic:pic>
              </a:graphicData>
            </a:graphic>
          </wp:anchor>
        </w:drawing>
      </w:r>
    </w:p>
    <w:p>
      <w:pPr>
        <w:spacing w:after="0" w:line="175" w:lineRule="exact"/>
        <w:rPr>
          <w:sz w:val="20"/>
          <w:szCs w:val="20"/>
          <w:color w:val="auto"/>
        </w:rPr>
      </w:pPr>
    </w:p>
    <w:p>
      <w:pPr>
        <w:ind w:left="2240"/>
        <w:spacing w:after="0"/>
        <w:tabs>
          <w:tab w:leader="none" w:pos="7120" w:val="left"/>
        </w:tabs>
        <w:rPr>
          <w:sz w:val="20"/>
          <w:szCs w:val="20"/>
          <w:color w:val="auto"/>
        </w:rPr>
      </w:pPr>
      <w:r>
        <w:rPr>
          <w:rFonts w:ascii="Arial" w:cs="Arial" w:eastAsia="Arial" w:hAnsi="Arial"/>
          <w:sz w:val="20"/>
          <w:szCs w:val="20"/>
          <w:b w:val="1"/>
          <w:bCs w:val="1"/>
          <w:color w:val="FFFFFF"/>
        </w:rPr>
        <w:t>Audit Committee</w:t>
      </w:r>
      <w:r>
        <w:rPr>
          <w:sz w:val="20"/>
          <w:szCs w:val="20"/>
          <w:color w:val="auto"/>
        </w:rPr>
        <w:tab/>
      </w:r>
      <w:r>
        <w:rPr>
          <w:rFonts w:ascii="Arial" w:cs="Arial" w:eastAsia="Arial" w:hAnsi="Arial"/>
          <w:sz w:val="19"/>
          <w:szCs w:val="19"/>
          <w:b w:val="1"/>
          <w:bCs w:val="1"/>
          <w:color w:val="FFFFFF"/>
        </w:rPr>
        <w:t>CRG&amp;N Committee</w:t>
      </w:r>
    </w:p>
    <w:p>
      <w:pPr>
        <w:sectPr>
          <w:pgSz w:w="11900" w:h="16838" w:orient="portrait"/>
          <w:cols w:equalWidth="0" w:num="1">
            <w:col w:w="11040"/>
          </w:cols>
          <w:pgMar w:left="420" w:top="1226" w:right="439" w:bottom="1440" w:gutter="0" w:footer="0" w:header="0"/>
        </w:sectPr>
      </w:pPr>
    </w:p>
    <w:p>
      <w:pPr>
        <w:spacing w:after="0" w:line="117" w:lineRule="exact"/>
        <w:rPr>
          <w:sz w:val="20"/>
          <w:szCs w:val="20"/>
          <w:color w:val="auto"/>
        </w:rPr>
      </w:pPr>
    </w:p>
    <w:p>
      <w:pPr>
        <w:ind w:left="1020" w:hanging="239"/>
        <w:spacing w:after="0" w:line="229" w:lineRule="auto"/>
        <w:tabs>
          <w:tab w:leader="none" w:pos="1020" w:val="left"/>
        </w:tabs>
        <w:numPr>
          <w:ilvl w:val="0"/>
          <w:numId w:val="14"/>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Reviews with management the </w:t>
      </w:r>
      <w:r>
        <w:rPr>
          <w:rFonts w:ascii="Arial" w:cs="Arial" w:eastAsia="Arial" w:hAnsi="Arial"/>
          <w:sz w:val="16"/>
          <w:szCs w:val="16"/>
          <w:b w:val="1"/>
          <w:bCs w:val="1"/>
          <w:color w:val="auto"/>
        </w:rPr>
        <w:t>guidelines and policies</w:t>
      </w:r>
      <w:r>
        <w:rPr>
          <w:rFonts w:ascii="Arial" w:cs="Arial" w:eastAsia="Arial" w:hAnsi="Arial"/>
          <w:sz w:val="16"/>
          <w:szCs w:val="16"/>
          <w:color w:val="auto"/>
        </w:rPr>
        <w:t xml:space="preserve"> governing the process by which management assesses and manages the Company’s exposure to risk</w:t>
      </w:r>
    </w:p>
    <w:p>
      <w:pPr>
        <w:spacing w:after="0" w:line="15" w:lineRule="exact"/>
        <w:rPr>
          <w:rFonts w:ascii="Times New Roman" w:cs="Times New Roman" w:eastAsia="Times New Roman" w:hAnsi="Times New Roman"/>
          <w:sz w:val="22"/>
          <w:szCs w:val="22"/>
          <w:color w:val="D9AB28"/>
        </w:rPr>
      </w:pPr>
    </w:p>
    <w:p>
      <w:pPr>
        <w:ind w:left="1020" w:right="160" w:hanging="239"/>
        <w:spacing w:after="0" w:line="226" w:lineRule="auto"/>
        <w:tabs>
          <w:tab w:leader="none" w:pos="1020" w:val="left"/>
        </w:tabs>
        <w:numPr>
          <w:ilvl w:val="0"/>
          <w:numId w:val="14"/>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Discusses with management and the independent auditor the Company’s major </w:t>
      </w:r>
      <w:r>
        <w:rPr>
          <w:rFonts w:ascii="Arial" w:cs="Arial" w:eastAsia="Arial" w:hAnsi="Arial"/>
          <w:sz w:val="16"/>
          <w:szCs w:val="16"/>
          <w:b w:val="1"/>
          <w:bCs w:val="1"/>
          <w:color w:val="auto"/>
        </w:rPr>
        <w:t>financial risk exposures</w:t>
      </w:r>
    </w:p>
    <w:p>
      <w:pPr>
        <w:spacing w:after="0" w:line="7" w:lineRule="exact"/>
        <w:rPr>
          <w:rFonts w:ascii="Times New Roman" w:cs="Times New Roman" w:eastAsia="Times New Roman" w:hAnsi="Times New Roman"/>
          <w:sz w:val="22"/>
          <w:szCs w:val="22"/>
          <w:color w:val="D9AB28"/>
        </w:rPr>
      </w:pPr>
    </w:p>
    <w:p>
      <w:pPr>
        <w:ind w:left="1020" w:right="80" w:hanging="239"/>
        <w:spacing w:after="0" w:line="226" w:lineRule="auto"/>
        <w:tabs>
          <w:tab w:leader="none" w:pos="1020" w:val="left"/>
        </w:tabs>
        <w:numPr>
          <w:ilvl w:val="0"/>
          <w:numId w:val="14"/>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Reviews the steps management has taken to </w:t>
      </w:r>
      <w:r>
        <w:rPr>
          <w:rFonts w:ascii="Arial" w:cs="Arial" w:eastAsia="Arial" w:hAnsi="Arial"/>
          <w:sz w:val="16"/>
          <w:szCs w:val="16"/>
          <w:b w:val="1"/>
          <w:bCs w:val="1"/>
          <w:color w:val="auto"/>
        </w:rPr>
        <w:t>monitor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control </w:t>
      </w:r>
      <w:r>
        <w:rPr>
          <w:rFonts w:ascii="Arial" w:cs="Arial" w:eastAsia="Arial" w:hAnsi="Arial"/>
          <w:sz w:val="16"/>
          <w:szCs w:val="16"/>
          <w:color w:val="auto"/>
        </w:rPr>
        <w:t>such exposures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596265</wp:posOffset>
            </wp:positionV>
            <wp:extent cx="3025775"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2577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237" w:right="820" w:hanging="237"/>
        <w:spacing w:after="0" w:line="233" w:lineRule="auto"/>
        <w:tabs>
          <w:tab w:leader="none" w:pos="237" w:val="left"/>
        </w:tabs>
        <w:numPr>
          <w:ilvl w:val="0"/>
          <w:numId w:val="15"/>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Reviews domestic and international </w:t>
      </w:r>
      <w:r>
        <w:rPr>
          <w:rFonts w:ascii="Arial" w:cs="Arial" w:eastAsia="Arial" w:hAnsi="Arial"/>
          <w:sz w:val="16"/>
          <w:szCs w:val="16"/>
          <w:b w:val="1"/>
          <w:bCs w:val="1"/>
          <w:color w:val="auto"/>
        </w:rPr>
        <w:t>responsibility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governance </w:t>
      </w:r>
      <w:r>
        <w:rPr>
          <w:rFonts w:ascii="Arial" w:cs="Arial" w:eastAsia="Arial" w:hAnsi="Arial"/>
          <w:sz w:val="16"/>
          <w:szCs w:val="16"/>
          <w:color w:val="auto"/>
        </w:rPr>
        <w:t>risks, trends, and issues that could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business activities, performance, and reputation</w:t>
      </w:r>
    </w:p>
    <w:p>
      <w:pPr>
        <w:spacing w:after="0" w:line="15" w:lineRule="exact"/>
        <w:rPr>
          <w:rFonts w:ascii="Times New Roman" w:cs="Times New Roman" w:eastAsia="Times New Roman" w:hAnsi="Times New Roman"/>
          <w:sz w:val="22"/>
          <w:szCs w:val="22"/>
          <w:color w:val="D9AB28"/>
        </w:rPr>
      </w:pPr>
    </w:p>
    <w:p>
      <w:pPr>
        <w:ind w:left="237" w:right="1220" w:hanging="237"/>
        <w:spacing w:after="0" w:line="221" w:lineRule="auto"/>
        <w:tabs>
          <w:tab w:leader="none" w:pos="237" w:val="left"/>
        </w:tabs>
        <w:numPr>
          <w:ilvl w:val="0"/>
          <w:numId w:val="15"/>
        </w:numPr>
        <w:rPr>
          <w:rFonts w:ascii="Times New Roman" w:cs="Times New Roman" w:eastAsia="Times New Roman" w:hAnsi="Times New Roman"/>
          <w:sz w:val="22"/>
          <w:szCs w:val="22"/>
          <w:color w:val="D9AB28"/>
        </w:rPr>
      </w:pPr>
      <w:r>
        <w:rPr>
          <w:rFonts w:ascii="Arial" w:cs="Arial" w:eastAsia="Arial" w:hAnsi="Arial"/>
          <w:sz w:val="16"/>
          <w:szCs w:val="16"/>
          <w:color w:val="auto"/>
        </w:rPr>
        <w:t>Reviews and approves related-party transactions for potential conflicts of interest</w:t>
      </w:r>
    </w:p>
    <w:p>
      <w:pPr>
        <w:spacing w:after="0" w:line="16" w:lineRule="exact"/>
        <w:rPr>
          <w:rFonts w:ascii="Times New Roman" w:cs="Times New Roman" w:eastAsia="Times New Roman" w:hAnsi="Times New Roman"/>
          <w:sz w:val="22"/>
          <w:szCs w:val="22"/>
          <w:color w:val="D9AB28"/>
        </w:rPr>
      </w:pPr>
    </w:p>
    <w:p>
      <w:pPr>
        <w:ind w:left="237" w:right="820" w:hanging="237"/>
        <w:spacing w:after="0" w:line="229" w:lineRule="auto"/>
        <w:tabs>
          <w:tab w:leader="none" w:pos="237" w:val="left"/>
        </w:tabs>
        <w:numPr>
          <w:ilvl w:val="0"/>
          <w:numId w:val="15"/>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Reviews the policy governing </w:t>
      </w:r>
      <w:r>
        <w:rPr>
          <w:rFonts w:ascii="Arial" w:cs="Arial" w:eastAsia="Arial" w:hAnsi="Arial"/>
          <w:sz w:val="16"/>
          <w:szCs w:val="16"/>
          <w:b w:val="1"/>
          <w:bCs w:val="1"/>
          <w:color w:val="auto"/>
        </w:rPr>
        <w:t>political contributions</w:t>
      </w:r>
      <w:r>
        <w:rPr>
          <w:rFonts w:ascii="Arial" w:cs="Arial" w:eastAsia="Arial" w:hAnsi="Arial"/>
          <w:sz w:val="16"/>
          <w:szCs w:val="16"/>
          <w:color w:val="auto"/>
        </w:rPr>
        <w:t xml:space="preserve"> and </w:t>
      </w:r>
      <w:r>
        <w:rPr>
          <w:rFonts w:ascii="Arial" w:cs="Arial" w:eastAsia="Arial" w:hAnsi="Arial"/>
          <w:sz w:val="16"/>
          <w:szCs w:val="16"/>
          <w:b w:val="1"/>
          <w:bCs w:val="1"/>
          <w:color w:val="auto"/>
        </w:rPr>
        <w:t xml:space="preserve">lobbying expenditures </w:t>
      </w:r>
      <w:r>
        <w:rPr>
          <w:rFonts w:ascii="Arial" w:cs="Arial" w:eastAsia="Arial" w:hAnsi="Arial"/>
          <w:sz w:val="16"/>
          <w:szCs w:val="16"/>
          <w:color w:val="auto"/>
        </w:rPr>
        <w:t>and approves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contributions</w:t>
      </w:r>
    </w:p>
    <w:p>
      <w:pPr>
        <w:spacing w:after="0" w:line="15" w:lineRule="exact"/>
        <w:rPr>
          <w:rFonts w:ascii="Times New Roman" w:cs="Times New Roman" w:eastAsia="Times New Roman" w:hAnsi="Times New Roman"/>
          <w:sz w:val="22"/>
          <w:szCs w:val="22"/>
          <w:color w:val="D9AB28"/>
        </w:rPr>
      </w:pPr>
    </w:p>
    <w:p>
      <w:pPr>
        <w:ind w:left="237" w:right="1340" w:hanging="237"/>
        <w:spacing w:after="0" w:line="226" w:lineRule="auto"/>
        <w:tabs>
          <w:tab w:leader="none" w:pos="237" w:val="left"/>
        </w:tabs>
        <w:numPr>
          <w:ilvl w:val="0"/>
          <w:numId w:val="15"/>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Develops and recommends to the Board corporate </w:t>
      </w:r>
      <w:r>
        <w:rPr>
          <w:rFonts w:ascii="Arial" w:cs="Arial" w:eastAsia="Arial" w:hAnsi="Arial"/>
          <w:sz w:val="16"/>
          <w:szCs w:val="16"/>
          <w:b w:val="1"/>
          <w:bCs w:val="1"/>
          <w:color w:val="auto"/>
        </w:rPr>
        <w:t xml:space="preserve">governance principles </w:t>
      </w:r>
      <w:r>
        <w:rPr>
          <w:rFonts w:ascii="Arial" w:cs="Arial" w:eastAsia="Arial" w:hAnsi="Arial"/>
          <w:sz w:val="16"/>
          <w:szCs w:val="16"/>
          <w:color w:val="auto"/>
        </w:rPr>
        <w:t>and a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295783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57830" cy="22288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5300" w:space="543"/>
            <w:col w:w="5197"/>
          </w:cols>
          <w:pgMar w:left="420" w:top="1226" w:right="439" w:bottom="1440" w:gutter="0" w:footer="0" w:header="0"/>
          <w:type w:val="continuous"/>
        </w:sectPr>
      </w:pPr>
    </w:p>
    <w:p>
      <w:pPr>
        <w:ind w:left="1840"/>
        <w:spacing w:after="0"/>
        <w:rPr>
          <w:sz w:val="20"/>
          <w:szCs w:val="20"/>
          <w:color w:val="auto"/>
        </w:rPr>
      </w:pPr>
      <w:r>
        <w:rPr>
          <w:rFonts w:ascii="Arial" w:cs="Arial" w:eastAsia="Arial" w:hAnsi="Arial"/>
          <w:sz w:val="20"/>
          <w:szCs w:val="20"/>
          <w:b w:val="1"/>
          <w:bCs w:val="1"/>
          <w:color w:val="FFFFFF"/>
        </w:rPr>
        <w:t>Cybersecurity Committee</w:t>
      </w:r>
    </w:p>
    <w:p>
      <w:pPr>
        <w:spacing w:after="0" w:line="117" w:lineRule="exact"/>
        <w:rPr>
          <w:sz w:val="20"/>
          <w:szCs w:val="20"/>
          <w:color w:val="auto"/>
        </w:rPr>
      </w:pPr>
    </w:p>
    <w:p>
      <w:pPr>
        <w:ind w:left="1020" w:right="440" w:hanging="239"/>
        <w:spacing w:after="0" w:line="226" w:lineRule="auto"/>
        <w:tabs>
          <w:tab w:leader="none" w:pos="1020" w:val="left"/>
        </w:tabs>
        <w:numPr>
          <w:ilvl w:val="0"/>
          <w:numId w:val="16"/>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Reviews risks related to the Company’s </w:t>
      </w:r>
      <w:r>
        <w:rPr>
          <w:rFonts w:ascii="Arial" w:cs="Arial" w:eastAsia="Arial" w:hAnsi="Arial"/>
          <w:sz w:val="16"/>
          <w:szCs w:val="16"/>
          <w:b w:val="1"/>
          <w:bCs w:val="1"/>
          <w:color w:val="auto"/>
        </w:rPr>
        <w:t>cybersecurity</w:t>
      </w:r>
      <w:r>
        <w:rPr>
          <w:rFonts w:ascii="Arial" w:cs="Arial" w:eastAsia="Arial" w:hAnsi="Arial"/>
          <w:sz w:val="16"/>
          <w:szCs w:val="16"/>
          <w:color w:val="auto"/>
        </w:rPr>
        <w:t xml:space="preserve"> </w:t>
      </w:r>
      <w:r>
        <w:rPr>
          <w:rFonts w:ascii="Arial" w:cs="Arial" w:eastAsia="Arial" w:hAnsi="Arial"/>
          <w:sz w:val="16"/>
          <w:szCs w:val="16"/>
          <w:b w:val="1"/>
          <w:bCs w:val="1"/>
          <w:color w:val="auto"/>
        </w:rPr>
        <w:t>policies</w:t>
      </w:r>
      <w:r>
        <w:rPr>
          <w:rFonts w:ascii="Arial" w:cs="Arial" w:eastAsia="Arial" w:hAnsi="Arial"/>
          <w:sz w:val="16"/>
          <w:szCs w:val="16"/>
          <w:color w:val="auto"/>
        </w:rPr>
        <w:t>,</w:t>
      </w:r>
      <w:r>
        <w:rPr>
          <w:rFonts w:ascii="Arial" w:cs="Arial" w:eastAsia="Arial" w:hAnsi="Arial"/>
          <w:sz w:val="16"/>
          <w:szCs w:val="16"/>
          <w:b w:val="1"/>
          <w:bCs w:val="1"/>
          <w:color w:val="auto"/>
        </w:rPr>
        <w:t xml:space="preserve"> procedures, and response plans</w:t>
      </w:r>
    </w:p>
    <w:p>
      <w:pPr>
        <w:spacing w:after="0" w:line="7" w:lineRule="exact"/>
        <w:rPr>
          <w:rFonts w:ascii="Times New Roman" w:cs="Times New Roman" w:eastAsia="Times New Roman" w:hAnsi="Times New Roman"/>
          <w:sz w:val="22"/>
          <w:szCs w:val="22"/>
          <w:color w:val="D9AB28"/>
        </w:rPr>
      </w:pPr>
    </w:p>
    <w:p>
      <w:pPr>
        <w:ind w:left="1020" w:hanging="239"/>
        <w:spacing w:after="0" w:line="235" w:lineRule="auto"/>
        <w:tabs>
          <w:tab w:leader="none" w:pos="1020" w:val="left"/>
        </w:tabs>
        <w:numPr>
          <w:ilvl w:val="0"/>
          <w:numId w:val="16"/>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Oversees the management of risks related to the Company’s </w:t>
      </w:r>
      <w:r>
        <w:rPr>
          <w:rFonts w:ascii="Arial" w:cs="Arial" w:eastAsia="Arial" w:hAnsi="Arial"/>
          <w:sz w:val="16"/>
          <w:szCs w:val="16"/>
          <w:b w:val="1"/>
          <w:bCs w:val="1"/>
          <w:color w:val="auto"/>
        </w:rPr>
        <w:t>privacy, network security, data security</w:t>
      </w:r>
      <w:r>
        <w:rPr>
          <w:rFonts w:ascii="Arial" w:cs="Arial" w:eastAsia="Arial" w:hAnsi="Arial"/>
          <w:sz w:val="16"/>
          <w:szCs w:val="16"/>
          <w:color w:val="auto"/>
        </w:rPr>
        <w:t>, and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applicable </w:t>
      </w:r>
      <w:r>
        <w:rPr>
          <w:rFonts w:ascii="Arial" w:cs="Arial" w:eastAsia="Arial" w:hAnsi="Arial"/>
          <w:sz w:val="16"/>
          <w:szCs w:val="16"/>
          <w:b w:val="1"/>
          <w:bCs w:val="1"/>
          <w:color w:val="auto"/>
        </w:rPr>
        <w:t>information security and data protection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laws </w:t>
      </w:r>
      <w:r>
        <w:rPr>
          <w:rFonts w:ascii="Arial" w:cs="Arial" w:eastAsia="Arial" w:hAnsi="Arial"/>
          <w:sz w:val="16"/>
          <w:szCs w:val="16"/>
          <w:color w:val="auto"/>
        </w:rPr>
        <w:t>and industry standards</w:t>
      </w:r>
    </w:p>
    <w:p>
      <w:pPr>
        <w:spacing w:after="0" w:line="8" w:lineRule="exact"/>
        <w:rPr>
          <w:rFonts w:ascii="Times New Roman" w:cs="Times New Roman" w:eastAsia="Times New Roman" w:hAnsi="Times New Roman"/>
          <w:sz w:val="22"/>
          <w:szCs w:val="22"/>
          <w:color w:val="D9AB28"/>
        </w:rPr>
      </w:pPr>
    </w:p>
    <w:p>
      <w:pPr>
        <w:ind w:left="1020" w:right="180" w:hanging="239"/>
        <w:spacing w:after="0" w:line="226" w:lineRule="auto"/>
        <w:tabs>
          <w:tab w:leader="none" w:pos="1020" w:val="left"/>
        </w:tabs>
        <w:numPr>
          <w:ilvl w:val="0"/>
          <w:numId w:val="16"/>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Coordinates with the Company’s Internal Audit function for any </w:t>
      </w:r>
      <w:r>
        <w:rPr>
          <w:rFonts w:ascii="Arial" w:cs="Arial" w:eastAsia="Arial" w:hAnsi="Arial"/>
          <w:sz w:val="16"/>
          <w:szCs w:val="16"/>
          <w:b w:val="1"/>
          <w:bCs w:val="1"/>
          <w:color w:val="auto"/>
        </w:rPr>
        <w:t>audits</w:t>
      </w:r>
      <w:r>
        <w:rPr>
          <w:rFonts w:ascii="Arial" w:cs="Arial" w:eastAsia="Arial" w:hAnsi="Arial"/>
          <w:sz w:val="16"/>
          <w:szCs w:val="16"/>
          <w:color w:val="auto"/>
        </w:rPr>
        <w:t xml:space="preserve"> of cybersecurity systems and processes</w:t>
      </w:r>
    </w:p>
    <w:p>
      <w:pPr>
        <w:spacing w:after="0" w:line="7" w:lineRule="exact"/>
        <w:rPr>
          <w:rFonts w:ascii="Times New Roman" w:cs="Times New Roman" w:eastAsia="Times New Roman" w:hAnsi="Times New Roman"/>
          <w:sz w:val="22"/>
          <w:szCs w:val="22"/>
          <w:color w:val="D9AB28"/>
        </w:rPr>
      </w:pPr>
    </w:p>
    <w:p>
      <w:pPr>
        <w:ind w:left="1020" w:right="460" w:hanging="239"/>
        <w:spacing w:after="0" w:line="221" w:lineRule="auto"/>
        <w:tabs>
          <w:tab w:leader="none" w:pos="1020" w:val="left"/>
        </w:tabs>
        <w:numPr>
          <w:ilvl w:val="0"/>
          <w:numId w:val="16"/>
        </w:numPr>
        <w:rPr>
          <w:rFonts w:ascii="Times New Roman" w:cs="Times New Roman" w:eastAsia="Times New Roman" w:hAnsi="Times New Roman"/>
          <w:sz w:val="22"/>
          <w:szCs w:val="22"/>
          <w:color w:val="D9AB28"/>
        </w:rPr>
      </w:pPr>
      <w:r>
        <w:rPr>
          <w:rFonts w:ascii="Arial" w:cs="Arial" w:eastAsia="Arial" w:hAnsi="Arial"/>
          <w:sz w:val="16"/>
          <w:szCs w:val="16"/>
          <w:color w:val="auto"/>
        </w:rPr>
        <w:t>Additional details can be found in the Company’s most recent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96520</wp:posOffset>
            </wp:positionV>
            <wp:extent cx="3025775"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2577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57"/>
        <w:spacing w:after="0"/>
        <w:rPr>
          <w:sz w:val="20"/>
          <w:szCs w:val="20"/>
          <w:color w:val="auto"/>
        </w:rPr>
      </w:pPr>
      <w:r>
        <w:rPr>
          <w:rFonts w:ascii="Arial" w:cs="Arial" w:eastAsia="Arial" w:hAnsi="Arial"/>
          <w:sz w:val="20"/>
          <w:szCs w:val="20"/>
          <w:b w:val="1"/>
          <w:bCs w:val="1"/>
          <w:color w:val="FFFFFF"/>
        </w:rPr>
        <w:t>MD&amp;C Committee</w:t>
      </w:r>
    </w:p>
    <w:p>
      <w:pPr>
        <w:spacing w:after="0" w:line="117" w:lineRule="exact"/>
        <w:rPr>
          <w:sz w:val="20"/>
          <w:szCs w:val="20"/>
          <w:color w:val="auto"/>
        </w:rPr>
      </w:pPr>
    </w:p>
    <w:p>
      <w:pPr>
        <w:ind w:left="237" w:right="880" w:hanging="237"/>
        <w:spacing w:after="0" w:line="229" w:lineRule="auto"/>
        <w:tabs>
          <w:tab w:leader="none" w:pos="237" w:val="left"/>
        </w:tabs>
        <w:numPr>
          <w:ilvl w:val="0"/>
          <w:numId w:val="17"/>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Develops and monitors the </w:t>
      </w:r>
      <w:r>
        <w:rPr>
          <w:rFonts w:ascii="Arial" w:cs="Arial" w:eastAsia="Arial" w:hAnsi="Arial"/>
          <w:sz w:val="16"/>
          <w:szCs w:val="16"/>
          <w:b w:val="1"/>
          <w:bCs w:val="1"/>
          <w:color w:val="auto"/>
        </w:rPr>
        <w:t>executive compensation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program </w:t>
      </w:r>
      <w:r>
        <w:rPr>
          <w:rFonts w:ascii="Arial" w:cs="Arial" w:eastAsia="Arial" w:hAnsi="Arial"/>
          <w:sz w:val="16"/>
          <w:szCs w:val="16"/>
          <w:color w:val="auto"/>
        </w:rPr>
        <w:t>to ensure it does not encourage excessive risk-taking</w:t>
      </w:r>
    </w:p>
    <w:p>
      <w:pPr>
        <w:spacing w:after="0" w:line="15" w:lineRule="exact"/>
        <w:rPr>
          <w:rFonts w:ascii="Times New Roman" w:cs="Times New Roman" w:eastAsia="Times New Roman" w:hAnsi="Times New Roman"/>
          <w:sz w:val="22"/>
          <w:szCs w:val="22"/>
          <w:color w:val="D9AB28"/>
        </w:rPr>
      </w:pPr>
    </w:p>
    <w:p>
      <w:pPr>
        <w:ind w:left="237" w:right="680" w:hanging="237"/>
        <w:spacing w:after="0" w:line="221" w:lineRule="auto"/>
        <w:tabs>
          <w:tab w:leader="none" w:pos="237" w:val="left"/>
        </w:tabs>
        <w:numPr>
          <w:ilvl w:val="0"/>
          <w:numId w:val="17"/>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Reviews the Company’s </w:t>
      </w:r>
      <w:r>
        <w:rPr>
          <w:rFonts w:ascii="Arial" w:cs="Arial" w:eastAsia="Arial" w:hAnsi="Arial"/>
          <w:sz w:val="16"/>
          <w:szCs w:val="16"/>
          <w:b w:val="1"/>
          <w:bCs w:val="1"/>
          <w:color w:val="auto"/>
        </w:rPr>
        <w:t>human capital</w:t>
      </w:r>
      <w:r>
        <w:rPr>
          <w:rFonts w:ascii="Arial" w:cs="Arial" w:eastAsia="Arial" w:hAnsi="Arial"/>
          <w:sz w:val="16"/>
          <w:szCs w:val="16"/>
          <w:color w:val="auto"/>
        </w:rPr>
        <w:t xml:space="preserve"> programs, policies, and procedures</w:t>
      </w:r>
    </w:p>
    <w:p>
      <w:pPr>
        <w:spacing w:after="0" w:line="16" w:lineRule="exact"/>
        <w:rPr>
          <w:rFonts w:ascii="Times New Roman" w:cs="Times New Roman" w:eastAsia="Times New Roman" w:hAnsi="Times New Roman"/>
          <w:sz w:val="22"/>
          <w:szCs w:val="22"/>
          <w:color w:val="D9AB28"/>
        </w:rPr>
      </w:pPr>
    </w:p>
    <w:p>
      <w:pPr>
        <w:ind w:left="237" w:right="740" w:hanging="237"/>
        <w:spacing w:after="0" w:line="226" w:lineRule="auto"/>
        <w:tabs>
          <w:tab w:leader="none" w:pos="237" w:val="left"/>
        </w:tabs>
        <w:numPr>
          <w:ilvl w:val="0"/>
          <w:numId w:val="17"/>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Reviews executive compensation, incentive compensation, and </w:t>
      </w:r>
      <w:r>
        <w:rPr>
          <w:rFonts w:ascii="Arial" w:cs="Arial" w:eastAsia="Arial" w:hAnsi="Arial"/>
          <w:sz w:val="16"/>
          <w:szCs w:val="16"/>
          <w:b w:val="1"/>
          <w:bCs w:val="1"/>
          <w:color w:val="auto"/>
        </w:rPr>
        <w:t>succession management</w:t>
      </w:r>
      <w:r>
        <w:rPr>
          <w:rFonts w:ascii="Arial" w:cs="Arial" w:eastAsia="Arial" w:hAnsi="Arial"/>
          <w:sz w:val="16"/>
          <w:szCs w:val="16"/>
          <w:color w:val="auto"/>
        </w:rPr>
        <w:t xml:space="preserve"> development plans</w:t>
      </w:r>
    </w:p>
    <w:p>
      <w:pPr>
        <w:spacing w:after="0" w:line="7" w:lineRule="exact"/>
        <w:rPr>
          <w:rFonts w:ascii="Times New Roman" w:cs="Times New Roman" w:eastAsia="Times New Roman" w:hAnsi="Times New Roman"/>
          <w:sz w:val="22"/>
          <w:szCs w:val="22"/>
          <w:color w:val="D9AB28"/>
        </w:rPr>
      </w:pPr>
    </w:p>
    <w:p>
      <w:pPr>
        <w:ind w:left="237" w:right="760" w:hanging="237"/>
        <w:spacing w:after="0" w:line="226" w:lineRule="auto"/>
        <w:tabs>
          <w:tab w:leader="none" w:pos="237" w:val="left"/>
        </w:tabs>
        <w:numPr>
          <w:ilvl w:val="0"/>
          <w:numId w:val="17"/>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Ensures appropriate practices are in place to </w:t>
      </w:r>
      <w:r>
        <w:rPr>
          <w:rFonts w:ascii="Arial" w:cs="Arial" w:eastAsia="Arial" w:hAnsi="Arial"/>
          <w:sz w:val="16"/>
          <w:szCs w:val="16"/>
          <w:b w:val="1"/>
          <w:bCs w:val="1"/>
          <w:color w:val="auto"/>
        </w:rPr>
        <w:t>develop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retain the talent </w:t>
      </w:r>
      <w:r>
        <w:rPr>
          <w:rFonts w:ascii="Arial" w:cs="Arial" w:eastAsia="Arial" w:hAnsi="Arial"/>
          <w:sz w:val="16"/>
          <w:szCs w:val="16"/>
          <w:color w:val="auto"/>
        </w:rPr>
        <w:t>necessary for the Company’s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210820</wp:posOffset>
            </wp:positionV>
            <wp:extent cx="295783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57830" cy="222885"/>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2">
            <w:col w:w="5380" w:space="463"/>
            <w:col w:w="5197"/>
          </w:cols>
          <w:pgMar w:left="420" w:top="1226" w:right="439" w:bottom="1440" w:gutter="0" w:footer="0" w:header="0"/>
          <w:type w:val="continuous"/>
        </w:sectPr>
      </w:pPr>
    </w:p>
    <w:p>
      <w:pPr>
        <w:ind w:left="1960"/>
        <w:spacing w:after="0"/>
        <w:rPr>
          <w:sz w:val="20"/>
          <w:szCs w:val="20"/>
          <w:color w:val="auto"/>
        </w:rPr>
      </w:pPr>
      <w:r>
        <w:rPr>
          <w:rFonts w:ascii="Arial" w:cs="Arial" w:eastAsia="Arial" w:hAnsi="Arial"/>
          <w:sz w:val="20"/>
          <w:szCs w:val="20"/>
          <w:b w:val="1"/>
          <w:bCs w:val="1"/>
          <w:color w:val="FFFFFF"/>
        </w:rPr>
        <w:t>Company Management</w:t>
      </w:r>
    </w:p>
    <w:p>
      <w:pPr>
        <w:spacing w:after="0" w:line="117" w:lineRule="exact"/>
        <w:rPr>
          <w:sz w:val="20"/>
          <w:szCs w:val="20"/>
          <w:color w:val="auto"/>
        </w:rPr>
      </w:pPr>
    </w:p>
    <w:p>
      <w:pPr>
        <w:ind w:left="1020" w:right="980" w:hanging="239"/>
        <w:spacing w:after="0" w:line="221" w:lineRule="auto"/>
        <w:tabs>
          <w:tab w:leader="none" w:pos="1020" w:val="left"/>
        </w:tabs>
        <w:numPr>
          <w:ilvl w:val="0"/>
          <w:numId w:val="18"/>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Provides </w:t>
      </w:r>
      <w:r>
        <w:rPr>
          <w:rFonts w:ascii="Arial" w:cs="Arial" w:eastAsia="Arial" w:hAnsi="Arial"/>
          <w:sz w:val="16"/>
          <w:szCs w:val="16"/>
          <w:b w:val="1"/>
          <w:bCs w:val="1"/>
          <w:color w:val="auto"/>
        </w:rPr>
        <w:t>day-to-day management</w:t>
      </w:r>
      <w:r>
        <w:rPr>
          <w:rFonts w:ascii="Arial" w:cs="Arial" w:eastAsia="Arial" w:hAnsi="Arial"/>
          <w:sz w:val="16"/>
          <w:szCs w:val="16"/>
          <w:color w:val="auto"/>
        </w:rPr>
        <w:t xml:space="preserve"> of risk and implementation of strategy</w:t>
      </w:r>
    </w:p>
    <w:p>
      <w:pPr>
        <w:spacing w:after="0" w:line="16" w:lineRule="exact"/>
        <w:rPr>
          <w:rFonts w:ascii="Times New Roman" w:cs="Times New Roman" w:eastAsia="Times New Roman" w:hAnsi="Times New Roman"/>
          <w:sz w:val="22"/>
          <w:szCs w:val="22"/>
          <w:color w:val="D9AB28"/>
        </w:rPr>
      </w:pPr>
    </w:p>
    <w:p>
      <w:pPr>
        <w:ind w:left="1020" w:hanging="239"/>
        <w:spacing w:after="0" w:line="233" w:lineRule="auto"/>
        <w:tabs>
          <w:tab w:leader="none" w:pos="1020" w:val="left"/>
        </w:tabs>
        <w:numPr>
          <w:ilvl w:val="0"/>
          <w:numId w:val="18"/>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Tasked with, among other things, ensuring </w:t>
      </w:r>
      <w:r>
        <w:rPr>
          <w:rFonts w:ascii="Arial" w:cs="Arial" w:eastAsia="Arial" w:hAnsi="Arial"/>
          <w:sz w:val="16"/>
          <w:szCs w:val="16"/>
          <w:b w:val="1"/>
          <w:bCs w:val="1"/>
          <w:color w:val="auto"/>
        </w:rPr>
        <w:t>sound policies,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procedures, and practices </w:t>
      </w:r>
      <w:r>
        <w:rPr>
          <w:rFonts w:ascii="Arial" w:cs="Arial" w:eastAsia="Arial" w:hAnsi="Arial"/>
          <w:sz w:val="16"/>
          <w:szCs w:val="16"/>
          <w:color w:val="auto"/>
        </w:rPr>
        <w:t>are in place to address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corporate-wide management of risks, including financial and operational risks</w:t>
      </w:r>
    </w:p>
    <w:p>
      <w:pPr>
        <w:ind w:left="1020" w:hanging="239"/>
        <w:spacing w:after="0" w:line="225" w:lineRule="auto"/>
        <w:tabs>
          <w:tab w:leader="none" w:pos="1020" w:val="left"/>
        </w:tabs>
        <w:numPr>
          <w:ilvl w:val="0"/>
          <w:numId w:val="18"/>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Updates the Board on </w:t>
      </w:r>
      <w:r>
        <w:rPr>
          <w:rFonts w:ascii="Arial" w:cs="Arial" w:eastAsia="Arial" w:hAnsi="Arial"/>
          <w:sz w:val="16"/>
          <w:szCs w:val="16"/>
          <w:b w:val="1"/>
          <w:bCs w:val="1"/>
          <w:color w:val="auto"/>
        </w:rPr>
        <w:t>emerging risks</w:t>
      </w:r>
      <w:r>
        <w:rPr>
          <w:rFonts w:ascii="Arial" w:cs="Arial" w:eastAsia="Arial" w:hAnsi="Arial"/>
          <w:sz w:val="16"/>
          <w:szCs w:val="16"/>
          <w:color w:val="auto"/>
        </w:rPr>
        <w:t xml:space="preserve"> and opportunities</w:t>
      </w:r>
    </w:p>
    <w:p>
      <w:pPr>
        <w:spacing w:after="0" w:line="20" w:lineRule="exact"/>
        <w:rPr>
          <w:sz w:val="20"/>
          <w:szCs w:val="20"/>
          <w:color w:val="auto"/>
        </w:rPr>
      </w:pPr>
      <w:r>
        <w:rPr>
          <w:sz w:val="20"/>
          <w:szCs w:val="20"/>
          <w:color w:val="auto"/>
        </w:rPr>
        <w:br w:type="column"/>
      </w:r>
    </w:p>
    <w:p>
      <w:pPr>
        <w:ind w:left="1557"/>
        <w:spacing w:after="0"/>
        <w:rPr>
          <w:sz w:val="20"/>
          <w:szCs w:val="20"/>
          <w:color w:val="auto"/>
        </w:rPr>
      </w:pPr>
      <w:r>
        <w:rPr>
          <w:rFonts w:ascii="Arial" w:cs="Arial" w:eastAsia="Arial" w:hAnsi="Arial"/>
          <w:sz w:val="20"/>
          <w:szCs w:val="20"/>
          <w:b w:val="1"/>
          <w:bCs w:val="1"/>
          <w:color w:val="FFFFFF"/>
        </w:rPr>
        <w:t>Internal Audit</w:t>
      </w:r>
    </w:p>
    <w:p>
      <w:pPr>
        <w:spacing w:after="0" w:line="117" w:lineRule="exact"/>
        <w:rPr>
          <w:sz w:val="20"/>
          <w:szCs w:val="20"/>
          <w:color w:val="auto"/>
        </w:rPr>
      </w:pPr>
    </w:p>
    <w:p>
      <w:pPr>
        <w:ind w:left="237" w:right="920" w:hanging="237"/>
        <w:spacing w:after="0" w:line="233" w:lineRule="auto"/>
        <w:tabs>
          <w:tab w:leader="none" w:pos="237" w:val="left"/>
        </w:tabs>
        <w:numPr>
          <w:ilvl w:val="0"/>
          <w:numId w:val="19"/>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Functionally </w:t>
      </w:r>
      <w:r>
        <w:rPr>
          <w:rFonts w:ascii="Arial" w:cs="Arial" w:eastAsia="Arial" w:hAnsi="Arial"/>
          <w:sz w:val="16"/>
          <w:szCs w:val="16"/>
          <w:b w:val="1"/>
          <w:bCs w:val="1"/>
          <w:color w:val="auto"/>
        </w:rPr>
        <w:t>reports directly to the Audit Committee</w:t>
      </w:r>
      <w:r>
        <w:rPr>
          <w:rFonts w:ascii="Arial" w:cs="Arial" w:eastAsia="Arial" w:hAnsi="Arial"/>
          <w:sz w:val="16"/>
          <w:szCs w:val="16"/>
          <w:color w:val="auto"/>
        </w:rPr>
        <w:t xml:space="preserve">, providing </w:t>
      </w:r>
      <w:r>
        <w:rPr>
          <w:rFonts w:ascii="Arial" w:cs="Arial" w:eastAsia="Arial" w:hAnsi="Arial"/>
          <w:sz w:val="16"/>
          <w:szCs w:val="16"/>
          <w:b w:val="1"/>
          <w:bCs w:val="1"/>
          <w:color w:val="auto"/>
        </w:rPr>
        <w:t>regular reports</w:t>
      </w:r>
      <w:r>
        <w:rPr>
          <w:rFonts w:ascii="Arial" w:cs="Arial" w:eastAsia="Arial" w:hAnsi="Arial"/>
          <w:sz w:val="16"/>
          <w:szCs w:val="16"/>
          <w:color w:val="auto"/>
        </w:rPr>
        <w:t xml:space="preserve"> to the committee and meeting with committee members, with and without management present</w:t>
      </w:r>
    </w:p>
    <w:p>
      <w:pPr>
        <w:spacing w:after="0" w:line="15" w:lineRule="exact"/>
        <w:rPr>
          <w:rFonts w:ascii="Times New Roman" w:cs="Times New Roman" w:eastAsia="Times New Roman" w:hAnsi="Times New Roman"/>
          <w:sz w:val="22"/>
          <w:szCs w:val="22"/>
          <w:color w:val="D9AB28"/>
        </w:rPr>
      </w:pPr>
    </w:p>
    <w:p>
      <w:pPr>
        <w:ind w:left="237" w:right="840" w:hanging="237"/>
        <w:spacing w:after="0" w:line="233" w:lineRule="auto"/>
        <w:tabs>
          <w:tab w:leader="none" w:pos="237" w:val="left"/>
        </w:tabs>
        <w:numPr>
          <w:ilvl w:val="0"/>
          <w:numId w:val="19"/>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Provides </w:t>
      </w:r>
      <w:r>
        <w:rPr>
          <w:rFonts w:ascii="Arial" w:cs="Arial" w:eastAsia="Arial" w:hAnsi="Arial"/>
          <w:sz w:val="16"/>
          <w:szCs w:val="16"/>
          <w:b w:val="1"/>
          <w:bCs w:val="1"/>
          <w:color w:val="auto"/>
        </w:rPr>
        <w:t>independent, objective</w:t>
      </w:r>
      <w:r>
        <w:rPr>
          <w:rFonts w:ascii="Arial" w:cs="Arial" w:eastAsia="Arial" w:hAnsi="Arial"/>
          <w:sz w:val="16"/>
          <w:szCs w:val="16"/>
          <w:color w:val="auto"/>
        </w:rPr>
        <w:t xml:space="preserve"> assurance and consulting activity designed to add value and improve operations and reviews the </w:t>
      </w:r>
      <w:r>
        <w:rPr>
          <w:rFonts w:ascii="Arial" w:cs="Arial" w:eastAsia="Arial" w:hAnsi="Arial"/>
          <w:sz w:val="16"/>
          <w:szCs w:val="16"/>
          <w:b w:val="1"/>
          <w:bCs w:val="1"/>
          <w:color w:val="auto"/>
        </w:rPr>
        <w:t>adequacy and effectiveness</w:t>
      </w:r>
      <w:r>
        <w:rPr>
          <w:rFonts w:ascii="Arial" w:cs="Arial" w:eastAsia="Arial" w:hAnsi="Arial"/>
          <w:sz w:val="16"/>
          <w:szCs w:val="16"/>
          <w:color w:val="auto"/>
        </w:rPr>
        <w:t xml:space="preserve"> of risk management, control, and governance systems</w:t>
      </w:r>
    </w:p>
    <w:p>
      <w:pPr>
        <w:spacing w:after="0" w:line="200" w:lineRule="exact"/>
        <w:rPr>
          <w:sz w:val="20"/>
          <w:szCs w:val="20"/>
          <w:color w:val="auto"/>
        </w:rPr>
      </w:pPr>
    </w:p>
    <w:p>
      <w:pPr>
        <w:sectPr>
          <w:pgSz w:w="11900" w:h="16838" w:orient="portrait"/>
          <w:cols w:equalWidth="0" w:num="2">
            <w:col w:w="5320" w:space="523"/>
            <w:col w:w="5197"/>
          </w:cols>
          <w:pgMar w:left="420" w:top="1226" w:right="439" w:bottom="1440" w:gutter="0" w:footer="0" w:header="0"/>
          <w:type w:val="continuous"/>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40" w:type="dxa"/>
            <w:vAlign w:val="bottom"/>
          </w:tcPr>
          <w:p>
            <w:pPr>
              <w:ind w:left="8380"/>
              <w:spacing w:after="0"/>
              <w:rPr>
                <w:sz w:val="20"/>
                <w:szCs w:val="20"/>
                <w:color w:val="auto"/>
              </w:rPr>
            </w:pPr>
            <w:r>
              <w:rPr>
                <w:rFonts w:ascii="Arial" w:cs="Arial" w:eastAsia="Arial" w:hAnsi="Arial"/>
                <w:sz w:val="16"/>
                <w:szCs w:val="16"/>
                <w:color w:val="auto"/>
              </w:rPr>
              <w:t>2026 Proxy Statement</w:t>
            </w:r>
          </w:p>
        </w:tc>
        <w:tc>
          <w:tcPr>
            <w:tcW w:w="900" w:type="dxa"/>
            <w:vAlign w:val="bottom"/>
          </w:tcPr>
          <w:p>
            <w:pPr>
              <w:jc w:val="right"/>
              <w:ind w:right="579"/>
              <w:spacing w:after="0"/>
              <w:rPr>
                <w:sz w:val="20"/>
                <w:szCs w:val="20"/>
                <w:color w:val="auto"/>
              </w:rPr>
            </w:pPr>
            <w:r>
              <w:rPr>
                <w:rFonts w:ascii="Arial" w:cs="Arial" w:eastAsia="Arial" w:hAnsi="Arial"/>
                <w:sz w:val="16"/>
                <w:szCs w:val="16"/>
                <w:b w:val="1"/>
                <w:bCs w:val="1"/>
                <w:color w:val="auto"/>
              </w:rPr>
              <w:t>3</w:t>
            </w:r>
          </w:p>
        </w:tc>
      </w:tr>
      <w:tr>
        <w:trPr>
          <w:trHeight w:val="878"/>
        </w:trPr>
        <w:tc>
          <w:tcPr>
            <w:tcW w:w="10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26" w:right="4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i w:val="1"/>
          <w:iCs w:val="1"/>
          <w:color w:val="auto"/>
        </w:rPr>
        <w:t>Sustainability and Climate Change Risk Oversight</w:t>
      </w:r>
    </w:p>
    <w:p>
      <w:pPr>
        <w:spacing w:after="0" w:line="12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Our Board and senior management are directly engaged in assessing and managing climate change-related risks and opportunities. These matters are of such a strategic nature that the Board retains direct oversight responsibility, with each committee providing additional oversight unique to their areas of focus:</w:t>
      </w:r>
    </w:p>
    <w:p>
      <w:pPr>
        <w:spacing w:after="0" w:line="104" w:lineRule="exact"/>
        <w:rPr>
          <w:sz w:val="20"/>
          <w:szCs w:val="20"/>
          <w:color w:val="auto"/>
        </w:rPr>
      </w:pPr>
    </w:p>
    <w:p>
      <w:pPr>
        <w:ind w:left="480" w:right="60" w:hanging="243"/>
        <w:spacing w:after="0" w:line="221" w:lineRule="auto"/>
        <w:tabs>
          <w:tab w:leader="none" w:pos="480" w:val="left"/>
        </w:tabs>
        <w:numPr>
          <w:ilvl w:val="0"/>
          <w:numId w:val="20"/>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Audit Committee</w:t>
      </w:r>
      <w:r>
        <w:rPr>
          <w:rFonts w:ascii="Arial" w:cs="Arial" w:eastAsia="Arial" w:hAnsi="Arial"/>
          <w:sz w:val="16"/>
          <w:szCs w:val="16"/>
          <w:color w:val="auto"/>
        </w:rPr>
        <w:t xml:space="preserve"> reviews the Company’s risk management process, which includes management of climate change-related business, legal, and regulatory risks;</w:t>
      </w:r>
    </w:p>
    <w:p>
      <w:pPr>
        <w:spacing w:after="0" w:line="124" w:lineRule="exact"/>
        <w:rPr>
          <w:rFonts w:ascii="Times New Roman" w:cs="Times New Roman" w:eastAsia="Times New Roman" w:hAnsi="Times New Roman"/>
          <w:sz w:val="22"/>
          <w:szCs w:val="22"/>
          <w:color w:val="D9AB28"/>
        </w:rPr>
      </w:pPr>
    </w:p>
    <w:p>
      <w:pPr>
        <w:ind w:left="480" w:right="160" w:hanging="243"/>
        <w:spacing w:after="0" w:line="221" w:lineRule="auto"/>
        <w:tabs>
          <w:tab w:leader="none" w:pos="480" w:val="left"/>
        </w:tabs>
        <w:numPr>
          <w:ilvl w:val="0"/>
          <w:numId w:val="20"/>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CRG&amp;N Committee</w:t>
      </w:r>
      <w:r>
        <w:rPr>
          <w:rFonts w:ascii="Arial" w:cs="Arial" w:eastAsia="Arial" w:hAnsi="Arial"/>
          <w:sz w:val="16"/>
          <w:szCs w:val="16"/>
          <w:color w:val="auto"/>
        </w:rPr>
        <w:t xml:space="preserve"> oversees management of and performance on corporate responsibility, sustainability, and governance issues, including the content of the Company’s annual Sustainability Report;</w:t>
      </w:r>
    </w:p>
    <w:p>
      <w:pPr>
        <w:spacing w:after="0" w:line="124" w:lineRule="exact"/>
        <w:rPr>
          <w:rFonts w:ascii="Times New Roman" w:cs="Times New Roman" w:eastAsia="Times New Roman" w:hAnsi="Times New Roman"/>
          <w:sz w:val="22"/>
          <w:szCs w:val="22"/>
          <w:color w:val="D9AB28"/>
        </w:rPr>
      </w:pPr>
    </w:p>
    <w:p>
      <w:pPr>
        <w:ind w:left="480" w:right="60" w:hanging="243"/>
        <w:spacing w:after="0" w:line="221" w:lineRule="auto"/>
        <w:tabs>
          <w:tab w:leader="none" w:pos="480" w:val="left"/>
        </w:tabs>
        <w:numPr>
          <w:ilvl w:val="0"/>
          <w:numId w:val="20"/>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Cybersecurity Committee</w:t>
      </w:r>
      <w:r>
        <w:rPr>
          <w:rFonts w:ascii="Arial" w:cs="Arial" w:eastAsia="Arial" w:hAnsi="Arial"/>
          <w:sz w:val="16"/>
          <w:szCs w:val="16"/>
          <w:color w:val="auto"/>
        </w:rPr>
        <w:t xml:space="preserve"> has oversight of risks related to our information technology systems that are used to monitor and report on our sustainability initiatives and performance; and</w:t>
      </w:r>
    </w:p>
    <w:p>
      <w:pPr>
        <w:spacing w:after="0" w:line="93" w:lineRule="exact"/>
        <w:rPr>
          <w:rFonts w:ascii="Times New Roman" w:cs="Times New Roman" w:eastAsia="Times New Roman" w:hAnsi="Times New Roman"/>
          <w:sz w:val="22"/>
          <w:szCs w:val="22"/>
          <w:color w:val="D9AB28"/>
        </w:rPr>
      </w:pPr>
    </w:p>
    <w:p>
      <w:pPr>
        <w:ind w:left="480" w:hanging="243"/>
        <w:spacing w:after="0"/>
        <w:tabs>
          <w:tab w:leader="none" w:pos="480" w:val="left"/>
        </w:tabs>
        <w:numPr>
          <w:ilvl w:val="0"/>
          <w:numId w:val="20"/>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MD&amp;C Committee</w:t>
      </w:r>
      <w:r>
        <w:rPr>
          <w:rFonts w:ascii="Arial" w:cs="Arial" w:eastAsia="Arial" w:hAnsi="Arial"/>
          <w:sz w:val="16"/>
          <w:szCs w:val="16"/>
          <w:color w:val="auto"/>
        </w:rPr>
        <w:t xml:space="preserve"> has linked sustainable performance to compensation.</w:t>
      </w:r>
    </w:p>
    <w:p>
      <w:pPr>
        <w:spacing w:after="0" w:line="8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 commits considerable time, energy, and capital to reduce its impact on the environment and to manage the evolving opportunities and risks associated with climate change. Additional information can be found in our sustainability reports on our website.</w:t>
      </w:r>
    </w:p>
    <w:p>
      <w:pPr>
        <w:spacing w:after="0" w:line="2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617220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2200" cy="21463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86360</wp:posOffset>
            </wp:positionV>
            <wp:extent cx="394335" cy="386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4335" cy="38608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86360</wp:posOffset>
            </wp:positionV>
            <wp:extent cx="386080" cy="386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ind w:left="980"/>
              <w:spacing w:after="0"/>
              <w:rPr>
                <w:sz w:val="20"/>
                <w:szCs w:val="20"/>
                <w:color w:val="auto"/>
              </w:rPr>
            </w:pPr>
            <w:r>
              <w:rPr>
                <w:rFonts w:ascii="Arial" w:cs="Arial" w:eastAsia="Arial" w:hAnsi="Arial"/>
                <w:sz w:val="16"/>
                <w:szCs w:val="16"/>
                <w:b w:val="1"/>
                <w:bCs w:val="1"/>
                <w:color w:val="auto"/>
              </w:rPr>
              <w:t>H. Lamar McKay</w:t>
            </w:r>
          </w:p>
        </w:tc>
        <w:tc>
          <w:tcPr>
            <w:tcW w:w="5560" w:type="dxa"/>
            <w:vAlign w:val="bottom"/>
          </w:tcPr>
          <w:p>
            <w:pPr>
              <w:ind w:left="1580"/>
              <w:spacing w:after="0"/>
              <w:rPr>
                <w:sz w:val="20"/>
                <w:szCs w:val="20"/>
                <w:color w:val="auto"/>
              </w:rPr>
            </w:pPr>
            <w:r>
              <w:rPr>
                <w:rFonts w:ascii="Arial" w:cs="Arial" w:eastAsia="Arial" w:hAnsi="Arial"/>
                <w:sz w:val="16"/>
                <w:szCs w:val="16"/>
                <w:b w:val="1"/>
                <w:bCs w:val="1"/>
                <w:color w:val="auto"/>
              </w:rPr>
              <w:t>John J. Christmann IV</w:t>
            </w:r>
          </w:p>
        </w:tc>
      </w:tr>
      <w:tr>
        <w:trPr>
          <w:trHeight w:val="215"/>
        </w:trPr>
        <w:tc>
          <w:tcPr>
            <w:tcW w:w="4160" w:type="dxa"/>
            <w:vAlign w:val="bottom"/>
          </w:tcPr>
          <w:p>
            <w:pPr>
              <w:ind w:left="980"/>
              <w:spacing w:after="0"/>
              <w:rPr>
                <w:sz w:val="20"/>
                <w:szCs w:val="20"/>
                <w:color w:val="auto"/>
              </w:rPr>
            </w:pPr>
            <w:r>
              <w:rPr>
                <w:rFonts w:ascii="Arial" w:cs="Arial" w:eastAsia="Arial" w:hAnsi="Arial"/>
                <w:sz w:val="16"/>
                <w:szCs w:val="16"/>
                <w:color w:val="auto"/>
              </w:rPr>
              <w:t>Non-Executive Chair of the Board</w:t>
            </w:r>
          </w:p>
        </w:tc>
        <w:tc>
          <w:tcPr>
            <w:tcW w:w="5560" w:type="dxa"/>
            <w:vAlign w:val="bottom"/>
          </w:tcPr>
          <w:p>
            <w:pPr>
              <w:ind w:left="1580"/>
              <w:spacing w:after="0"/>
              <w:rPr>
                <w:sz w:val="20"/>
                <w:szCs w:val="20"/>
                <w:color w:val="auto"/>
              </w:rPr>
            </w:pPr>
            <w:r>
              <w:rPr>
                <w:rFonts w:ascii="Arial" w:cs="Arial" w:eastAsia="Arial" w:hAnsi="Arial"/>
                <w:sz w:val="16"/>
                <w:szCs w:val="16"/>
                <w:color w:val="auto"/>
              </w:rPr>
              <w:t>Chief Executive Officer</w:t>
            </w:r>
          </w:p>
        </w:tc>
      </w:tr>
      <w:tr>
        <w:trPr>
          <w:trHeight w:val="151"/>
        </w:trPr>
        <w:tc>
          <w:tcPr>
            <w:tcW w:w="4160" w:type="dxa"/>
            <w:vAlign w:val="bottom"/>
            <w:tcBorders>
              <w:bottom w:val="single" w:sz="8" w:color="auto"/>
            </w:tcBorders>
          </w:tcPr>
          <w:p>
            <w:pPr>
              <w:spacing w:after="0"/>
              <w:rPr>
                <w:sz w:val="13"/>
                <w:szCs w:val="13"/>
                <w:color w:val="auto"/>
              </w:rPr>
            </w:pPr>
          </w:p>
        </w:tc>
        <w:tc>
          <w:tcPr>
            <w:tcW w:w="5560" w:type="dxa"/>
            <w:vAlign w:val="bottom"/>
            <w:tcBorders>
              <w:bottom w:val="single" w:sz="8" w:color="auto"/>
            </w:tcBorders>
          </w:tcPr>
          <w:p>
            <w:pPr>
              <w:spacing w:after="0"/>
              <w:rPr>
                <w:sz w:val="13"/>
                <w:szCs w:val="13"/>
                <w:color w:val="auto"/>
              </w:rPr>
            </w:pPr>
          </w:p>
        </w:tc>
      </w:tr>
      <w:tr>
        <w:trPr>
          <w:trHeight w:val="248"/>
        </w:trPr>
        <w:tc>
          <w:tcPr>
            <w:tcW w:w="4160" w:type="dxa"/>
            <w:vAlign w:val="bottom"/>
          </w:tcPr>
          <w:p>
            <w:pPr>
              <w:ind w:left="140"/>
              <w:spacing w:after="0"/>
              <w:rPr>
                <w:sz w:val="20"/>
                <w:szCs w:val="20"/>
                <w:color w:val="auto"/>
              </w:rPr>
            </w:pPr>
            <w:r>
              <w:rPr>
                <w:rFonts w:ascii="Arial" w:cs="Arial" w:eastAsia="Arial" w:hAnsi="Arial"/>
                <w:sz w:val="16"/>
                <w:szCs w:val="16"/>
                <w:color w:val="auto"/>
              </w:rPr>
              <w:t>Focuses on Board and corporate governance</w:t>
            </w:r>
          </w:p>
        </w:tc>
        <w:tc>
          <w:tcPr>
            <w:tcW w:w="5560" w:type="dxa"/>
            <w:vAlign w:val="bottom"/>
          </w:tcPr>
          <w:p>
            <w:pPr>
              <w:ind w:left="740"/>
              <w:spacing w:after="0"/>
              <w:rPr>
                <w:sz w:val="20"/>
                <w:szCs w:val="20"/>
                <w:color w:val="auto"/>
              </w:rPr>
            </w:pPr>
            <w:r>
              <w:rPr>
                <w:rFonts w:ascii="Arial" w:cs="Arial" w:eastAsia="Arial" w:hAnsi="Arial"/>
                <w:sz w:val="16"/>
                <w:szCs w:val="16"/>
                <w:color w:val="auto"/>
              </w:rPr>
              <w:t>Focuses on management leadership and corporate strategy</w:t>
            </w:r>
          </w:p>
        </w:tc>
      </w:tr>
      <w:tr>
        <w:trPr>
          <w:trHeight w:val="43"/>
        </w:trPr>
        <w:tc>
          <w:tcPr>
            <w:tcW w:w="4160" w:type="dxa"/>
            <w:vAlign w:val="bottom"/>
            <w:tcBorders>
              <w:bottom w:val="single" w:sz="8" w:color="auto"/>
            </w:tcBorders>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Separate Roles for Board Chair and CEO</w:t>
      </w:r>
    </w:p>
    <w:p>
      <w:pPr>
        <w:spacing w:after="0" w:line="12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Board does not have a formal policy regarding whether the position of chair may be filled by the Company’s Chief Executive Officer. Instead, the Board has adopted a flexible leadership structure that allows for variations depending on the circumstances and changing needs of the Company over time. The Board believes the current structure enhances corporate governance and allows each of our non-executive chair and our CEO to remain focused on their distinct roles. The Board regularly reviews all aspects of its governance profile, including the Board leadership structure, and will make changes as appropriate.</w:t>
      </w: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Role of the Non-Executive Chair</w:t>
      </w:r>
    </w:p>
    <w:p>
      <w:pPr>
        <w:spacing w:after="0" w:line="12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Consistent with good governance practices, the Board annually elects an independent director to serve as non-executive chair. Pursuant to the Company’s Corporate Governance Principles, the non-executive chair is an independent director who is elected from time to time, but not less than annually, by the affirmative vote of a majority of the independent directors.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The non-executive chair discusses management’s proposed </w:t>
      </w:r>
      <w:r>
        <w:rPr>
          <w:rFonts w:ascii="Arial" w:cs="Arial" w:eastAsia="Arial" w:hAnsi="Arial"/>
          <w:sz w:val="16"/>
          <w:szCs w:val="16"/>
          <w:b w:val="1"/>
          <w:bCs w:val="1"/>
          <w:color w:val="auto"/>
        </w:rPr>
        <w:t>meeting agendas</w:t>
      </w:r>
      <w:r>
        <w:rPr>
          <w:rFonts w:ascii="Arial" w:cs="Arial" w:eastAsia="Arial" w:hAnsi="Arial"/>
          <w:sz w:val="16"/>
          <w:szCs w:val="16"/>
          <w:color w:val="auto"/>
        </w:rPr>
        <w:t xml:space="preserve"> with the other independent directors and reviews the approved meeting agendas with our CEO; leads the </w:t>
      </w:r>
      <w:r>
        <w:rPr>
          <w:rFonts w:ascii="Arial" w:cs="Arial" w:eastAsia="Arial" w:hAnsi="Arial"/>
          <w:sz w:val="16"/>
          <w:szCs w:val="16"/>
          <w:b w:val="1"/>
          <w:bCs w:val="1"/>
          <w:color w:val="auto"/>
        </w:rPr>
        <w:t>discussion with our CEO</w:t>
      </w:r>
      <w:r>
        <w:rPr>
          <w:rFonts w:ascii="Arial" w:cs="Arial" w:eastAsia="Arial" w:hAnsi="Arial"/>
          <w:sz w:val="16"/>
          <w:szCs w:val="16"/>
          <w:color w:val="auto"/>
        </w:rPr>
        <w:t xml:space="preserve"> following the independent directors’ executive sessions; is available for </w:t>
      </w:r>
      <w:r>
        <w:rPr>
          <w:rFonts w:ascii="Arial" w:cs="Arial" w:eastAsia="Arial" w:hAnsi="Arial"/>
          <w:sz w:val="16"/>
          <w:szCs w:val="16"/>
          <w:b w:val="1"/>
          <w:bCs w:val="1"/>
          <w:color w:val="auto"/>
        </w:rPr>
        <w:t>discussions with major shareholders</w:t>
      </w:r>
      <w:r>
        <w:rPr>
          <w:rFonts w:ascii="Arial" w:cs="Arial" w:eastAsia="Arial" w:hAnsi="Arial"/>
          <w:sz w:val="16"/>
          <w:szCs w:val="16"/>
          <w:color w:val="auto"/>
        </w:rPr>
        <w:t xml:space="preserve">; and fulfills the other roles and responsibilities of the non-executive chair included in our </w:t>
      </w:r>
      <w:r>
        <w:rPr>
          <w:rFonts w:ascii="Arial" w:cs="Arial" w:eastAsia="Arial" w:hAnsi="Arial"/>
          <w:sz w:val="16"/>
          <w:szCs w:val="16"/>
          <w:b w:val="1"/>
          <w:bCs w:val="1"/>
          <w:color w:val="auto"/>
        </w:rPr>
        <w:t>Corporate Governance Principles</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Nomination Process and Refreshment</w:t>
      </w:r>
    </w:p>
    <w:p>
      <w:pPr>
        <w:spacing w:after="0" w:line="24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are committed to ensuring APA has a highly engaged and skilled Board to provide valuable strategic guidance to our management team. This commitment includes extensive evaluation criteria for election and re-election of Board members, guidelines ensuring our Board members can dedicate sufficient time to the needs of the Board, and a focus on refreshment of the Board to continue to bring in new perspectives, skills, and experiences.</w:t>
      </w:r>
    </w:p>
    <w:p>
      <w:pPr>
        <w:spacing w:after="0" w:line="63"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Evaluation Criteria for Board Members</w:t>
      </w:r>
    </w:p>
    <w:p>
      <w:pPr>
        <w:spacing w:after="0" w:line="124"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 xml:space="preserve">The CRG&amp;N Committee considers the following criteria, among others, in recommending new nominees or the re-election of directors to the Company’s Board and its committees: </w:t>
      </w:r>
      <w:r>
        <w:rPr>
          <w:rFonts w:ascii="Arial" w:cs="Arial" w:eastAsia="Arial" w:hAnsi="Arial"/>
          <w:sz w:val="16"/>
          <w:szCs w:val="16"/>
          <w:b w:val="1"/>
          <w:bCs w:val="1"/>
          <w:color w:val="auto"/>
        </w:rPr>
        <w:t>expertise and perspective</w:t>
      </w:r>
      <w:r>
        <w:rPr>
          <w:rFonts w:ascii="Arial" w:cs="Arial" w:eastAsia="Arial" w:hAnsi="Arial"/>
          <w:sz w:val="16"/>
          <w:szCs w:val="16"/>
          <w:color w:val="auto"/>
        </w:rPr>
        <w:t xml:space="preserve"> needed to govern the business and strengthen and support senior management; sound </w:t>
      </w:r>
      <w:r>
        <w:rPr>
          <w:rFonts w:ascii="Arial" w:cs="Arial" w:eastAsia="Arial" w:hAnsi="Arial"/>
          <w:sz w:val="16"/>
          <w:szCs w:val="16"/>
          <w:b w:val="1"/>
          <w:bCs w:val="1"/>
          <w:color w:val="auto"/>
        </w:rPr>
        <w:t>business judgment</w:t>
      </w:r>
      <w:r>
        <w:rPr>
          <w:rFonts w:ascii="Arial" w:cs="Arial" w:eastAsia="Arial" w:hAnsi="Arial"/>
          <w:sz w:val="16"/>
          <w:szCs w:val="16"/>
          <w:color w:val="auto"/>
        </w:rPr>
        <w:t xml:space="preserve"> and a sufficiently broad perspective to make meaningful contributions; interest and </w:t>
      </w:r>
      <w:r>
        <w:rPr>
          <w:rFonts w:ascii="Arial" w:cs="Arial" w:eastAsia="Arial" w:hAnsi="Arial"/>
          <w:sz w:val="16"/>
          <w:szCs w:val="16"/>
          <w:b w:val="1"/>
          <w:bCs w:val="1"/>
          <w:color w:val="auto"/>
        </w:rPr>
        <w:t xml:space="preserve">enthusiasm in the Company </w:t>
      </w:r>
      <w:r>
        <w:rPr>
          <w:rFonts w:ascii="Arial" w:cs="Arial" w:eastAsia="Arial" w:hAnsi="Arial"/>
          <w:sz w:val="16"/>
          <w:szCs w:val="16"/>
          <w:color w:val="auto"/>
        </w:rPr>
        <w:t>and a commitment to become involved in its future; and</w:t>
      </w:r>
      <w:r>
        <w:rPr>
          <w:rFonts w:ascii="Arial" w:cs="Arial" w:eastAsia="Arial" w:hAnsi="Arial"/>
          <w:sz w:val="16"/>
          <w:szCs w:val="16"/>
          <w:b w:val="1"/>
          <w:bCs w:val="1"/>
          <w:color w:val="auto"/>
        </w:rPr>
        <w:t xml:space="preserve"> time and energy </w:t>
      </w:r>
      <w:r>
        <w:rPr>
          <w:rFonts w:ascii="Arial" w:cs="Arial" w:eastAsia="Arial" w:hAnsi="Arial"/>
          <w:sz w:val="16"/>
          <w:szCs w:val="16"/>
          <w:color w:val="auto"/>
        </w:rPr>
        <w:t>to meet Board commitments.</w:t>
      </w:r>
    </w:p>
    <w:p>
      <w:pPr>
        <w:spacing w:after="0" w:line="5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All decisions to recommend the nomination of a new nominee for election to the Board or for the re-election of a director are within the sole discretion of the CRG&amp;N Committee. The above criteria and guidelines, together with the section of the Company’s Corporate</w:t>
      </w:r>
    </w:p>
    <w:p>
      <w:pPr>
        <w:spacing w:after="0" w:line="264" w:lineRule="exact"/>
        <w:rPr>
          <w:sz w:val="20"/>
          <w:szCs w:val="20"/>
          <w:color w:val="auto"/>
        </w:rPr>
      </w:pPr>
    </w:p>
    <w:p>
      <w:pPr>
        <w:ind w:left="420" w:hanging="398"/>
        <w:spacing w:after="0"/>
        <w:tabs>
          <w:tab w:leader="none" w:pos="42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26" w:right="1099" w:bottom="1440" w:gutter="0" w:footer="0" w:header="0"/>
        </w:sectPr>
      </w:pPr>
    </w:p>
    <w:bookmarkStart w:id="9" w:name="page10"/>
    <w:bookmarkEnd w:id="9"/>
    <w:p>
      <w:pPr>
        <w:ind w:left="660" w:right="1260"/>
        <w:spacing w:after="0" w:line="286" w:lineRule="auto"/>
        <w:rPr>
          <w:sz w:val="20"/>
          <w:szCs w:val="20"/>
          <w:color w:val="auto"/>
        </w:rPr>
      </w:pPr>
      <w:r>
        <w:rPr>
          <w:rFonts w:ascii="Arial" w:cs="Arial" w:eastAsia="Arial" w:hAnsi="Arial"/>
          <w:sz w:val="16"/>
          <w:szCs w:val="16"/>
          <w:color w:val="auto"/>
        </w:rPr>
        <w:t>Governance Principles entitled “Qualifications of Board Members,” constitute the policy of the CRG&amp;N Committee regarding the recommendation of new nominees or the re-election of directors to the Board or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26670</wp:posOffset>
            </wp:positionV>
            <wp:extent cx="6174105" cy="1619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74105" cy="1619885"/>
                    </a:xfrm>
                    <a:prstGeom prst="rect">
                      <a:avLst/>
                    </a:prstGeom>
                    <a:noFill/>
                  </pic:spPr>
                </pic:pic>
              </a:graphicData>
            </a:graphic>
          </wp:anchor>
        </w:drawing>
      </w:r>
    </w:p>
    <w:p>
      <w:pPr>
        <w:sectPr>
          <w:pgSz w:w="11900" w:h="16838" w:orient="portrait"/>
          <w:cols w:equalWidth="0" w:num="1">
            <w:col w:w="11040"/>
          </w:cols>
          <w:pgMar w:left="420" w:top="1232" w:right="439" w:bottom="1440" w:gutter="0" w:footer="0" w:header="0"/>
        </w:sectPr>
      </w:pPr>
    </w:p>
    <w:p>
      <w:pPr>
        <w:spacing w:after="0" w:line="237" w:lineRule="exact"/>
        <w:rPr>
          <w:sz w:val="20"/>
          <w:szCs w:val="20"/>
          <w:color w:val="auto"/>
        </w:rPr>
      </w:pPr>
    </w:p>
    <w:p>
      <w:pPr>
        <w:ind w:left="1280" w:right="647" w:hanging="319"/>
        <w:spacing w:after="0" w:line="296" w:lineRule="auto"/>
        <w:rPr>
          <w:sz w:val="20"/>
          <w:szCs w:val="20"/>
          <w:color w:val="auto"/>
        </w:rPr>
      </w:pPr>
      <w:r>
        <w:rPr>
          <w:rFonts w:ascii="Arial" w:cs="Arial" w:eastAsia="Arial" w:hAnsi="Arial"/>
          <w:sz w:val="16"/>
          <w:szCs w:val="16"/>
          <w:b w:val="1"/>
          <w:bCs w:val="1"/>
          <w:color w:val="EBF0ED"/>
        </w:rPr>
        <w:t>Evaluation of Nominees by CRG&amp;N Committee</w:t>
      </w:r>
    </w:p>
    <w:p>
      <w:pPr>
        <w:spacing w:after="0" w:line="275" w:lineRule="exact"/>
        <w:rPr>
          <w:sz w:val="20"/>
          <w:szCs w:val="20"/>
          <w:color w:val="auto"/>
        </w:rPr>
      </w:pPr>
    </w:p>
    <w:p>
      <w:pPr>
        <w:ind w:left="1140" w:right="447" w:hanging="229"/>
        <w:spacing w:after="0" w:line="233" w:lineRule="auto"/>
        <w:tabs>
          <w:tab w:leader="none" w:pos="114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6"/>
          <w:szCs w:val="16"/>
          <w:color w:val="auto"/>
        </w:rPr>
        <w:t>CRG&amp;N Committee identifies potential nominees for election or re-election to the Board</w:t>
      </w:r>
    </w:p>
    <w:p>
      <w:pPr>
        <w:spacing w:after="0" w:line="123" w:lineRule="exact"/>
        <w:rPr>
          <w:rFonts w:ascii="Times New Roman" w:cs="Times New Roman" w:eastAsia="Times New Roman" w:hAnsi="Times New Roman"/>
          <w:sz w:val="22"/>
          <w:szCs w:val="22"/>
          <w:color w:val="auto"/>
        </w:rPr>
      </w:pPr>
    </w:p>
    <w:p>
      <w:pPr>
        <w:ind w:left="1140" w:right="727" w:hanging="229"/>
        <w:spacing w:after="0" w:line="221" w:lineRule="auto"/>
        <w:tabs>
          <w:tab w:leader="none" w:pos="114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6"/>
          <w:szCs w:val="16"/>
          <w:color w:val="auto"/>
        </w:rPr>
        <w:t>Evaluates their judgment, skills, and experience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313"/>
        <w:spacing w:after="0"/>
        <w:rPr>
          <w:sz w:val="20"/>
          <w:szCs w:val="20"/>
          <w:color w:val="auto"/>
        </w:rPr>
      </w:pPr>
      <w:r>
        <w:rPr>
          <w:rFonts w:ascii="Arial" w:cs="Arial" w:eastAsia="Arial" w:hAnsi="Arial"/>
          <w:sz w:val="16"/>
          <w:szCs w:val="16"/>
          <w:b w:val="1"/>
          <w:bCs w:val="1"/>
          <w:color w:val="EBF0ED"/>
        </w:rPr>
        <w:t>Recommendation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-98425</wp:posOffset>
            </wp:positionV>
            <wp:extent cx="325755" cy="2311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000000"/>
                        </a:clrFrom>
                        <a:clrTo>
                          <a:srgbClr val="000000">
                            <a:alpha val="0"/>
                          </a:srgbClr>
                        </a:clrTo>
                      </a:clrChange>
                      <a:extLst>
                        <a:ext uri="{28A0092B-C50C-407E-A947-70E740481C1C}"/>
                      </a:extLst>
                    </a:blip>
                    <a:srcRect/>
                    <a:stretch>
                      <a:fillRect/>
                    </a:stretch>
                  </pic:blipFill>
                  <pic:spPr bwMode="auto">
                    <a:xfrm>
                      <a:off x="0" y="0"/>
                      <a:ext cx="325755" cy="23114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-98425</wp:posOffset>
            </wp:positionV>
            <wp:extent cx="325755" cy="2311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325755" cy="231140"/>
                    </a:xfrm>
                    <a:prstGeom prst="rect">
                      <a:avLst/>
                    </a:prstGeom>
                    <a:noFill/>
                  </pic:spPr>
                </pic:pic>
              </a:graphicData>
            </a:graphic>
          </wp:anchor>
        </w:drawing>
      </w:r>
    </w:p>
    <w:p>
      <w:pPr>
        <w:spacing w:after="0" w:line="1" w:lineRule="exact"/>
        <w:rPr>
          <w:sz w:val="20"/>
          <w:szCs w:val="20"/>
          <w:color w:val="auto"/>
        </w:rPr>
      </w:pPr>
    </w:p>
    <w:p>
      <w:pPr>
        <w:ind w:left="733"/>
        <w:spacing w:after="0"/>
        <w:rPr>
          <w:sz w:val="20"/>
          <w:szCs w:val="20"/>
          <w:color w:val="auto"/>
        </w:rPr>
      </w:pPr>
      <w:r>
        <w:rPr>
          <w:rFonts w:ascii="Arial" w:cs="Arial" w:eastAsia="Arial" w:hAnsi="Arial"/>
          <w:sz w:val="16"/>
          <w:szCs w:val="16"/>
          <w:b w:val="1"/>
          <w:bCs w:val="1"/>
          <w:color w:val="EBF0ED"/>
        </w:rPr>
        <w:t>Full Board</w:t>
      </w:r>
    </w:p>
    <w:p>
      <w:pPr>
        <w:spacing w:after="0" w:line="340" w:lineRule="exact"/>
        <w:rPr>
          <w:sz w:val="20"/>
          <w:szCs w:val="20"/>
          <w:color w:val="auto"/>
        </w:rPr>
      </w:pPr>
    </w:p>
    <w:p>
      <w:pPr>
        <w:jc w:val="both"/>
        <w:ind w:left="233" w:right="1124" w:hanging="233"/>
        <w:spacing w:after="0" w:line="229" w:lineRule="auto"/>
        <w:tabs>
          <w:tab w:leader="none" w:pos="233"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6"/>
          <w:szCs w:val="16"/>
          <w:color w:val="auto"/>
        </w:rPr>
        <w:t>CRG&amp;N Committee deliberates over the nominees</w:t>
      </w:r>
    </w:p>
    <w:p>
      <w:pPr>
        <w:spacing w:after="0" w:line="123" w:lineRule="exact"/>
        <w:rPr>
          <w:rFonts w:ascii="Times New Roman" w:cs="Times New Roman" w:eastAsia="Times New Roman" w:hAnsi="Times New Roman"/>
          <w:sz w:val="22"/>
          <w:szCs w:val="22"/>
          <w:color w:val="auto"/>
        </w:rPr>
      </w:pPr>
    </w:p>
    <w:p>
      <w:pPr>
        <w:ind w:left="233" w:right="524" w:hanging="233"/>
        <w:spacing w:after="0" w:line="233" w:lineRule="auto"/>
        <w:tabs>
          <w:tab w:leader="none" w:pos="233"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6"/>
          <w:szCs w:val="16"/>
          <w:color w:val="auto"/>
        </w:rPr>
        <w:t>Makes determination of who to recommend to the full Board for election or re-election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316"/>
        <w:spacing w:after="0"/>
        <w:rPr>
          <w:sz w:val="20"/>
          <w:szCs w:val="20"/>
          <w:color w:val="auto"/>
        </w:rPr>
      </w:pPr>
      <w:r>
        <w:rPr>
          <w:rFonts w:ascii="Arial" w:cs="Arial" w:eastAsia="Arial" w:hAnsi="Arial"/>
          <w:sz w:val="16"/>
          <w:szCs w:val="16"/>
          <w:b w:val="1"/>
          <w:bCs w:val="1"/>
          <w:color w:val="EBF0ED"/>
        </w:rPr>
        <w:t>Recommendation to</w:t>
      </w:r>
    </w:p>
    <w:p>
      <w:pPr>
        <w:spacing w:after="0" w:line="21" w:lineRule="exact"/>
        <w:rPr>
          <w:sz w:val="20"/>
          <w:szCs w:val="20"/>
          <w:color w:val="auto"/>
        </w:rPr>
      </w:pPr>
    </w:p>
    <w:p>
      <w:pPr>
        <w:ind w:left="596"/>
        <w:spacing w:after="0"/>
        <w:rPr>
          <w:sz w:val="20"/>
          <w:szCs w:val="20"/>
          <w:color w:val="auto"/>
        </w:rPr>
      </w:pPr>
      <w:r>
        <w:rPr>
          <w:rFonts w:ascii="Arial" w:cs="Arial" w:eastAsia="Arial" w:hAnsi="Arial"/>
          <w:sz w:val="16"/>
          <w:szCs w:val="16"/>
          <w:b w:val="1"/>
          <w:bCs w:val="1"/>
          <w:color w:val="EBF0ED"/>
        </w:rPr>
        <w:t>Shareholders</w:t>
      </w:r>
    </w:p>
    <w:p>
      <w:pPr>
        <w:spacing w:after="0" w:line="340" w:lineRule="exact"/>
        <w:rPr>
          <w:sz w:val="20"/>
          <w:szCs w:val="20"/>
          <w:color w:val="auto"/>
        </w:rPr>
      </w:pPr>
    </w:p>
    <w:p>
      <w:pPr>
        <w:ind w:left="216" w:right="1320" w:hanging="216"/>
        <w:spacing w:after="0" w:line="229" w:lineRule="auto"/>
        <w:tabs>
          <w:tab w:leader="none" w:pos="216"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6"/>
          <w:szCs w:val="16"/>
          <w:color w:val="auto"/>
        </w:rPr>
        <w:t>Full Board reviews the CRG&amp;N Committee’s recommendations</w:t>
      </w:r>
    </w:p>
    <w:p>
      <w:pPr>
        <w:spacing w:after="0" w:line="123" w:lineRule="exact"/>
        <w:rPr>
          <w:rFonts w:ascii="Times New Roman" w:cs="Times New Roman" w:eastAsia="Times New Roman" w:hAnsi="Times New Roman"/>
          <w:sz w:val="22"/>
          <w:szCs w:val="22"/>
          <w:color w:val="auto"/>
        </w:rPr>
      </w:pPr>
    </w:p>
    <w:p>
      <w:pPr>
        <w:ind w:left="216" w:right="860" w:hanging="216"/>
        <w:spacing w:after="0" w:line="229" w:lineRule="auto"/>
        <w:tabs>
          <w:tab w:leader="none" w:pos="216" w:val="left"/>
        </w:tabs>
        <w:numPr>
          <w:ilvl w:val="0"/>
          <w:numId w:val="24"/>
        </w:numPr>
        <w:rPr>
          <w:rFonts w:ascii="Times New Roman" w:cs="Times New Roman" w:eastAsia="Times New Roman" w:hAnsi="Times New Roman"/>
          <w:sz w:val="22"/>
          <w:szCs w:val="22"/>
          <w:color w:val="auto"/>
        </w:rPr>
      </w:pPr>
      <w:r>
        <w:rPr>
          <w:rFonts w:ascii="Arial" w:cs="Arial" w:eastAsia="Arial" w:hAnsi="Arial"/>
          <w:sz w:val="16"/>
          <w:szCs w:val="16"/>
          <w:color w:val="auto"/>
        </w:rPr>
        <w:t>Recommends the election of the nominees to the Company’s shareholders</w:t>
      </w:r>
    </w:p>
    <w:p>
      <w:pPr>
        <w:spacing w:after="0" w:line="388" w:lineRule="exact"/>
        <w:rPr>
          <w:sz w:val="20"/>
          <w:szCs w:val="20"/>
          <w:color w:val="auto"/>
        </w:rPr>
      </w:pPr>
    </w:p>
    <w:p>
      <w:pPr>
        <w:sectPr>
          <w:pgSz w:w="11900" w:h="16838" w:orient="portrait"/>
          <w:cols w:equalWidth="0" w:num="3">
            <w:col w:w="3687" w:space="720"/>
            <w:col w:w="2777" w:space="720"/>
            <w:col w:w="3136"/>
          </w:cols>
          <w:pgMar w:left="420" w:top="1232" w:right="439" w:bottom="1440" w:gutter="0" w:footer="0" w:header="0"/>
          <w:type w:val="continuous"/>
        </w:sectPr>
      </w:pPr>
    </w:p>
    <w:p>
      <w:pPr>
        <w:spacing w:after="0" w:line="106"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Overboarding Maximums</w:t>
      </w:r>
    </w:p>
    <w:p>
      <w:pPr>
        <w:spacing w:after="0" w:line="124" w:lineRule="exact"/>
        <w:rPr>
          <w:sz w:val="20"/>
          <w:szCs w:val="20"/>
          <w:color w:val="auto"/>
        </w:rPr>
      </w:pPr>
    </w:p>
    <w:p>
      <w:pPr>
        <w:ind w:left="660" w:right="700"/>
        <w:spacing w:after="0" w:line="254" w:lineRule="auto"/>
        <w:rPr>
          <w:sz w:val="20"/>
          <w:szCs w:val="20"/>
          <w:color w:val="auto"/>
        </w:rPr>
      </w:pPr>
      <w:r>
        <w:rPr>
          <w:rFonts w:ascii="Arial" w:cs="Arial" w:eastAsia="Arial" w:hAnsi="Arial"/>
          <w:sz w:val="16"/>
          <w:szCs w:val="16"/>
          <w:color w:val="auto"/>
        </w:rPr>
        <w:t xml:space="preserve">Our Board recognizes the importance of our directors’ ability to commit significant time and energy to fulfill their responsibilities to the Company. Given the commitment needed for service on a public company’s board, a director’s service on too many other public company boards may cause the director to be “overboarded.” Therefore, our Corporate Governance Principles state that a director who also serves as the CEO of the Company or any other public company should not serve on more than </w:t>
      </w:r>
      <w:r>
        <w:rPr>
          <w:rFonts w:ascii="Arial" w:cs="Arial" w:eastAsia="Arial" w:hAnsi="Arial"/>
          <w:sz w:val="16"/>
          <w:szCs w:val="16"/>
          <w:b w:val="1"/>
          <w:bCs w:val="1"/>
          <w:color w:val="auto"/>
        </w:rPr>
        <w:t>one</w:t>
      </w:r>
      <w:r>
        <w:rPr>
          <w:rFonts w:ascii="Arial" w:cs="Arial" w:eastAsia="Arial" w:hAnsi="Arial"/>
          <w:sz w:val="16"/>
          <w:szCs w:val="16"/>
          <w:color w:val="auto"/>
        </w:rPr>
        <w:t xml:space="preserve"> other board of a public company, in addition to the Company’s Board, and all other directors should not serve on more than </w:t>
      </w:r>
      <w:r>
        <w:rPr>
          <w:rFonts w:ascii="Arial" w:cs="Arial" w:eastAsia="Arial" w:hAnsi="Arial"/>
          <w:sz w:val="16"/>
          <w:szCs w:val="16"/>
          <w:b w:val="1"/>
          <w:bCs w:val="1"/>
          <w:color w:val="auto"/>
        </w:rPr>
        <w:t>three</w:t>
      </w:r>
      <w:r>
        <w:rPr>
          <w:rFonts w:ascii="Arial" w:cs="Arial" w:eastAsia="Arial" w:hAnsi="Arial"/>
          <w:sz w:val="16"/>
          <w:szCs w:val="16"/>
          <w:color w:val="auto"/>
        </w:rPr>
        <w:t xml:space="preserve"> other boards of a public company, in addition to the Company’s Board.</w:t>
      </w:r>
    </w:p>
    <w:p>
      <w:pPr>
        <w:spacing w:after="0" w:line="74" w:lineRule="exact"/>
        <w:rPr>
          <w:sz w:val="20"/>
          <w:szCs w:val="20"/>
          <w:color w:val="auto"/>
        </w:rPr>
      </w:pPr>
    </w:p>
    <w:p>
      <w:pPr>
        <w:ind w:left="660" w:right="700"/>
        <w:spacing w:after="0" w:line="271" w:lineRule="auto"/>
        <w:rPr>
          <w:sz w:val="20"/>
          <w:szCs w:val="20"/>
          <w:color w:val="auto"/>
        </w:rPr>
      </w:pPr>
      <w:r>
        <w:rPr>
          <w:rFonts w:ascii="Arial" w:cs="Arial" w:eastAsia="Arial" w:hAnsi="Arial"/>
          <w:sz w:val="16"/>
          <w:szCs w:val="16"/>
          <w:color w:val="auto"/>
        </w:rPr>
        <w:t xml:space="preserve">The CRG&amp;N Committee oversees compliance with this overboarding principle and also takes public, private, and nonprofit board service into account when evaluating director nominees for election or re-election. As of the date of this proxy statement, </w:t>
      </w:r>
      <w:r>
        <w:rPr>
          <w:rFonts w:ascii="Arial" w:cs="Arial" w:eastAsia="Arial" w:hAnsi="Arial"/>
          <w:sz w:val="16"/>
          <w:szCs w:val="16"/>
          <w:b w:val="1"/>
          <w:bCs w:val="1"/>
          <w:color w:val="auto"/>
        </w:rPr>
        <w:t>each director</w:t>
      </w:r>
      <w:r>
        <w:rPr>
          <w:rFonts w:ascii="Arial" w:cs="Arial" w:eastAsia="Arial" w:hAnsi="Arial"/>
          <w:sz w:val="16"/>
          <w:szCs w:val="16"/>
          <w:color w:val="auto"/>
        </w:rPr>
        <w:t xml:space="preserve"> </w:t>
      </w:r>
      <w:r>
        <w:rPr>
          <w:rFonts w:ascii="Arial" w:cs="Arial" w:eastAsia="Arial" w:hAnsi="Arial"/>
          <w:sz w:val="16"/>
          <w:szCs w:val="16"/>
          <w:b w:val="1"/>
          <w:bCs w:val="1"/>
          <w:color w:val="auto"/>
        </w:rPr>
        <w:t>complies with our overboarding maximums</w:t>
      </w:r>
      <w:r>
        <w:rPr>
          <w:rFonts w:ascii="Arial" w:cs="Arial" w:eastAsia="Arial" w:hAnsi="Arial"/>
          <w:sz w:val="16"/>
          <w:szCs w:val="16"/>
          <w:color w:val="auto"/>
        </w:rPr>
        <w:t>.</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Board and Committee Evaluations</w:t>
      </w:r>
    </w:p>
    <w:p>
      <w:pPr>
        <w:spacing w:after="0" w:line="124" w:lineRule="exact"/>
        <w:rPr>
          <w:sz w:val="20"/>
          <w:szCs w:val="20"/>
          <w:color w:val="auto"/>
        </w:rPr>
      </w:pPr>
    </w:p>
    <w:p>
      <w:pPr>
        <w:ind w:left="660" w:right="660"/>
        <w:spacing w:after="0" w:line="253" w:lineRule="auto"/>
        <w:rPr>
          <w:sz w:val="20"/>
          <w:szCs w:val="20"/>
          <w:color w:val="auto"/>
        </w:rPr>
      </w:pPr>
      <w:r>
        <w:rPr>
          <w:rFonts w:ascii="Arial" w:cs="Arial" w:eastAsia="Arial" w:hAnsi="Arial"/>
          <w:sz w:val="16"/>
          <w:szCs w:val="16"/>
          <w:color w:val="auto"/>
        </w:rPr>
        <w:t>Our Board recognizes that a thorough evaluation process is an important element of corporate governance and enhances our Board’s effectiveness. Therefore, each year, the independent non-executive chair of the Board oversees the director evaluation process to ensure that the full Board and each committee assess their performance and solicit feedback for areas of improvement. For the full Board, our non-executive chair interviews each Board member individually to solicit feedback on a wide range of performance-related matters. In turn, the chair of the CRG&amp;N Committee interviews each Board member to solicit feedback on the non-executive chair’s performance. Each committee also conducts a thorough annual self-evaluation in the committee’s executive session. These evaluations are then shared with the full Board during the Board’s executive session.</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Board Refreshment</w:t>
      </w:r>
    </w:p>
    <w:p>
      <w:pPr>
        <w:spacing w:after="0" w:line="124" w:lineRule="exact"/>
        <w:rPr>
          <w:sz w:val="20"/>
          <w:szCs w:val="20"/>
          <w:color w:val="auto"/>
        </w:rPr>
      </w:pPr>
    </w:p>
    <w:p>
      <w:pPr>
        <w:ind w:left="660" w:right="800"/>
        <w:spacing w:after="0" w:line="256" w:lineRule="auto"/>
        <w:rPr>
          <w:sz w:val="20"/>
          <w:szCs w:val="20"/>
          <w:color w:val="auto"/>
        </w:rPr>
      </w:pPr>
      <w:r>
        <w:rPr>
          <w:rFonts w:ascii="Arial" w:cs="Arial" w:eastAsia="Arial" w:hAnsi="Arial"/>
          <w:sz w:val="16"/>
          <w:szCs w:val="16"/>
          <w:color w:val="auto"/>
        </w:rPr>
        <w:t>The search process for new directors is an extensive and time intensive process involving our CRG&amp;N Committee and the full Board. The CRG&amp;N Committee also has the sole authority to retain any external search firms and advisors, when appropriate, to assist in the search for or evaluation of candidates, including the authority to approve fees and any other terms of retention. The Board’s commitment to spending the time and energy necessary to identify, recruit, and retain talented directors is a critical component of the Board’s responsibilities to our stakeholders.</w:t>
      </w:r>
    </w:p>
    <w:p>
      <w:pPr>
        <w:spacing w:after="0" w:line="72" w:lineRule="exact"/>
        <w:rPr>
          <w:sz w:val="20"/>
          <w:szCs w:val="20"/>
          <w:color w:val="auto"/>
        </w:rPr>
      </w:pPr>
    </w:p>
    <w:p>
      <w:pPr>
        <w:ind w:left="660" w:right="840"/>
        <w:spacing w:after="0" w:line="266" w:lineRule="auto"/>
        <w:rPr>
          <w:sz w:val="20"/>
          <w:szCs w:val="20"/>
          <w:color w:val="auto"/>
        </w:rPr>
      </w:pPr>
      <w:r>
        <w:rPr>
          <w:rFonts w:ascii="Arial" w:cs="Arial" w:eastAsia="Arial" w:hAnsi="Arial"/>
          <w:sz w:val="16"/>
          <w:szCs w:val="16"/>
          <w:color w:val="auto"/>
        </w:rPr>
        <w:t>Our newest directors bring a variety of skills and perspectives to the Board, including through financial, executive, analytical, cybersecurity, environmental, governance, and international experience. These fresh perspectives continue to help the Board fulfill its commitment to its oversight role and prudently managing the Company’s risks and strategies.</w:t>
      </w:r>
    </w:p>
    <w:p>
      <w:pPr>
        <w:spacing w:after="0" w:line="63" w:lineRule="exact"/>
        <w:rPr>
          <w:sz w:val="20"/>
          <w:szCs w:val="20"/>
          <w:color w:val="auto"/>
        </w:rPr>
      </w:pPr>
    </w:p>
    <w:p>
      <w:pPr>
        <w:ind w:left="660" w:right="760"/>
        <w:spacing w:after="0" w:line="256" w:lineRule="auto"/>
        <w:rPr>
          <w:sz w:val="20"/>
          <w:szCs w:val="20"/>
          <w:color w:val="auto"/>
        </w:rPr>
      </w:pPr>
      <w:r>
        <w:rPr>
          <w:rFonts w:ascii="Arial" w:cs="Arial" w:eastAsia="Arial" w:hAnsi="Arial"/>
          <w:sz w:val="16"/>
          <w:szCs w:val="16"/>
          <w:color w:val="auto"/>
        </w:rPr>
        <w:t>The Board also greatly benefits from our longer-serving directors, who have been renominated because of the experience and insights they bring, having overseen the Company’s strategies and actions in response to longer-term cycles within the oil and gas industry. They also provide the Board with historical insights and institutional knowledge that assist the Board in better understanding the challenges facing the Company. The Board will continue to evaluate its membership and committee assignments, in furtherance of the Company’s core value to seek top performance through continuous improvement.</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Shareholder Recommendations and Nominations</w:t>
      </w:r>
    </w:p>
    <w:p>
      <w:pPr>
        <w:spacing w:after="0" w:line="124" w:lineRule="exact"/>
        <w:rPr>
          <w:sz w:val="20"/>
          <w:szCs w:val="20"/>
          <w:color w:val="auto"/>
        </w:rPr>
      </w:pPr>
    </w:p>
    <w:p>
      <w:pPr>
        <w:ind w:left="660" w:right="900"/>
        <w:spacing w:after="0" w:line="256" w:lineRule="auto"/>
        <w:rPr>
          <w:sz w:val="20"/>
          <w:szCs w:val="20"/>
          <w:color w:val="auto"/>
        </w:rPr>
      </w:pPr>
      <w:r>
        <w:rPr>
          <w:rFonts w:ascii="Arial" w:cs="Arial" w:eastAsia="Arial" w:hAnsi="Arial"/>
          <w:sz w:val="16"/>
          <w:szCs w:val="16"/>
          <w:color w:val="auto"/>
        </w:rPr>
        <w:t xml:space="preserve">Shareholders interested in making a recommendation to the CRG&amp;N Committee for consideration of a director nominee may write to the Company’s Corporate Secretary at our principal executive offices. Shareholder recommendations are then forwarded to the CRG&amp;N Committee for consideration. Additionally, shareholders may review the requirements under the section entitled </w:t>
      </w:r>
      <w:r>
        <w:rPr>
          <w:rFonts w:ascii="Arial" w:cs="Arial" w:eastAsia="Arial" w:hAnsi="Arial"/>
          <w:sz w:val="16"/>
          <w:szCs w:val="16"/>
          <w:i w:val="1"/>
          <w:iCs w:val="1"/>
          <w:color w:val="auto"/>
        </w:rPr>
        <w:t>Future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Shareholder Proposals and Director Nominations </w:t>
      </w:r>
      <w:r>
        <w:rPr>
          <w:rFonts w:ascii="Arial" w:cs="Arial" w:eastAsia="Arial" w:hAnsi="Arial"/>
          <w:sz w:val="16"/>
          <w:szCs w:val="16"/>
          <w:color w:val="auto"/>
        </w:rPr>
        <w:t>for the requirements and deadlines to include a director nomination in next year’s</w:t>
      </w:r>
      <w:r>
        <w:rPr>
          <w:rFonts w:ascii="Arial" w:cs="Arial" w:eastAsia="Arial" w:hAnsi="Arial"/>
          <w:sz w:val="16"/>
          <w:szCs w:val="16"/>
          <w:i w:val="1"/>
          <w:iCs w:val="1"/>
          <w:color w:val="auto"/>
        </w:rPr>
        <w:t xml:space="preserve"> </w:t>
      </w:r>
      <w:r>
        <w:rPr>
          <w:rFonts w:ascii="Arial" w:cs="Arial" w:eastAsia="Arial" w:hAnsi="Arial"/>
          <w:sz w:val="16"/>
          <w:szCs w:val="16"/>
          <w:color w:val="auto"/>
        </w:rPr>
        <w:t>proxy statement or for presentation directly at next year’s meeting.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40" w:type="dxa"/>
            <w:vAlign w:val="bottom"/>
          </w:tcPr>
          <w:p>
            <w:pPr>
              <w:ind w:left="8380"/>
              <w:spacing w:after="0"/>
              <w:rPr>
                <w:sz w:val="20"/>
                <w:szCs w:val="20"/>
                <w:color w:val="auto"/>
              </w:rPr>
            </w:pPr>
            <w:r>
              <w:rPr>
                <w:rFonts w:ascii="Arial" w:cs="Arial" w:eastAsia="Arial" w:hAnsi="Arial"/>
                <w:sz w:val="16"/>
                <w:szCs w:val="16"/>
                <w:color w:val="auto"/>
              </w:rPr>
              <w:t>2026 Proxy Statement</w:t>
            </w:r>
          </w:p>
        </w:tc>
        <w:tc>
          <w:tcPr>
            <w:tcW w:w="900" w:type="dxa"/>
            <w:vAlign w:val="bottom"/>
          </w:tcPr>
          <w:p>
            <w:pPr>
              <w:jc w:val="right"/>
              <w:ind w:right="579"/>
              <w:spacing w:after="0"/>
              <w:rPr>
                <w:sz w:val="20"/>
                <w:szCs w:val="20"/>
                <w:color w:val="auto"/>
              </w:rPr>
            </w:pPr>
            <w:r>
              <w:rPr>
                <w:rFonts w:ascii="Arial" w:cs="Arial" w:eastAsia="Arial" w:hAnsi="Arial"/>
                <w:sz w:val="16"/>
                <w:szCs w:val="16"/>
                <w:b w:val="1"/>
                <w:bCs w:val="1"/>
                <w:color w:val="auto"/>
              </w:rPr>
              <w:t>5</w:t>
            </w:r>
          </w:p>
        </w:tc>
      </w:tr>
      <w:tr>
        <w:trPr>
          <w:trHeight w:val="879"/>
        </w:trPr>
        <w:tc>
          <w:tcPr>
            <w:tcW w:w="10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32" w:right="4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9"/>
          <w:szCs w:val="29"/>
          <w:b w:val="1"/>
          <w:bCs w:val="1"/>
          <w:color w:val="auto"/>
        </w:rPr>
        <w:t>Director Independence</w:t>
      </w:r>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During the first two months of 2026, the Board evaluated all business and charitable relationships between the Company and the Company’s non-employee directors (all directors other than Mr. Christmann) and all other relevant facts and circumstances. As a result of this evaluation, the Board determined, as required by the Company’s Corporate Governance Principles, that </w:t>
      </w:r>
      <w:r>
        <w:rPr>
          <w:rFonts w:ascii="Arial" w:cs="Arial" w:eastAsia="Arial" w:hAnsi="Arial"/>
          <w:sz w:val="16"/>
          <w:szCs w:val="16"/>
          <w:b w:val="1"/>
          <w:bCs w:val="1"/>
          <w:color w:val="auto"/>
        </w:rPr>
        <w:t>each non-employee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director is an independent director </w:t>
      </w:r>
      <w:r>
        <w:rPr>
          <w:rFonts w:ascii="Arial" w:cs="Arial" w:eastAsia="Arial" w:hAnsi="Arial"/>
          <w:sz w:val="16"/>
          <w:szCs w:val="16"/>
          <w:color w:val="auto"/>
        </w:rPr>
        <w:t>as defined by the standards for director independence established by applicable laws, rules, and</w:t>
      </w:r>
      <w:r>
        <w:rPr>
          <w:rFonts w:ascii="Arial" w:cs="Arial" w:eastAsia="Arial" w:hAnsi="Arial"/>
          <w:sz w:val="16"/>
          <w:szCs w:val="16"/>
          <w:b w:val="1"/>
          <w:bCs w:val="1"/>
          <w:color w:val="auto"/>
        </w:rPr>
        <w:t xml:space="preserve"> </w:t>
      </w:r>
      <w:r>
        <w:rPr>
          <w:rFonts w:ascii="Arial" w:cs="Arial" w:eastAsia="Arial" w:hAnsi="Arial"/>
          <w:sz w:val="16"/>
          <w:szCs w:val="16"/>
          <w:color w:val="auto"/>
        </w:rPr>
        <w:t>listing standards, including the standards for independent directors established by Nasdaq and the SEC. As such, each standing committee of the Board is comprised exclusively of independent directors.</w:t>
      </w:r>
    </w:p>
    <w:p>
      <w:pPr>
        <w:spacing w:after="0" w:line="74"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The Company’s Corporate Governance Principles require that the independent directors meet in executive session at least twice each year; in 2025, they met six times in executive session. These executive sessions are chaired by our independent, non-executive chair.</w:t>
      </w:r>
    </w:p>
    <w:p>
      <w:pPr>
        <w:spacing w:after="0" w:line="2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Non-Discrimination</w:t>
      </w:r>
    </w:p>
    <w:p>
      <w:pPr>
        <w:spacing w:after="0" w:line="24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Company policy precludes directors and employees from discriminating against any protected group. As such, all director candidates are evaluated, and the decision of whether to nominate a particular candidate is made, based solely on Company- and work-related factors. The Board is committed to recruiting and appointing a talented and highly capable membership.</w:t>
      </w:r>
    </w:p>
    <w:p>
      <w:pPr>
        <w:spacing w:after="0" w:line="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Pledging and Hedging Policies</w:t>
      </w:r>
    </w:p>
    <w:p>
      <w:pPr>
        <w:spacing w:after="0" w:line="24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 xml:space="preserve">The Company has a pledging policy that </w:t>
      </w:r>
      <w:r>
        <w:rPr>
          <w:rFonts w:ascii="Arial" w:cs="Arial" w:eastAsia="Arial" w:hAnsi="Arial"/>
          <w:sz w:val="16"/>
          <w:szCs w:val="16"/>
          <w:b w:val="1"/>
          <w:bCs w:val="1"/>
          <w:color w:val="auto"/>
        </w:rPr>
        <w:t>prohibits</w:t>
      </w:r>
      <w:r>
        <w:rPr>
          <w:rFonts w:ascii="Arial" w:cs="Arial" w:eastAsia="Arial" w:hAnsi="Arial"/>
          <w:sz w:val="16"/>
          <w:szCs w:val="16"/>
          <w:color w:val="auto"/>
        </w:rPr>
        <w:t xml:space="preserve"> non-employee directors and executive officers from holding APA securities in a margin account or pledging any APA securities as collateral for a loan. The Company also has a hedging policy that </w:t>
      </w:r>
      <w:r>
        <w:rPr>
          <w:rFonts w:ascii="Arial" w:cs="Arial" w:eastAsia="Arial" w:hAnsi="Arial"/>
          <w:sz w:val="16"/>
          <w:szCs w:val="16"/>
          <w:b w:val="1"/>
          <w:bCs w:val="1"/>
          <w:color w:val="auto"/>
        </w:rPr>
        <w:t>prohibits</w:t>
      </w:r>
      <w:r>
        <w:rPr>
          <w:rFonts w:ascii="Arial" w:cs="Arial" w:eastAsia="Arial" w:hAnsi="Arial"/>
          <w:sz w:val="16"/>
          <w:szCs w:val="16"/>
          <w:color w:val="auto"/>
        </w:rPr>
        <w:t xml:space="preserve"> non-employee directors and executive officers from entering into any hedge or other transaction (such as puts, calls, options, or other derivative securities) in APA securities that has the effect of limiting the risk of ownership of APA common stock or stock options. As of the date of this proxy statement, each non-employee director and executive officer complies with the Company’s pledging and hedging policies. The Company does not have pledging or hedging policies applicable to employees who are not executive officers.</w:t>
      </w:r>
    </w:p>
    <w:p>
      <w:pPr>
        <w:spacing w:after="0" w:line="5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Insider Trading Policy</w:t>
      </w:r>
    </w:p>
    <w:p>
      <w:pPr>
        <w:spacing w:after="0" w:line="24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Company has an insider trading policy regarding the purchase, sale, or other dispositions of the Company’s securities by officers, directors, and employees of the Company and its subsidiaries and affiliates, along with other covered persons, that we believe is reasonably designed to promote compliance with insider trading laws, rules, and regulations and any listing standards applicable to the Company. A copy of the policy was filed as an exhibit to our most recent Annual Report on Form 10-K. The policy sets forth the basic principles of the types of insider trading transactions prohibited by U.S. securities laws, reminds individuals that civil and criminal penalties may result from violations, and includes examples of the types of information that could constitute material, nonpublic information.</w:t>
      </w:r>
    </w:p>
    <w:p>
      <w:pPr>
        <w:spacing w:after="0" w:line="7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policy includes requirements for managers to carefully supervise any subordinates who routinely have access to material, nonpublic information, describes the standard quarterly blackout periods, and addresses the process by which the Company may implement special blackout periods to restrict trading. It also addresses exceptions to the policy, such as transactions under Company plans and transactions under an effective trading plan that complies with applicable securities laws and regulations. Additionally, the Company’s Code of Conduct contains a summary of the key concepts from the Company’s insider trading policy.</w:t>
      </w:r>
    </w:p>
    <w:p>
      <w:pPr>
        <w:spacing w:after="0" w:line="7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Company’s Office of the Corporate Secretary is responsible for administering the policy, responding to questions about the policy, and approving applicable preclearance requests. While the Company itself is not subject to the insider trading policy, it is the Company’s long-standing policy that it will not engage in transactions in the Company’s securities while in possession of material nonpublic information regarding the Company or the Company’s securities.</w:t>
      </w:r>
    </w:p>
    <w:p>
      <w:pPr>
        <w:spacing w:after="0" w:line="5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 Succession Planning and Leadership Development</w:t>
      </w:r>
    </w:p>
    <w:p>
      <w:pPr>
        <w:spacing w:after="0" w:line="24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are committed to ensuring we have talented and high-performing individuals leading the Company at all levels, from field leaders to executive officers. The retention and continued development of these leaders is a key priority for the Company. In addition, the Company is focused on leadership succession planning to ensure the identification and preparation of a strong pipeline of future leaders to execute on our long-term strategies.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full Board has direct responsibility for overseeing the succession plan for our CEO, including the approval and maintenance of a succession plan, based on recommendations of the MD&amp;C Committee. Additionally, the MD&amp;C Committee is responsible for reviewing and discussing with management the succession planning for other members of our management team. Having a clear and defined succession planning process helps keep our current and future leaders more engaged and dedicated to the success of the Company.</w:t>
      </w:r>
    </w:p>
    <w:p>
      <w:pPr>
        <w:spacing w:after="0" w:line="286" w:lineRule="exact"/>
        <w:rPr>
          <w:sz w:val="20"/>
          <w:szCs w:val="20"/>
          <w:color w:val="auto"/>
        </w:rPr>
      </w:pPr>
    </w:p>
    <w:p>
      <w:pPr>
        <w:ind w:left="420" w:hanging="398"/>
        <w:spacing w:after="0"/>
        <w:tabs>
          <w:tab w:leader="none" w:pos="42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320" w:right="1159" w:bottom="1440" w:gutter="0" w:footer="0" w:header="0"/>
        </w:sectPr>
      </w:pPr>
    </w:p>
    <w:bookmarkStart w:id="11" w:name="page12"/>
    <w:bookmarkEnd w:id="11"/>
    <w:p>
      <w:pPr>
        <w:ind w:left="660"/>
        <w:spacing w:after="0"/>
        <w:rPr>
          <w:sz w:val="20"/>
          <w:szCs w:val="20"/>
          <w:color w:val="auto"/>
        </w:rPr>
      </w:pPr>
      <w:r>
        <w:rPr>
          <w:rFonts w:ascii="Arial" w:cs="Arial" w:eastAsia="Arial" w:hAnsi="Arial"/>
          <w:sz w:val="29"/>
          <w:szCs w:val="29"/>
          <w:b w:val="1"/>
          <w:bCs w:val="1"/>
          <w:color w:val="auto"/>
        </w:rPr>
        <w:t>Shareholder Engagement Program and Feedback</w:t>
      </w:r>
    </w:p>
    <w:p>
      <w:pPr>
        <w:spacing w:after="0" w:line="240" w:lineRule="exact"/>
        <w:rPr>
          <w:sz w:val="20"/>
          <w:szCs w:val="20"/>
          <w:color w:val="auto"/>
        </w:rPr>
      </w:pPr>
    </w:p>
    <w:p>
      <w:pPr>
        <w:ind w:left="660" w:right="1160"/>
        <w:spacing w:after="0" w:line="286" w:lineRule="auto"/>
        <w:rPr>
          <w:sz w:val="20"/>
          <w:szCs w:val="20"/>
          <w:color w:val="auto"/>
        </w:rPr>
      </w:pPr>
      <w:r>
        <w:rPr>
          <w:rFonts w:ascii="Arial" w:cs="Arial" w:eastAsia="Arial" w:hAnsi="Arial"/>
          <w:sz w:val="16"/>
          <w:szCs w:val="16"/>
          <w:color w:val="auto"/>
        </w:rPr>
        <w:t>The Company’s approach to engagement with stakeholders on a year-round basis continues to be a core focus of our Board and executive management. This helps ensure we are addressing issues critical to the Company’s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26670</wp:posOffset>
            </wp:positionV>
            <wp:extent cx="34290" cy="129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129413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26670</wp:posOffset>
            </wp:positionV>
            <wp:extent cx="33655" cy="129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1294130"/>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26670</wp:posOffset>
            </wp:positionV>
            <wp:extent cx="33655" cy="129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1294130"/>
                    </a:xfrm>
                    <a:prstGeom prst="rect">
                      <a:avLst/>
                    </a:prstGeom>
                    <a:noFill/>
                  </pic:spPr>
                </pic:pic>
              </a:graphicData>
            </a:graphic>
          </wp:anchor>
        </w:drawing>
      </w:r>
    </w:p>
    <w:p>
      <w:pPr>
        <w:spacing w:after="0" w:line="42" w:lineRule="exact"/>
        <w:rPr>
          <w:sz w:val="20"/>
          <w:szCs w:val="20"/>
          <w:color w:val="auto"/>
        </w:rPr>
      </w:pPr>
    </w:p>
    <w:tbl>
      <w:tblPr>
        <w:tblLayout w:type="fixed"/>
        <w:tblInd w:w="670" w:type="dxa"/>
        <w:tblCellMar>
          <w:top w:w="0" w:type="dxa"/>
          <w:left w:w="0" w:type="dxa"/>
          <w:bottom w:w="0" w:type="dxa"/>
          <w:right w:w="0" w:type="dxa"/>
        </w:tblCellMar>
      </w:tblPr>
      <w:tr>
        <w:trPr>
          <w:trHeight w:val="424"/>
        </w:trPr>
        <w:tc>
          <w:tcPr>
            <w:tcW w:w="1960" w:type="dxa"/>
            <w:vAlign w:val="bottom"/>
            <w:tcBorders>
              <w:left w:val="single" w:sz="8" w:color="064781"/>
              <w:right w:val="single" w:sz="8" w:color="00506F"/>
            </w:tcBorders>
            <w:shd w:val="clear" w:color="auto" w:fill="00506F"/>
          </w:tcPr>
          <w:p>
            <w:pPr>
              <w:ind w:left="540"/>
              <w:spacing w:after="0"/>
              <w:rPr>
                <w:sz w:val="20"/>
                <w:szCs w:val="20"/>
                <w:color w:val="auto"/>
              </w:rPr>
            </w:pPr>
            <w:r>
              <w:rPr>
                <w:rFonts w:ascii="Arial" w:cs="Arial" w:eastAsia="Arial" w:hAnsi="Arial"/>
                <w:sz w:val="16"/>
                <w:szCs w:val="16"/>
                <w:b w:val="1"/>
                <w:bCs w:val="1"/>
                <w:color w:val="FFFFFF"/>
              </w:rPr>
              <w:t>May to July</w:t>
            </w:r>
          </w:p>
        </w:tc>
        <w:tc>
          <w:tcPr>
            <w:tcW w:w="680" w:type="dxa"/>
            <w:vAlign w:val="bottom"/>
          </w:tcPr>
          <w:p>
            <w:pPr>
              <w:spacing w:after="0"/>
              <w:rPr>
                <w:sz w:val="24"/>
                <w:szCs w:val="24"/>
                <w:color w:val="auto"/>
              </w:rPr>
            </w:pPr>
          </w:p>
        </w:tc>
        <w:tc>
          <w:tcPr>
            <w:tcW w:w="1860" w:type="dxa"/>
            <w:vAlign w:val="bottom"/>
            <w:tcBorders>
              <w:right w:val="single" w:sz="8" w:color="064781"/>
            </w:tcBorders>
            <w:shd w:val="clear" w:color="auto" w:fill="00506F"/>
          </w:tcPr>
          <w:p>
            <w:pPr>
              <w:ind w:left="200"/>
              <w:spacing w:after="0"/>
              <w:rPr>
                <w:sz w:val="20"/>
                <w:szCs w:val="20"/>
                <w:color w:val="auto"/>
              </w:rPr>
            </w:pPr>
            <w:r>
              <w:rPr>
                <w:rFonts w:ascii="Arial" w:cs="Arial" w:eastAsia="Arial" w:hAnsi="Arial"/>
                <w:sz w:val="16"/>
                <w:szCs w:val="16"/>
                <w:b w:val="1"/>
                <w:bCs w:val="1"/>
                <w:color w:val="FFFFFF"/>
              </w:rPr>
              <w:t>August to October</w:t>
            </w:r>
          </w:p>
        </w:tc>
        <w:tc>
          <w:tcPr>
            <w:tcW w:w="660" w:type="dxa"/>
            <w:vAlign w:val="bottom"/>
          </w:tcPr>
          <w:p>
            <w:pPr>
              <w:spacing w:after="0"/>
              <w:rPr>
                <w:sz w:val="24"/>
                <w:szCs w:val="24"/>
                <w:color w:val="auto"/>
              </w:rPr>
            </w:pPr>
          </w:p>
        </w:tc>
        <w:tc>
          <w:tcPr>
            <w:tcW w:w="1960" w:type="dxa"/>
            <w:vAlign w:val="bottom"/>
            <w:tcBorders>
              <w:right w:val="single" w:sz="8" w:color="064781"/>
            </w:tcBorders>
            <w:shd w:val="clear" w:color="auto" w:fill="00506F"/>
          </w:tcPr>
          <w:p>
            <w:pPr>
              <w:ind w:left="140"/>
              <w:spacing w:after="0"/>
              <w:rPr>
                <w:sz w:val="20"/>
                <w:szCs w:val="20"/>
                <w:color w:val="auto"/>
              </w:rPr>
            </w:pPr>
            <w:r>
              <w:rPr>
                <w:rFonts w:ascii="Arial" w:cs="Arial" w:eastAsia="Arial" w:hAnsi="Arial"/>
                <w:sz w:val="16"/>
                <w:szCs w:val="16"/>
                <w:b w:val="1"/>
                <w:bCs w:val="1"/>
                <w:color w:val="FFFFFF"/>
              </w:rPr>
              <w:t>November to January</w:t>
            </w:r>
          </w:p>
        </w:tc>
        <w:tc>
          <w:tcPr>
            <w:tcW w:w="660" w:type="dxa"/>
            <w:vAlign w:val="bottom"/>
          </w:tcPr>
          <w:p>
            <w:pPr>
              <w:spacing w:after="0"/>
              <w:rPr>
                <w:sz w:val="24"/>
                <w:szCs w:val="24"/>
                <w:color w:val="auto"/>
              </w:rPr>
            </w:pPr>
          </w:p>
        </w:tc>
        <w:tc>
          <w:tcPr>
            <w:tcW w:w="1960" w:type="dxa"/>
            <w:vAlign w:val="bottom"/>
            <w:tcBorders>
              <w:right w:val="single" w:sz="8" w:color="064781"/>
            </w:tcBorders>
            <w:shd w:val="clear" w:color="auto" w:fill="00506F"/>
          </w:tcPr>
          <w:p>
            <w:pPr>
              <w:ind w:left="300"/>
              <w:spacing w:after="0"/>
              <w:rPr>
                <w:sz w:val="20"/>
                <w:szCs w:val="20"/>
                <w:color w:val="auto"/>
              </w:rPr>
            </w:pPr>
            <w:r>
              <w:rPr>
                <w:rFonts w:ascii="Arial" w:cs="Arial" w:eastAsia="Arial" w:hAnsi="Arial"/>
                <w:sz w:val="16"/>
                <w:szCs w:val="16"/>
                <w:b w:val="1"/>
                <w:bCs w:val="1"/>
                <w:color w:val="FFFFFF"/>
              </w:rPr>
              <w:t>February to April</w:t>
            </w:r>
          </w:p>
        </w:tc>
      </w:tr>
      <w:tr>
        <w:trPr>
          <w:trHeight w:val="210"/>
        </w:trPr>
        <w:tc>
          <w:tcPr>
            <w:tcW w:w="1960" w:type="dxa"/>
            <w:vAlign w:val="bottom"/>
            <w:tcBorders>
              <w:left w:val="single" w:sz="8" w:color="064781"/>
              <w:right w:val="single" w:sz="8" w:color="00506F"/>
            </w:tcBorders>
            <w:shd w:val="clear" w:color="auto" w:fill="00506F"/>
          </w:tcPr>
          <w:p>
            <w:pPr>
              <w:spacing w:after="0"/>
              <w:rPr>
                <w:sz w:val="18"/>
                <w:szCs w:val="18"/>
                <w:color w:val="auto"/>
              </w:rPr>
            </w:pPr>
          </w:p>
        </w:tc>
        <w:tc>
          <w:tcPr>
            <w:tcW w:w="680" w:type="dxa"/>
            <w:vAlign w:val="bottom"/>
          </w:tcPr>
          <w:p>
            <w:pPr>
              <w:spacing w:after="0"/>
              <w:rPr>
                <w:sz w:val="18"/>
                <w:szCs w:val="18"/>
                <w:color w:val="auto"/>
              </w:rPr>
            </w:pPr>
          </w:p>
        </w:tc>
        <w:tc>
          <w:tcPr>
            <w:tcW w:w="1860" w:type="dxa"/>
            <w:vAlign w:val="bottom"/>
            <w:tcBorders>
              <w:right w:val="single" w:sz="8" w:color="064781"/>
            </w:tcBorders>
            <w:shd w:val="clear" w:color="auto" w:fill="00506F"/>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tcBorders>
              <w:right w:val="single" w:sz="8" w:color="064781"/>
            </w:tcBorders>
            <w:shd w:val="clear" w:color="auto" w:fill="00506F"/>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tcBorders>
              <w:right w:val="single" w:sz="8" w:color="064781"/>
            </w:tcBorders>
            <w:shd w:val="clear" w:color="auto" w:fill="00506F"/>
          </w:tcPr>
          <w:p>
            <w:pPr>
              <w:spacing w:after="0"/>
              <w:rPr>
                <w:sz w:val="18"/>
                <w:szCs w:val="18"/>
                <w:color w:val="auto"/>
              </w:rPr>
            </w:pPr>
          </w:p>
        </w:tc>
      </w:tr>
      <w:tr>
        <w:trPr>
          <w:trHeight w:val="283"/>
        </w:trPr>
        <w:tc>
          <w:tcPr>
            <w:tcW w:w="1960" w:type="dxa"/>
            <w:vAlign w:val="bottom"/>
            <w:tcBorders>
              <w:left w:val="single" w:sz="8" w:color="064781"/>
              <w:right w:val="single" w:sz="8" w:color="064781"/>
            </w:tcBorders>
          </w:tcPr>
          <w:p>
            <w:pPr>
              <w:ind w:left="140"/>
              <w:spacing w:after="0"/>
              <w:rPr>
                <w:sz w:val="20"/>
                <w:szCs w:val="20"/>
                <w:color w:val="auto"/>
              </w:rPr>
            </w:pPr>
            <w:r>
              <w:rPr>
                <w:rFonts w:ascii="Arial" w:cs="Arial" w:eastAsia="Arial" w:hAnsi="Arial"/>
                <w:sz w:val="16"/>
                <w:szCs w:val="16"/>
                <w:color w:val="auto"/>
              </w:rPr>
              <w:t>Review and</w:t>
            </w:r>
          </w:p>
        </w:tc>
        <w:tc>
          <w:tcPr>
            <w:tcW w:w="680" w:type="dxa"/>
            <w:vAlign w:val="bottom"/>
          </w:tcPr>
          <w:p>
            <w:pPr>
              <w:spacing w:after="0"/>
              <w:rPr>
                <w:sz w:val="24"/>
                <w:szCs w:val="24"/>
                <w:color w:val="auto"/>
              </w:rPr>
            </w:pPr>
          </w:p>
        </w:tc>
        <w:tc>
          <w:tcPr>
            <w:tcW w:w="1860" w:type="dxa"/>
            <w:vAlign w:val="bottom"/>
            <w:tcBorders>
              <w:right w:val="single" w:sz="8" w:color="064781"/>
            </w:tcBorders>
          </w:tcPr>
          <w:p>
            <w:pPr>
              <w:ind w:left="140"/>
              <w:spacing w:after="0"/>
              <w:rPr>
                <w:sz w:val="20"/>
                <w:szCs w:val="20"/>
                <w:color w:val="auto"/>
              </w:rPr>
            </w:pPr>
            <w:r>
              <w:rPr>
                <w:rFonts w:ascii="Arial" w:cs="Arial" w:eastAsia="Arial" w:hAnsi="Arial"/>
                <w:sz w:val="16"/>
                <w:szCs w:val="16"/>
                <w:color w:val="auto"/>
              </w:rPr>
              <w:t>Meet with</w:t>
            </w:r>
          </w:p>
        </w:tc>
        <w:tc>
          <w:tcPr>
            <w:tcW w:w="660" w:type="dxa"/>
            <w:vAlign w:val="bottom"/>
          </w:tcPr>
          <w:p>
            <w:pPr>
              <w:spacing w:after="0"/>
              <w:rPr>
                <w:sz w:val="24"/>
                <w:szCs w:val="24"/>
                <w:color w:val="auto"/>
              </w:rPr>
            </w:pPr>
          </w:p>
        </w:tc>
        <w:tc>
          <w:tcPr>
            <w:tcW w:w="1960" w:type="dxa"/>
            <w:vAlign w:val="bottom"/>
            <w:tcBorders>
              <w:right w:val="single" w:sz="8" w:color="064781"/>
            </w:tcBorders>
          </w:tcPr>
          <w:p>
            <w:pPr>
              <w:ind w:left="140"/>
              <w:spacing w:after="0"/>
              <w:rPr>
                <w:sz w:val="20"/>
                <w:szCs w:val="20"/>
                <w:color w:val="auto"/>
              </w:rPr>
            </w:pPr>
            <w:r>
              <w:rPr>
                <w:rFonts w:ascii="Arial" w:cs="Arial" w:eastAsia="Arial" w:hAnsi="Arial"/>
                <w:sz w:val="16"/>
                <w:szCs w:val="16"/>
                <w:color w:val="auto"/>
              </w:rPr>
              <w:t>Continue meeting with</w:t>
            </w:r>
          </w:p>
        </w:tc>
        <w:tc>
          <w:tcPr>
            <w:tcW w:w="660" w:type="dxa"/>
            <w:vAlign w:val="bottom"/>
          </w:tcPr>
          <w:p>
            <w:pPr>
              <w:spacing w:after="0"/>
              <w:rPr>
                <w:sz w:val="24"/>
                <w:szCs w:val="24"/>
                <w:color w:val="auto"/>
              </w:rPr>
            </w:pPr>
          </w:p>
        </w:tc>
        <w:tc>
          <w:tcPr>
            <w:tcW w:w="1960" w:type="dxa"/>
            <w:vAlign w:val="bottom"/>
            <w:tcBorders>
              <w:right w:val="single" w:sz="8" w:color="064781"/>
            </w:tcBorders>
          </w:tcPr>
          <w:p>
            <w:pPr>
              <w:ind w:left="120"/>
              <w:spacing w:after="0"/>
              <w:rPr>
                <w:sz w:val="20"/>
                <w:szCs w:val="20"/>
                <w:color w:val="auto"/>
              </w:rPr>
            </w:pPr>
            <w:r>
              <w:rPr>
                <w:rFonts w:ascii="Arial" w:cs="Arial" w:eastAsia="Arial" w:hAnsi="Arial"/>
                <w:sz w:val="16"/>
                <w:szCs w:val="16"/>
                <w:color w:val="auto"/>
              </w:rPr>
              <w:t>Complete shareholder</w:t>
            </w:r>
          </w:p>
        </w:tc>
      </w:tr>
      <w:tr>
        <w:trPr>
          <w:trHeight w:val="189"/>
        </w:trPr>
        <w:tc>
          <w:tcPr>
            <w:tcW w:w="1960" w:type="dxa"/>
            <w:vAlign w:val="bottom"/>
            <w:tcBorders>
              <w:left w:val="single" w:sz="8" w:color="064781"/>
              <w:right w:val="single" w:sz="8" w:color="064781"/>
            </w:tcBorders>
          </w:tcPr>
          <w:p>
            <w:pPr>
              <w:ind w:left="140"/>
              <w:spacing w:after="0"/>
              <w:rPr>
                <w:sz w:val="20"/>
                <w:szCs w:val="20"/>
                <w:color w:val="auto"/>
              </w:rPr>
            </w:pPr>
            <w:r>
              <w:rPr>
                <w:rFonts w:ascii="Arial" w:cs="Arial" w:eastAsia="Arial" w:hAnsi="Arial"/>
                <w:sz w:val="16"/>
                <w:szCs w:val="16"/>
                <w:color w:val="auto"/>
              </w:rPr>
              <w:t>summarize feedback</w:t>
            </w:r>
          </w:p>
        </w:tc>
        <w:tc>
          <w:tcPr>
            <w:tcW w:w="680" w:type="dxa"/>
            <w:vAlign w:val="bottom"/>
          </w:tcPr>
          <w:p>
            <w:pPr>
              <w:spacing w:after="0"/>
              <w:rPr>
                <w:sz w:val="16"/>
                <w:szCs w:val="16"/>
                <w:color w:val="auto"/>
              </w:rPr>
            </w:pPr>
          </w:p>
        </w:tc>
        <w:tc>
          <w:tcPr>
            <w:tcW w:w="1860" w:type="dxa"/>
            <w:vAlign w:val="bottom"/>
            <w:tcBorders>
              <w:right w:val="single" w:sz="8" w:color="064781"/>
            </w:tcBorders>
          </w:tcPr>
          <w:p>
            <w:pPr>
              <w:ind w:left="140"/>
              <w:spacing w:after="0"/>
              <w:rPr>
                <w:sz w:val="20"/>
                <w:szCs w:val="20"/>
                <w:color w:val="auto"/>
              </w:rPr>
            </w:pPr>
            <w:r>
              <w:rPr>
                <w:rFonts w:ascii="Arial" w:cs="Arial" w:eastAsia="Arial" w:hAnsi="Arial"/>
                <w:sz w:val="16"/>
                <w:szCs w:val="16"/>
                <w:color w:val="auto"/>
              </w:rPr>
              <w:t>shareholders and</w:t>
            </w:r>
          </w:p>
        </w:tc>
        <w:tc>
          <w:tcPr>
            <w:tcW w:w="660" w:type="dxa"/>
            <w:vAlign w:val="bottom"/>
          </w:tcPr>
          <w:p>
            <w:pPr>
              <w:spacing w:after="0"/>
              <w:rPr>
                <w:sz w:val="16"/>
                <w:szCs w:val="16"/>
                <w:color w:val="auto"/>
              </w:rPr>
            </w:pPr>
          </w:p>
        </w:tc>
        <w:tc>
          <w:tcPr>
            <w:tcW w:w="1960" w:type="dxa"/>
            <w:vAlign w:val="bottom"/>
            <w:tcBorders>
              <w:right w:val="single" w:sz="8" w:color="064781"/>
            </w:tcBorders>
          </w:tcPr>
          <w:p>
            <w:pPr>
              <w:ind w:left="140"/>
              <w:spacing w:after="0"/>
              <w:rPr>
                <w:sz w:val="20"/>
                <w:szCs w:val="20"/>
                <w:color w:val="auto"/>
              </w:rPr>
            </w:pPr>
            <w:r>
              <w:rPr>
                <w:rFonts w:ascii="Arial" w:cs="Arial" w:eastAsia="Arial" w:hAnsi="Arial"/>
                <w:sz w:val="16"/>
                <w:szCs w:val="16"/>
                <w:color w:val="auto"/>
              </w:rPr>
              <w:t>shareholders, adjust</w:t>
            </w:r>
          </w:p>
        </w:tc>
        <w:tc>
          <w:tcPr>
            <w:tcW w:w="660" w:type="dxa"/>
            <w:vAlign w:val="bottom"/>
          </w:tcPr>
          <w:p>
            <w:pPr>
              <w:spacing w:after="0"/>
              <w:rPr>
                <w:sz w:val="16"/>
                <w:szCs w:val="16"/>
                <w:color w:val="auto"/>
              </w:rPr>
            </w:pPr>
          </w:p>
        </w:tc>
        <w:tc>
          <w:tcPr>
            <w:tcW w:w="1960" w:type="dxa"/>
            <w:vAlign w:val="bottom"/>
            <w:tcBorders>
              <w:right w:val="single" w:sz="8" w:color="064781"/>
            </w:tcBorders>
          </w:tcPr>
          <w:p>
            <w:pPr>
              <w:ind w:left="120"/>
              <w:spacing w:after="0"/>
              <w:rPr>
                <w:sz w:val="20"/>
                <w:szCs w:val="20"/>
                <w:color w:val="auto"/>
              </w:rPr>
            </w:pPr>
            <w:r>
              <w:rPr>
                <w:rFonts w:ascii="Arial" w:cs="Arial" w:eastAsia="Arial" w:hAnsi="Arial"/>
                <w:sz w:val="16"/>
                <w:szCs w:val="16"/>
                <w:color w:val="auto"/>
              </w:rPr>
              <w:t>meetings, review</w:t>
            </w:r>
          </w:p>
        </w:tc>
      </w:tr>
      <w:tr>
        <w:trPr>
          <w:trHeight w:val="189"/>
        </w:trPr>
        <w:tc>
          <w:tcPr>
            <w:tcW w:w="1960" w:type="dxa"/>
            <w:vAlign w:val="bottom"/>
            <w:tcBorders>
              <w:left w:val="single" w:sz="8" w:color="064781"/>
              <w:right w:val="single" w:sz="8" w:color="064781"/>
            </w:tcBorders>
          </w:tcPr>
          <w:p>
            <w:pPr>
              <w:ind w:left="140"/>
              <w:spacing w:after="0"/>
              <w:rPr>
                <w:sz w:val="20"/>
                <w:szCs w:val="20"/>
                <w:color w:val="auto"/>
              </w:rPr>
            </w:pPr>
            <w:r>
              <w:rPr>
                <w:rFonts w:ascii="Arial" w:cs="Arial" w:eastAsia="Arial" w:hAnsi="Arial"/>
                <w:sz w:val="16"/>
                <w:szCs w:val="16"/>
                <w:color w:val="auto"/>
              </w:rPr>
              <w:t>from the annual</w:t>
            </w:r>
          </w:p>
        </w:tc>
        <w:tc>
          <w:tcPr>
            <w:tcW w:w="680" w:type="dxa"/>
            <w:vAlign w:val="bottom"/>
          </w:tcPr>
          <w:p>
            <w:pPr>
              <w:spacing w:after="0"/>
              <w:rPr>
                <w:sz w:val="16"/>
                <w:szCs w:val="16"/>
                <w:color w:val="auto"/>
              </w:rPr>
            </w:pPr>
          </w:p>
        </w:tc>
        <w:tc>
          <w:tcPr>
            <w:tcW w:w="1860" w:type="dxa"/>
            <w:vAlign w:val="bottom"/>
            <w:tcBorders>
              <w:right w:val="single" w:sz="8" w:color="064781"/>
            </w:tcBorders>
          </w:tcPr>
          <w:p>
            <w:pPr>
              <w:ind w:left="140"/>
              <w:spacing w:after="0"/>
              <w:rPr>
                <w:sz w:val="20"/>
                <w:szCs w:val="20"/>
                <w:color w:val="auto"/>
              </w:rPr>
            </w:pPr>
            <w:r>
              <w:rPr>
                <w:rFonts w:ascii="Arial" w:cs="Arial" w:eastAsia="Arial" w:hAnsi="Arial"/>
                <w:sz w:val="16"/>
                <w:szCs w:val="16"/>
                <w:color w:val="auto"/>
              </w:rPr>
              <w:t>consider issues</w:t>
            </w:r>
          </w:p>
        </w:tc>
        <w:tc>
          <w:tcPr>
            <w:tcW w:w="660" w:type="dxa"/>
            <w:vAlign w:val="bottom"/>
          </w:tcPr>
          <w:p>
            <w:pPr>
              <w:spacing w:after="0"/>
              <w:rPr>
                <w:sz w:val="16"/>
                <w:szCs w:val="16"/>
                <w:color w:val="auto"/>
              </w:rPr>
            </w:pPr>
          </w:p>
        </w:tc>
        <w:tc>
          <w:tcPr>
            <w:tcW w:w="1960" w:type="dxa"/>
            <w:vAlign w:val="bottom"/>
            <w:tcBorders>
              <w:right w:val="single" w:sz="8" w:color="064781"/>
            </w:tcBorders>
          </w:tcPr>
          <w:p>
            <w:pPr>
              <w:ind w:left="140"/>
              <w:spacing w:after="0"/>
              <w:rPr>
                <w:sz w:val="20"/>
                <w:szCs w:val="20"/>
                <w:color w:val="auto"/>
              </w:rPr>
            </w:pPr>
            <w:r>
              <w:rPr>
                <w:rFonts w:ascii="Arial" w:cs="Arial" w:eastAsia="Arial" w:hAnsi="Arial"/>
                <w:sz w:val="16"/>
                <w:szCs w:val="16"/>
                <w:color w:val="auto"/>
              </w:rPr>
              <w:t>meeting content, and</w:t>
            </w:r>
          </w:p>
        </w:tc>
        <w:tc>
          <w:tcPr>
            <w:tcW w:w="660" w:type="dxa"/>
            <w:vAlign w:val="bottom"/>
          </w:tcPr>
          <w:p>
            <w:pPr>
              <w:spacing w:after="0"/>
              <w:rPr>
                <w:sz w:val="16"/>
                <w:szCs w:val="16"/>
                <w:color w:val="auto"/>
              </w:rPr>
            </w:pPr>
          </w:p>
        </w:tc>
        <w:tc>
          <w:tcPr>
            <w:tcW w:w="1960" w:type="dxa"/>
            <w:vAlign w:val="bottom"/>
            <w:tcBorders>
              <w:right w:val="single" w:sz="8" w:color="064781"/>
            </w:tcBorders>
          </w:tcPr>
          <w:p>
            <w:pPr>
              <w:ind w:left="120"/>
              <w:spacing w:after="0"/>
              <w:rPr>
                <w:sz w:val="20"/>
                <w:szCs w:val="20"/>
                <w:color w:val="auto"/>
              </w:rPr>
            </w:pPr>
            <w:r>
              <w:rPr>
                <w:rFonts w:ascii="Arial" w:cs="Arial" w:eastAsia="Arial" w:hAnsi="Arial"/>
                <w:sz w:val="16"/>
                <w:szCs w:val="16"/>
                <w:color w:val="auto"/>
              </w:rPr>
              <w:t>feedback, and</w:t>
            </w:r>
          </w:p>
        </w:tc>
      </w:tr>
      <w:tr>
        <w:trPr>
          <w:trHeight w:val="189"/>
        </w:trPr>
        <w:tc>
          <w:tcPr>
            <w:tcW w:w="1960" w:type="dxa"/>
            <w:vAlign w:val="bottom"/>
            <w:tcBorders>
              <w:left w:val="single" w:sz="8" w:color="064781"/>
              <w:right w:val="single" w:sz="8" w:color="064781"/>
            </w:tcBorders>
          </w:tcPr>
          <w:p>
            <w:pPr>
              <w:ind w:left="140"/>
              <w:spacing w:after="0"/>
              <w:rPr>
                <w:sz w:val="20"/>
                <w:szCs w:val="20"/>
                <w:color w:val="auto"/>
              </w:rPr>
            </w:pPr>
            <w:r>
              <w:rPr>
                <w:rFonts w:ascii="Arial" w:cs="Arial" w:eastAsia="Arial" w:hAnsi="Arial"/>
                <w:sz w:val="16"/>
                <w:szCs w:val="16"/>
                <w:color w:val="auto"/>
              </w:rPr>
              <w:t>meeting and identify</w:t>
            </w:r>
          </w:p>
        </w:tc>
        <w:tc>
          <w:tcPr>
            <w:tcW w:w="680" w:type="dxa"/>
            <w:vAlign w:val="bottom"/>
          </w:tcPr>
          <w:p>
            <w:pPr>
              <w:spacing w:after="0"/>
              <w:rPr>
                <w:sz w:val="16"/>
                <w:szCs w:val="16"/>
                <w:color w:val="auto"/>
              </w:rPr>
            </w:pPr>
          </w:p>
        </w:tc>
        <w:tc>
          <w:tcPr>
            <w:tcW w:w="1860" w:type="dxa"/>
            <w:vAlign w:val="bottom"/>
            <w:tcBorders>
              <w:right w:val="single" w:sz="8" w:color="064781"/>
            </w:tcBorders>
          </w:tcPr>
          <w:p>
            <w:pPr>
              <w:ind w:left="140"/>
              <w:spacing w:after="0"/>
              <w:rPr>
                <w:sz w:val="20"/>
                <w:szCs w:val="20"/>
                <w:color w:val="auto"/>
              </w:rPr>
            </w:pPr>
            <w:r>
              <w:rPr>
                <w:rFonts w:ascii="Arial" w:cs="Arial" w:eastAsia="Arial" w:hAnsi="Arial"/>
                <w:sz w:val="16"/>
                <w:szCs w:val="16"/>
                <w:color w:val="auto"/>
              </w:rPr>
              <w:t>raised</w:t>
            </w:r>
          </w:p>
        </w:tc>
        <w:tc>
          <w:tcPr>
            <w:tcW w:w="660" w:type="dxa"/>
            <w:vAlign w:val="bottom"/>
          </w:tcPr>
          <w:p>
            <w:pPr>
              <w:spacing w:after="0"/>
              <w:rPr>
                <w:sz w:val="16"/>
                <w:szCs w:val="16"/>
                <w:color w:val="auto"/>
              </w:rPr>
            </w:pPr>
          </w:p>
        </w:tc>
        <w:tc>
          <w:tcPr>
            <w:tcW w:w="1960" w:type="dxa"/>
            <w:vAlign w:val="bottom"/>
            <w:tcBorders>
              <w:right w:val="single" w:sz="8" w:color="064781"/>
            </w:tcBorders>
          </w:tcPr>
          <w:p>
            <w:pPr>
              <w:ind w:left="140"/>
              <w:spacing w:after="0"/>
              <w:rPr>
                <w:sz w:val="20"/>
                <w:szCs w:val="20"/>
                <w:color w:val="auto"/>
              </w:rPr>
            </w:pPr>
            <w:r>
              <w:rPr>
                <w:rFonts w:ascii="Arial" w:cs="Arial" w:eastAsia="Arial" w:hAnsi="Arial"/>
                <w:sz w:val="16"/>
                <w:szCs w:val="16"/>
                <w:color w:val="auto"/>
              </w:rPr>
              <w:t>identify any other</w:t>
            </w:r>
          </w:p>
        </w:tc>
        <w:tc>
          <w:tcPr>
            <w:tcW w:w="660" w:type="dxa"/>
            <w:vAlign w:val="bottom"/>
          </w:tcPr>
          <w:p>
            <w:pPr>
              <w:spacing w:after="0"/>
              <w:rPr>
                <w:sz w:val="16"/>
                <w:szCs w:val="16"/>
                <w:color w:val="auto"/>
              </w:rPr>
            </w:pPr>
          </w:p>
        </w:tc>
        <w:tc>
          <w:tcPr>
            <w:tcW w:w="1960" w:type="dxa"/>
            <w:vAlign w:val="bottom"/>
            <w:tcBorders>
              <w:right w:val="single" w:sz="8" w:color="064781"/>
            </w:tcBorders>
          </w:tcPr>
          <w:p>
            <w:pPr>
              <w:ind w:left="120"/>
              <w:spacing w:after="0"/>
              <w:rPr>
                <w:sz w:val="20"/>
                <w:szCs w:val="20"/>
                <w:color w:val="auto"/>
              </w:rPr>
            </w:pPr>
            <w:r>
              <w:rPr>
                <w:rFonts w:ascii="Arial" w:cs="Arial" w:eastAsia="Arial" w:hAnsi="Arial"/>
                <w:sz w:val="16"/>
                <w:szCs w:val="16"/>
                <w:color w:val="auto"/>
              </w:rPr>
              <w:t>consider modification</w:t>
            </w:r>
          </w:p>
        </w:tc>
      </w:tr>
      <w:tr>
        <w:trPr>
          <w:trHeight w:val="189"/>
        </w:trPr>
        <w:tc>
          <w:tcPr>
            <w:tcW w:w="1960" w:type="dxa"/>
            <w:vAlign w:val="bottom"/>
            <w:tcBorders>
              <w:left w:val="single" w:sz="8" w:color="064781"/>
              <w:right w:val="single" w:sz="8" w:color="064781"/>
            </w:tcBorders>
          </w:tcPr>
          <w:p>
            <w:pPr>
              <w:ind w:left="140"/>
              <w:spacing w:after="0"/>
              <w:rPr>
                <w:sz w:val="20"/>
                <w:szCs w:val="20"/>
                <w:color w:val="auto"/>
              </w:rPr>
            </w:pPr>
            <w:r>
              <w:rPr>
                <w:rFonts w:ascii="Arial" w:cs="Arial" w:eastAsia="Arial" w:hAnsi="Arial"/>
                <w:sz w:val="16"/>
                <w:szCs w:val="16"/>
                <w:color w:val="auto"/>
              </w:rPr>
              <w:t>potential areas of</w:t>
            </w:r>
          </w:p>
        </w:tc>
        <w:tc>
          <w:tcPr>
            <w:tcW w:w="680" w:type="dxa"/>
            <w:vAlign w:val="bottom"/>
          </w:tcPr>
          <w:p>
            <w:pPr>
              <w:spacing w:after="0"/>
              <w:rPr>
                <w:sz w:val="16"/>
                <w:szCs w:val="16"/>
                <w:color w:val="auto"/>
              </w:rPr>
            </w:pPr>
          </w:p>
        </w:tc>
        <w:tc>
          <w:tcPr>
            <w:tcW w:w="1860" w:type="dxa"/>
            <w:vAlign w:val="bottom"/>
            <w:tcBorders>
              <w:right w:val="single" w:sz="8" w:color="064781"/>
            </w:tcBorders>
          </w:tcPr>
          <w:p>
            <w:pPr>
              <w:spacing w:after="0"/>
              <w:rPr>
                <w:sz w:val="16"/>
                <w:szCs w:val="16"/>
                <w:color w:val="auto"/>
              </w:rPr>
            </w:pPr>
          </w:p>
        </w:tc>
        <w:tc>
          <w:tcPr>
            <w:tcW w:w="660" w:type="dxa"/>
            <w:vAlign w:val="bottom"/>
          </w:tcPr>
          <w:p>
            <w:pPr>
              <w:spacing w:after="0"/>
              <w:rPr>
                <w:sz w:val="16"/>
                <w:szCs w:val="16"/>
                <w:color w:val="auto"/>
              </w:rPr>
            </w:pPr>
          </w:p>
        </w:tc>
        <w:tc>
          <w:tcPr>
            <w:tcW w:w="1960" w:type="dxa"/>
            <w:vAlign w:val="bottom"/>
            <w:tcBorders>
              <w:right w:val="single" w:sz="8" w:color="064781"/>
            </w:tcBorders>
          </w:tcPr>
          <w:p>
            <w:pPr>
              <w:ind w:left="140"/>
              <w:spacing w:after="0"/>
              <w:rPr>
                <w:sz w:val="20"/>
                <w:szCs w:val="20"/>
                <w:color w:val="auto"/>
              </w:rPr>
            </w:pPr>
            <w:r>
              <w:rPr>
                <w:rFonts w:ascii="Arial" w:cs="Arial" w:eastAsia="Arial" w:hAnsi="Arial"/>
                <w:sz w:val="16"/>
                <w:szCs w:val="16"/>
                <w:color w:val="auto"/>
              </w:rPr>
              <w:t>areas of concern</w:t>
            </w:r>
          </w:p>
        </w:tc>
        <w:tc>
          <w:tcPr>
            <w:tcW w:w="660" w:type="dxa"/>
            <w:vAlign w:val="bottom"/>
          </w:tcPr>
          <w:p>
            <w:pPr>
              <w:spacing w:after="0"/>
              <w:rPr>
                <w:sz w:val="16"/>
                <w:szCs w:val="16"/>
                <w:color w:val="auto"/>
              </w:rPr>
            </w:pPr>
          </w:p>
        </w:tc>
        <w:tc>
          <w:tcPr>
            <w:tcW w:w="1960" w:type="dxa"/>
            <w:vAlign w:val="bottom"/>
            <w:tcBorders>
              <w:right w:val="single" w:sz="8" w:color="064781"/>
            </w:tcBorders>
          </w:tcPr>
          <w:p>
            <w:pPr>
              <w:ind w:left="120"/>
              <w:spacing w:after="0"/>
              <w:rPr>
                <w:sz w:val="20"/>
                <w:szCs w:val="20"/>
                <w:color w:val="auto"/>
              </w:rPr>
            </w:pPr>
            <w:r>
              <w:rPr>
                <w:rFonts w:ascii="Arial" w:cs="Arial" w:eastAsia="Arial" w:hAnsi="Arial"/>
                <w:sz w:val="16"/>
                <w:szCs w:val="16"/>
                <w:color w:val="auto"/>
              </w:rPr>
              <w:t>of policies and plans</w:t>
            </w:r>
          </w:p>
        </w:tc>
      </w:tr>
      <w:tr>
        <w:trPr>
          <w:trHeight w:val="215"/>
        </w:trPr>
        <w:tc>
          <w:tcPr>
            <w:tcW w:w="1960" w:type="dxa"/>
            <w:vAlign w:val="bottom"/>
            <w:tcBorders>
              <w:left w:val="single" w:sz="8" w:color="064781"/>
              <w:right w:val="single" w:sz="8" w:color="064781"/>
            </w:tcBorders>
          </w:tcPr>
          <w:p>
            <w:pPr>
              <w:ind w:left="140"/>
              <w:spacing w:after="0"/>
              <w:rPr>
                <w:sz w:val="20"/>
                <w:szCs w:val="20"/>
                <w:color w:val="auto"/>
              </w:rPr>
            </w:pPr>
            <w:r>
              <w:rPr>
                <w:rFonts w:ascii="Arial" w:cs="Arial" w:eastAsia="Arial" w:hAnsi="Arial"/>
                <w:sz w:val="16"/>
                <w:szCs w:val="16"/>
                <w:color w:val="auto"/>
              </w:rPr>
              <w:t>concern</w:t>
            </w:r>
          </w:p>
        </w:tc>
        <w:tc>
          <w:tcPr>
            <w:tcW w:w="680" w:type="dxa"/>
            <w:vAlign w:val="bottom"/>
          </w:tcPr>
          <w:p>
            <w:pPr>
              <w:spacing w:after="0"/>
              <w:rPr>
                <w:sz w:val="18"/>
                <w:szCs w:val="18"/>
                <w:color w:val="auto"/>
              </w:rPr>
            </w:pPr>
          </w:p>
        </w:tc>
        <w:tc>
          <w:tcPr>
            <w:tcW w:w="1860" w:type="dxa"/>
            <w:vAlign w:val="bottom"/>
            <w:tcBorders>
              <w:right w:val="single" w:sz="8" w:color="064781"/>
            </w:tcBorders>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tcBorders>
              <w:right w:val="single" w:sz="8" w:color="064781"/>
            </w:tcBorders>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tcBorders>
              <w:right w:val="single" w:sz="8" w:color="064781"/>
            </w:tcBorders>
          </w:tcPr>
          <w:p>
            <w:pPr>
              <w:spacing w:after="0"/>
              <w:rPr>
                <w:sz w:val="18"/>
                <w:szCs w:val="18"/>
                <w:color w:val="auto"/>
              </w:rPr>
            </w:pPr>
          </w:p>
        </w:tc>
      </w:tr>
      <w:tr>
        <w:trPr>
          <w:trHeight w:val="97"/>
        </w:trPr>
        <w:tc>
          <w:tcPr>
            <w:tcW w:w="1960" w:type="dxa"/>
            <w:vAlign w:val="bottom"/>
            <w:tcBorders>
              <w:left w:val="single" w:sz="8" w:color="064781"/>
              <w:bottom w:val="single" w:sz="8" w:color="064781"/>
              <w:right w:val="single" w:sz="8" w:color="064781"/>
            </w:tcBorders>
          </w:tcPr>
          <w:p>
            <w:pPr>
              <w:spacing w:after="0"/>
              <w:rPr>
                <w:sz w:val="8"/>
                <w:szCs w:val="8"/>
                <w:color w:val="auto"/>
              </w:rPr>
            </w:pPr>
          </w:p>
        </w:tc>
        <w:tc>
          <w:tcPr>
            <w:tcW w:w="680" w:type="dxa"/>
            <w:vAlign w:val="bottom"/>
          </w:tcPr>
          <w:p>
            <w:pPr>
              <w:spacing w:after="0"/>
              <w:rPr>
                <w:sz w:val="8"/>
                <w:szCs w:val="8"/>
                <w:color w:val="auto"/>
              </w:rPr>
            </w:pPr>
          </w:p>
        </w:tc>
        <w:tc>
          <w:tcPr>
            <w:tcW w:w="1860" w:type="dxa"/>
            <w:vAlign w:val="bottom"/>
            <w:tcBorders>
              <w:bottom w:val="single" w:sz="8" w:color="064781"/>
              <w:right w:val="single" w:sz="8" w:color="064781"/>
            </w:tcBorders>
          </w:tcPr>
          <w:p>
            <w:pPr>
              <w:spacing w:after="0"/>
              <w:rPr>
                <w:sz w:val="8"/>
                <w:szCs w:val="8"/>
                <w:color w:val="auto"/>
              </w:rPr>
            </w:pPr>
          </w:p>
        </w:tc>
        <w:tc>
          <w:tcPr>
            <w:tcW w:w="660" w:type="dxa"/>
            <w:vAlign w:val="bottom"/>
          </w:tcPr>
          <w:p>
            <w:pPr>
              <w:spacing w:after="0"/>
              <w:rPr>
                <w:sz w:val="8"/>
                <w:szCs w:val="8"/>
                <w:color w:val="auto"/>
              </w:rPr>
            </w:pPr>
          </w:p>
        </w:tc>
        <w:tc>
          <w:tcPr>
            <w:tcW w:w="1960" w:type="dxa"/>
            <w:vAlign w:val="bottom"/>
            <w:tcBorders>
              <w:bottom w:val="single" w:sz="8" w:color="064781"/>
              <w:right w:val="single" w:sz="8" w:color="064781"/>
            </w:tcBorders>
          </w:tcPr>
          <w:p>
            <w:pPr>
              <w:spacing w:after="0"/>
              <w:rPr>
                <w:sz w:val="8"/>
                <w:szCs w:val="8"/>
                <w:color w:val="auto"/>
              </w:rPr>
            </w:pPr>
          </w:p>
        </w:tc>
        <w:tc>
          <w:tcPr>
            <w:tcW w:w="660" w:type="dxa"/>
            <w:vAlign w:val="bottom"/>
          </w:tcPr>
          <w:p>
            <w:pPr>
              <w:spacing w:after="0"/>
              <w:rPr>
                <w:sz w:val="8"/>
                <w:szCs w:val="8"/>
                <w:color w:val="auto"/>
              </w:rPr>
            </w:pPr>
          </w:p>
        </w:tc>
        <w:tc>
          <w:tcPr>
            <w:tcW w:w="1960" w:type="dxa"/>
            <w:vAlign w:val="bottom"/>
            <w:tcBorders>
              <w:bottom w:val="single" w:sz="8" w:color="064781"/>
              <w:right w:val="single" w:sz="8" w:color="064781"/>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1715770</wp:posOffset>
            </wp:positionH>
            <wp:positionV relativeFrom="paragraph">
              <wp:posOffset>-1182370</wp:posOffset>
            </wp:positionV>
            <wp:extent cx="325755" cy="2311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755" cy="231140"/>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-1182370</wp:posOffset>
            </wp:positionV>
            <wp:extent cx="325755" cy="2311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755" cy="231140"/>
                    </a:xfrm>
                    <a:prstGeom prst="rect">
                      <a:avLst/>
                    </a:prstGeom>
                    <a:noFill/>
                  </pic:spPr>
                </pic:pic>
              </a:graphicData>
            </a:graphic>
          </wp:anchor>
        </w:drawing>
        <w:drawing>
          <wp:anchor simplePos="0" relativeHeight="251657728" behindDoc="1" locked="0" layoutInCell="0" allowOverlap="1">
            <wp:simplePos x="0" y="0"/>
            <wp:positionH relativeFrom="column">
              <wp:posOffset>4973320</wp:posOffset>
            </wp:positionH>
            <wp:positionV relativeFrom="paragraph">
              <wp:posOffset>-1182370</wp:posOffset>
            </wp:positionV>
            <wp:extent cx="325755" cy="2311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5755" cy="231140"/>
                    </a:xfrm>
                    <a:prstGeom prst="rect">
                      <a:avLst/>
                    </a:prstGeom>
                    <a:noFill/>
                  </pic:spPr>
                </pic:pic>
              </a:graphicData>
            </a:graphic>
          </wp:anchor>
        </w:drawing>
      </w:r>
    </w:p>
    <w:p>
      <w:pPr>
        <w:spacing w:after="0" w:line="74" w:lineRule="exact"/>
        <w:rPr>
          <w:sz w:val="20"/>
          <w:szCs w:val="20"/>
          <w:color w:val="auto"/>
        </w:rPr>
      </w:pPr>
    </w:p>
    <w:p>
      <w:pPr>
        <w:ind w:left="660" w:right="680"/>
        <w:spacing w:after="0" w:line="286" w:lineRule="auto"/>
        <w:rPr>
          <w:sz w:val="20"/>
          <w:szCs w:val="20"/>
          <w:color w:val="auto"/>
        </w:rPr>
      </w:pPr>
      <w:r>
        <w:rPr>
          <w:rFonts w:ascii="Arial" w:cs="Arial" w:eastAsia="Arial" w:hAnsi="Arial"/>
          <w:sz w:val="16"/>
          <w:szCs w:val="16"/>
          <w:color w:val="auto"/>
        </w:rPr>
        <w:t>The feedback received through these engagement programs has been instrumental in guiding the Board’s and the Company’s strategic decision making for operational, risk, and compensation decisions.</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Sustainable Operations</w:t>
      </w:r>
    </w:p>
    <w:p>
      <w:pPr>
        <w:spacing w:after="0" w:line="240" w:lineRule="exact"/>
        <w:rPr>
          <w:sz w:val="20"/>
          <w:szCs w:val="20"/>
          <w:color w:val="auto"/>
        </w:rPr>
      </w:pPr>
    </w:p>
    <w:p>
      <w:pPr>
        <w:ind w:left="660" w:right="960"/>
        <w:spacing w:after="0" w:line="286" w:lineRule="auto"/>
        <w:rPr>
          <w:sz w:val="20"/>
          <w:szCs w:val="20"/>
          <w:color w:val="auto"/>
        </w:rPr>
      </w:pPr>
      <w:r>
        <w:rPr>
          <w:rFonts w:ascii="Arial" w:cs="Arial" w:eastAsia="Arial" w:hAnsi="Arial"/>
          <w:sz w:val="16"/>
          <w:szCs w:val="16"/>
          <w:color w:val="auto"/>
        </w:rPr>
        <w:t>We focus our corporate and environmental stewardship efforts in areas that are core to our business, important to our stakeholders, and where we can make an impact:</w:t>
      </w:r>
    </w:p>
    <w:p>
      <w:pPr>
        <w:spacing w:after="0" w:line="42" w:lineRule="exact"/>
        <w:rPr>
          <w:sz w:val="20"/>
          <w:szCs w:val="20"/>
          <w:color w:val="auto"/>
        </w:rPr>
      </w:pPr>
    </w:p>
    <w:tbl>
      <w:tblPr>
        <w:tblLayout w:type="fixed"/>
        <w:tblInd w:w="660" w:type="dxa"/>
        <w:tblCellMar>
          <w:top w:w="0" w:type="dxa"/>
          <w:left w:w="0" w:type="dxa"/>
          <w:bottom w:w="0" w:type="dxa"/>
          <w:right w:w="0" w:type="dxa"/>
        </w:tblCellMar>
      </w:tblPr>
      <w:tr>
        <w:trPr>
          <w:trHeight w:val="316"/>
        </w:trPr>
        <w:tc>
          <w:tcPr>
            <w:tcW w:w="2260" w:type="dxa"/>
            <w:vAlign w:val="bottom"/>
            <w:tcBorders>
              <w:top w:val="single" w:sz="8" w:color="auto"/>
              <w:bottom w:val="single" w:sz="8" w:color="F3F3F4"/>
            </w:tcBorders>
            <w:shd w:val="clear" w:color="auto" w:fill="F3F3F4"/>
          </w:tcPr>
          <w:p>
            <w:pPr>
              <w:ind w:left="140"/>
              <w:spacing w:after="0"/>
              <w:rPr>
                <w:sz w:val="20"/>
                <w:szCs w:val="20"/>
                <w:color w:val="auto"/>
              </w:rPr>
            </w:pPr>
            <w:r>
              <w:rPr>
                <w:rFonts w:ascii="Arial" w:cs="Arial" w:eastAsia="Arial" w:hAnsi="Arial"/>
                <w:sz w:val="16"/>
                <w:szCs w:val="16"/>
                <w:b w:val="1"/>
                <w:bCs w:val="1"/>
                <w:color w:val="auto"/>
              </w:rPr>
              <w:t>Focus Area</w:t>
            </w:r>
          </w:p>
        </w:tc>
        <w:tc>
          <w:tcPr>
            <w:tcW w:w="7460" w:type="dxa"/>
            <w:vAlign w:val="bottom"/>
            <w:tcBorders>
              <w:top w:val="single" w:sz="8" w:color="auto"/>
              <w:bottom w:val="single" w:sz="8" w:color="F3F3F4"/>
            </w:tcBorders>
            <w:shd w:val="clear" w:color="auto" w:fill="F3F3F4"/>
          </w:tcPr>
          <w:p>
            <w:pPr>
              <w:ind w:left="180"/>
              <w:spacing w:after="0"/>
              <w:rPr>
                <w:sz w:val="20"/>
                <w:szCs w:val="20"/>
                <w:color w:val="auto"/>
              </w:rPr>
            </w:pPr>
            <w:r>
              <w:rPr>
                <w:rFonts w:ascii="Arial" w:cs="Arial" w:eastAsia="Arial" w:hAnsi="Arial"/>
                <w:sz w:val="16"/>
                <w:szCs w:val="16"/>
                <w:b w:val="1"/>
                <w:bCs w:val="1"/>
                <w:color w:val="auto"/>
              </w:rPr>
              <w:t>Vision</w:t>
            </w:r>
          </w:p>
        </w:tc>
        <w:tc>
          <w:tcPr>
            <w:tcW w:w="0" w:type="dxa"/>
            <w:vAlign w:val="bottom"/>
          </w:tcPr>
          <w:p>
            <w:pPr>
              <w:spacing w:after="0"/>
              <w:rPr>
                <w:sz w:val="1"/>
                <w:szCs w:val="1"/>
                <w:color w:val="auto"/>
              </w:rPr>
            </w:pPr>
          </w:p>
        </w:tc>
      </w:tr>
      <w:tr>
        <w:trPr>
          <w:trHeight w:val="222"/>
        </w:trPr>
        <w:tc>
          <w:tcPr>
            <w:tcW w:w="2260" w:type="dxa"/>
            <w:vAlign w:val="bottom"/>
            <w:tcBorders>
              <w:top w:val="single" w:sz="8" w:color="auto"/>
            </w:tcBorders>
            <w:vMerge w:val="restart"/>
          </w:tcPr>
          <w:p>
            <w:pPr>
              <w:ind w:left="700"/>
              <w:spacing w:after="0"/>
              <w:rPr>
                <w:sz w:val="20"/>
                <w:szCs w:val="20"/>
                <w:color w:val="auto"/>
              </w:rPr>
            </w:pPr>
            <w:r>
              <w:rPr>
                <w:rFonts w:ascii="Arial" w:cs="Arial" w:eastAsia="Arial" w:hAnsi="Arial"/>
                <w:sz w:val="20"/>
                <w:szCs w:val="20"/>
                <w:b w:val="1"/>
                <w:bCs w:val="1"/>
                <w:color w:val="auto"/>
              </w:rPr>
              <w:t>AIR</w:t>
            </w:r>
          </w:p>
        </w:tc>
        <w:tc>
          <w:tcPr>
            <w:tcW w:w="746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We are committed to helping address the challenge of reducing emissions while responsibly</w:t>
            </w:r>
          </w:p>
        </w:tc>
        <w:tc>
          <w:tcPr>
            <w:tcW w:w="0" w:type="dxa"/>
            <w:vAlign w:val="bottom"/>
          </w:tcPr>
          <w:p>
            <w:pPr>
              <w:spacing w:after="0"/>
              <w:rPr>
                <w:sz w:val="1"/>
                <w:szCs w:val="1"/>
                <w:color w:val="auto"/>
              </w:rPr>
            </w:pPr>
          </w:p>
        </w:tc>
      </w:tr>
      <w:tr>
        <w:trPr>
          <w:trHeight w:val="156"/>
        </w:trPr>
        <w:tc>
          <w:tcPr>
            <w:tcW w:w="2260" w:type="dxa"/>
            <w:vAlign w:val="bottom"/>
            <w:vMerge w:val="continue"/>
          </w:tcPr>
          <w:p>
            <w:pPr>
              <w:spacing w:after="0"/>
              <w:rPr>
                <w:sz w:val="13"/>
                <w:szCs w:val="13"/>
                <w:color w:val="auto"/>
              </w:rPr>
            </w:pPr>
          </w:p>
        </w:tc>
        <w:tc>
          <w:tcPr>
            <w:tcW w:w="7460" w:type="dxa"/>
            <w:vAlign w:val="bottom"/>
            <w:vMerge w:val="restart"/>
          </w:tcPr>
          <w:p>
            <w:pPr>
              <w:ind w:left="180"/>
              <w:spacing w:after="0"/>
              <w:rPr>
                <w:sz w:val="20"/>
                <w:szCs w:val="20"/>
                <w:color w:val="auto"/>
              </w:rPr>
            </w:pPr>
            <w:r>
              <w:rPr>
                <w:rFonts w:ascii="Arial" w:cs="Arial" w:eastAsia="Arial" w:hAnsi="Arial"/>
                <w:sz w:val="16"/>
                <w:szCs w:val="16"/>
                <w:color w:val="auto"/>
              </w:rPr>
              <w:t>producing reliable, secure, affordable energy.</w:t>
            </w:r>
          </w:p>
        </w:tc>
        <w:tc>
          <w:tcPr>
            <w:tcW w:w="0" w:type="dxa"/>
            <w:vAlign w:val="bottom"/>
          </w:tcPr>
          <w:p>
            <w:pPr>
              <w:spacing w:after="0"/>
              <w:rPr>
                <w:sz w:val="1"/>
                <w:szCs w:val="1"/>
                <w:color w:val="auto"/>
              </w:rPr>
            </w:pPr>
          </w:p>
        </w:tc>
      </w:tr>
      <w:tr>
        <w:trPr>
          <w:trHeight w:val="59"/>
        </w:trPr>
        <w:tc>
          <w:tcPr>
            <w:tcW w:w="2260" w:type="dxa"/>
            <w:vAlign w:val="bottom"/>
          </w:tcPr>
          <w:p>
            <w:pPr>
              <w:spacing w:after="0"/>
              <w:rPr>
                <w:sz w:val="5"/>
                <w:szCs w:val="5"/>
                <w:color w:val="auto"/>
              </w:rPr>
            </w:pPr>
          </w:p>
        </w:tc>
        <w:tc>
          <w:tcPr>
            <w:tcW w:w="7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260" w:type="dxa"/>
            <w:vAlign w:val="bottom"/>
            <w:tcBorders>
              <w:bottom w:val="single" w:sz="8" w:color="auto"/>
            </w:tcBorders>
          </w:tcPr>
          <w:p>
            <w:pPr>
              <w:spacing w:after="0"/>
              <w:rPr>
                <w:sz w:val="3"/>
                <w:szCs w:val="3"/>
                <w:color w:val="auto"/>
              </w:rPr>
            </w:pPr>
          </w:p>
        </w:tc>
        <w:tc>
          <w:tcPr>
            <w:tcW w:w="7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260" w:type="dxa"/>
            <w:vAlign w:val="bottom"/>
            <w:vMerge w:val="restart"/>
          </w:tcPr>
          <w:p>
            <w:pPr>
              <w:ind w:left="700"/>
              <w:spacing w:after="0"/>
              <w:rPr>
                <w:sz w:val="20"/>
                <w:szCs w:val="20"/>
                <w:color w:val="auto"/>
              </w:rPr>
            </w:pPr>
            <w:r>
              <w:rPr>
                <w:rFonts w:ascii="Arial" w:cs="Arial" w:eastAsia="Arial" w:hAnsi="Arial"/>
                <w:sz w:val="20"/>
                <w:szCs w:val="20"/>
                <w:b w:val="1"/>
                <w:bCs w:val="1"/>
                <w:color w:val="auto"/>
              </w:rPr>
              <w:t>WATER</w:t>
            </w:r>
          </w:p>
        </w:tc>
        <w:tc>
          <w:tcPr>
            <w:tcW w:w="7460" w:type="dxa"/>
            <w:vAlign w:val="bottom"/>
          </w:tcPr>
          <w:p>
            <w:pPr>
              <w:ind w:left="180"/>
              <w:spacing w:after="0"/>
              <w:rPr>
                <w:sz w:val="20"/>
                <w:szCs w:val="20"/>
                <w:color w:val="auto"/>
              </w:rPr>
            </w:pPr>
            <w:r>
              <w:rPr>
                <w:rFonts w:ascii="Arial" w:cs="Arial" w:eastAsia="Arial" w:hAnsi="Arial"/>
                <w:sz w:val="16"/>
                <w:szCs w:val="16"/>
                <w:color w:val="auto"/>
              </w:rPr>
              <w:t>Water is a key component of our oil and gas operations, and we seek to use it responsibly by</w:t>
            </w:r>
          </w:p>
        </w:tc>
        <w:tc>
          <w:tcPr>
            <w:tcW w:w="0" w:type="dxa"/>
            <w:vAlign w:val="bottom"/>
          </w:tcPr>
          <w:p>
            <w:pPr>
              <w:spacing w:after="0"/>
              <w:rPr>
                <w:sz w:val="1"/>
                <w:szCs w:val="1"/>
                <w:color w:val="auto"/>
              </w:rPr>
            </w:pPr>
          </w:p>
        </w:tc>
      </w:tr>
      <w:tr>
        <w:trPr>
          <w:trHeight w:val="156"/>
        </w:trPr>
        <w:tc>
          <w:tcPr>
            <w:tcW w:w="2260" w:type="dxa"/>
            <w:vAlign w:val="bottom"/>
            <w:vMerge w:val="continue"/>
          </w:tcPr>
          <w:p>
            <w:pPr>
              <w:spacing w:after="0"/>
              <w:rPr>
                <w:sz w:val="13"/>
                <w:szCs w:val="13"/>
                <w:color w:val="auto"/>
              </w:rPr>
            </w:pPr>
          </w:p>
        </w:tc>
        <w:tc>
          <w:tcPr>
            <w:tcW w:w="7460" w:type="dxa"/>
            <w:vAlign w:val="bottom"/>
            <w:vMerge w:val="restart"/>
          </w:tcPr>
          <w:p>
            <w:pPr>
              <w:ind w:left="180"/>
              <w:spacing w:after="0"/>
              <w:rPr>
                <w:sz w:val="20"/>
                <w:szCs w:val="20"/>
                <w:color w:val="auto"/>
              </w:rPr>
            </w:pPr>
            <w:r>
              <w:rPr>
                <w:rFonts w:ascii="Arial" w:cs="Arial" w:eastAsia="Arial" w:hAnsi="Arial"/>
                <w:sz w:val="16"/>
                <w:szCs w:val="16"/>
                <w:color w:val="auto"/>
              </w:rPr>
              <w:t>recognizing and balancing environmental, social, and operational water needs</w:t>
            </w:r>
          </w:p>
        </w:tc>
        <w:tc>
          <w:tcPr>
            <w:tcW w:w="0" w:type="dxa"/>
            <w:vAlign w:val="bottom"/>
          </w:tcPr>
          <w:p>
            <w:pPr>
              <w:spacing w:after="0"/>
              <w:rPr>
                <w:sz w:val="1"/>
                <w:szCs w:val="1"/>
                <w:color w:val="auto"/>
              </w:rPr>
            </w:pPr>
          </w:p>
        </w:tc>
      </w:tr>
      <w:tr>
        <w:trPr>
          <w:trHeight w:val="59"/>
        </w:trPr>
        <w:tc>
          <w:tcPr>
            <w:tcW w:w="2260" w:type="dxa"/>
            <w:vAlign w:val="bottom"/>
          </w:tcPr>
          <w:p>
            <w:pPr>
              <w:spacing w:after="0"/>
              <w:rPr>
                <w:sz w:val="5"/>
                <w:szCs w:val="5"/>
                <w:color w:val="auto"/>
              </w:rPr>
            </w:pPr>
          </w:p>
        </w:tc>
        <w:tc>
          <w:tcPr>
            <w:tcW w:w="7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260" w:type="dxa"/>
            <w:vAlign w:val="bottom"/>
            <w:tcBorders>
              <w:bottom w:val="single" w:sz="8" w:color="auto"/>
            </w:tcBorders>
          </w:tcPr>
          <w:p>
            <w:pPr>
              <w:spacing w:after="0"/>
              <w:rPr>
                <w:sz w:val="3"/>
                <w:szCs w:val="3"/>
                <w:color w:val="auto"/>
              </w:rPr>
            </w:pPr>
          </w:p>
        </w:tc>
        <w:tc>
          <w:tcPr>
            <w:tcW w:w="7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260" w:type="dxa"/>
            <w:vAlign w:val="bottom"/>
          </w:tcPr>
          <w:p>
            <w:pPr>
              <w:ind w:left="700"/>
              <w:spacing w:after="0"/>
              <w:rPr>
                <w:sz w:val="20"/>
                <w:szCs w:val="20"/>
                <w:color w:val="auto"/>
              </w:rPr>
            </w:pPr>
            <w:r>
              <w:rPr>
                <w:rFonts w:ascii="Arial" w:cs="Arial" w:eastAsia="Arial" w:hAnsi="Arial"/>
                <w:sz w:val="20"/>
                <w:szCs w:val="20"/>
                <w:b w:val="1"/>
                <w:bCs w:val="1"/>
                <w:color w:val="auto"/>
              </w:rPr>
              <w:t>COMMUNITIES</w:t>
            </w:r>
          </w:p>
        </w:tc>
        <w:tc>
          <w:tcPr>
            <w:tcW w:w="7460" w:type="dxa"/>
            <w:vAlign w:val="bottom"/>
          </w:tcPr>
          <w:p>
            <w:pPr>
              <w:ind w:left="180"/>
              <w:spacing w:after="0"/>
              <w:rPr>
                <w:sz w:val="20"/>
                <w:szCs w:val="20"/>
                <w:color w:val="auto"/>
              </w:rPr>
            </w:pPr>
            <w:r>
              <w:rPr>
                <w:rFonts w:ascii="Arial" w:cs="Arial" w:eastAsia="Arial" w:hAnsi="Arial"/>
                <w:sz w:val="16"/>
                <w:szCs w:val="16"/>
                <w:color w:val="auto"/>
              </w:rPr>
              <w:t>We are a community partner focused on protecting the safety and health of our employees, local</w:t>
            </w:r>
          </w:p>
        </w:tc>
        <w:tc>
          <w:tcPr>
            <w:tcW w:w="0" w:type="dxa"/>
            <w:vAlign w:val="bottom"/>
          </w:tcPr>
          <w:p>
            <w:pPr>
              <w:spacing w:after="0"/>
              <w:rPr>
                <w:sz w:val="1"/>
                <w:szCs w:val="1"/>
                <w:color w:val="auto"/>
              </w:rPr>
            </w:pPr>
          </w:p>
        </w:tc>
      </w:tr>
      <w:tr>
        <w:trPr>
          <w:trHeight w:val="273"/>
        </w:trPr>
        <w:tc>
          <w:tcPr>
            <w:tcW w:w="2260" w:type="dxa"/>
            <w:vAlign w:val="bottom"/>
          </w:tcPr>
          <w:p>
            <w:pPr>
              <w:ind w:left="700"/>
              <w:spacing w:after="0"/>
              <w:rPr>
                <w:sz w:val="20"/>
                <w:szCs w:val="20"/>
                <w:color w:val="auto"/>
              </w:rPr>
            </w:pPr>
            <w:r>
              <w:rPr>
                <w:rFonts w:ascii="Arial" w:cs="Arial" w:eastAsia="Arial" w:hAnsi="Arial"/>
                <w:sz w:val="20"/>
                <w:szCs w:val="20"/>
                <w:b w:val="1"/>
                <w:bCs w:val="1"/>
                <w:color w:val="auto"/>
              </w:rPr>
              <w:t>+ PEOPLE</w:t>
            </w:r>
          </w:p>
        </w:tc>
        <w:tc>
          <w:tcPr>
            <w:tcW w:w="7460" w:type="dxa"/>
            <w:vAlign w:val="bottom"/>
          </w:tcPr>
          <w:p>
            <w:pPr>
              <w:ind w:left="180"/>
              <w:spacing w:after="0"/>
              <w:rPr>
                <w:sz w:val="20"/>
                <w:szCs w:val="20"/>
                <w:color w:val="auto"/>
              </w:rPr>
            </w:pPr>
            <w:r>
              <w:rPr>
                <w:rFonts w:ascii="Arial" w:cs="Arial" w:eastAsia="Arial" w:hAnsi="Arial"/>
                <w:sz w:val="16"/>
                <w:szCs w:val="16"/>
                <w:color w:val="auto"/>
              </w:rPr>
              <w:t>populations, and the environment.</w:t>
            </w:r>
          </w:p>
        </w:tc>
        <w:tc>
          <w:tcPr>
            <w:tcW w:w="0" w:type="dxa"/>
            <w:vAlign w:val="bottom"/>
          </w:tcPr>
          <w:p>
            <w:pPr>
              <w:spacing w:after="0"/>
              <w:rPr>
                <w:sz w:val="1"/>
                <w:szCs w:val="1"/>
                <w:color w:val="auto"/>
              </w:rPr>
            </w:pPr>
          </w:p>
        </w:tc>
      </w:tr>
      <w:tr>
        <w:trPr>
          <w:trHeight w:val="20"/>
        </w:trPr>
        <w:tc>
          <w:tcPr>
            <w:tcW w:w="2260" w:type="dxa"/>
            <w:vAlign w:val="bottom"/>
            <w:tcBorders>
              <w:bottom w:val="single" w:sz="8" w:color="auto"/>
            </w:tcBorders>
          </w:tcPr>
          <w:p>
            <w:pPr>
              <w:spacing w:after="0" w:line="20" w:lineRule="exact"/>
              <w:rPr>
                <w:sz w:val="1"/>
                <w:szCs w:val="1"/>
                <w:color w:val="auto"/>
              </w:rPr>
            </w:pPr>
          </w:p>
        </w:tc>
        <w:tc>
          <w:tcPr>
            <w:tcW w:w="7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-951230</wp:posOffset>
            </wp:positionV>
            <wp:extent cx="222885" cy="2311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2885" cy="23114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-608330</wp:posOffset>
            </wp:positionV>
            <wp:extent cx="17145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0" cy="18859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-290830</wp:posOffset>
            </wp:positionV>
            <wp:extent cx="20574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5740" cy="214630"/>
                    </a:xfrm>
                    <a:prstGeom prst="rect">
                      <a:avLst/>
                    </a:prstGeom>
                    <a:noFill/>
                  </pic:spPr>
                </pic:pic>
              </a:graphicData>
            </a:graphic>
          </wp:anchor>
        </w:drawing>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Communicating with Our Board</w:t>
      </w:r>
    </w:p>
    <w:p>
      <w:pPr>
        <w:spacing w:after="0" w:line="240" w:lineRule="exact"/>
        <w:rPr>
          <w:sz w:val="20"/>
          <w:szCs w:val="20"/>
          <w:color w:val="auto"/>
        </w:rPr>
      </w:pPr>
    </w:p>
    <w:p>
      <w:pPr>
        <w:ind w:left="660" w:right="900"/>
        <w:spacing w:after="0" w:line="266" w:lineRule="auto"/>
        <w:rPr>
          <w:sz w:val="20"/>
          <w:szCs w:val="20"/>
          <w:color w:val="auto"/>
        </w:rPr>
      </w:pPr>
      <w:r>
        <w:rPr>
          <w:rFonts w:ascii="Arial" w:cs="Arial" w:eastAsia="Arial" w:hAnsi="Arial"/>
          <w:sz w:val="16"/>
          <w:szCs w:val="16"/>
          <w:color w:val="auto"/>
        </w:rPr>
        <w:t>Shareholders and other interested parties may communicate with the independent directors of our Board by mailing their communications to APA Corporation, Attn: Corporate Secretary, 2000 W. Sam Houston Pkwy. S., Suite 200, Houston, Texas 77042. The Company’s Corporate Secretary will forward relevant communications to the independent directors.</w:t>
      </w:r>
    </w:p>
    <w:p>
      <w:pPr>
        <w:spacing w:after="0" w:line="63" w:lineRule="exact"/>
        <w:rPr>
          <w:sz w:val="20"/>
          <w:szCs w:val="20"/>
          <w:color w:val="auto"/>
        </w:rPr>
      </w:pPr>
    </w:p>
    <w:p>
      <w:pPr>
        <w:jc w:val="both"/>
        <w:ind w:left="660" w:right="740"/>
        <w:spacing w:after="0" w:line="266" w:lineRule="auto"/>
        <w:rPr>
          <w:sz w:val="20"/>
          <w:szCs w:val="20"/>
          <w:color w:val="auto"/>
        </w:rPr>
      </w:pPr>
      <w:r>
        <w:rPr>
          <w:rFonts w:ascii="Arial" w:cs="Arial" w:eastAsia="Arial" w:hAnsi="Arial"/>
          <w:sz w:val="16"/>
          <w:szCs w:val="16"/>
          <w:color w:val="auto"/>
        </w:rPr>
        <w:t>Please also see our Code of Conduct and the document titled “Procedures for the Submission of Complaints and Concerns Regarding Accounting, Internal Accounting Controls, or Auditing Matters” available on our website to report concerns about accounting or auditing matters and any actual or suspected violations of law or our Code of Conduct.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40" w:type="dxa"/>
            <w:vAlign w:val="bottom"/>
          </w:tcPr>
          <w:p>
            <w:pPr>
              <w:ind w:left="8380"/>
              <w:spacing w:after="0"/>
              <w:rPr>
                <w:sz w:val="20"/>
                <w:szCs w:val="20"/>
                <w:color w:val="auto"/>
              </w:rPr>
            </w:pPr>
            <w:r>
              <w:rPr>
                <w:rFonts w:ascii="Arial" w:cs="Arial" w:eastAsia="Arial" w:hAnsi="Arial"/>
                <w:sz w:val="16"/>
                <w:szCs w:val="16"/>
                <w:color w:val="auto"/>
              </w:rPr>
              <w:t>2026 Proxy Statement</w:t>
            </w:r>
          </w:p>
        </w:tc>
        <w:tc>
          <w:tcPr>
            <w:tcW w:w="900" w:type="dxa"/>
            <w:vAlign w:val="bottom"/>
          </w:tcPr>
          <w:p>
            <w:pPr>
              <w:jc w:val="right"/>
              <w:ind w:right="579"/>
              <w:spacing w:after="0"/>
              <w:rPr>
                <w:sz w:val="20"/>
                <w:szCs w:val="20"/>
                <w:color w:val="auto"/>
              </w:rPr>
            </w:pPr>
            <w:r>
              <w:rPr>
                <w:rFonts w:ascii="Arial" w:cs="Arial" w:eastAsia="Arial" w:hAnsi="Arial"/>
                <w:sz w:val="16"/>
                <w:szCs w:val="16"/>
                <w:b w:val="1"/>
                <w:bCs w:val="1"/>
                <w:color w:val="auto"/>
              </w:rPr>
              <w:t>7</w:t>
            </w:r>
          </w:p>
        </w:tc>
      </w:tr>
      <w:tr>
        <w:trPr>
          <w:trHeight w:val="878"/>
        </w:trPr>
        <w:tc>
          <w:tcPr>
            <w:tcW w:w="10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320" w:right="439" w:bottom="1440" w:gutter="0" w:footer="0" w:header="0"/>
        </w:sectPr>
      </w:pPr>
    </w:p>
    <w:bookmarkStart w:id="12" w:name="page13"/>
    <w:bookmarkEnd w:id="12"/>
    <w:p>
      <w:pPr>
        <w:spacing w:after="0"/>
        <w:rPr>
          <w:sz w:val="20"/>
          <w:szCs w:val="20"/>
          <w:color w:val="auto"/>
        </w:rPr>
      </w:pPr>
      <w:r>
        <w:rPr>
          <w:rFonts w:ascii="Arial" w:cs="Arial" w:eastAsia="Arial" w:hAnsi="Arial"/>
          <w:sz w:val="32"/>
          <w:szCs w:val="32"/>
          <w:b w:val="1"/>
          <w:bCs w:val="1"/>
          <w:color w:val="D9AB28"/>
        </w:rPr>
        <w:t xml:space="preserve">PROPOSAL 1: </w:t>
      </w:r>
      <w:r>
        <w:rPr>
          <w:rFonts w:ascii="Arial" w:cs="Arial" w:eastAsia="Arial" w:hAnsi="Arial"/>
          <w:sz w:val="32"/>
          <w:szCs w:val="32"/>
          <w:b w:val="1"/>
          <w:bCs w:val="1"/>
          <w:color w:val="000000"/>
        </w:rPr>
        <w:t>ELECTION OF DIRECTORS</w:t>
      </w:r>
    </w:p>
    <w:p>
      <w:pPr>
        <w:spacing w:after="0" w:line="13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terms of our current directors expire at the annual meeting. The individuals below were recommended by the CRG&amp;N Committee and nominated by the Board for election by the shareholders to a one-year term. If elected, all nominees will serve beginning upon their election until their respective successors have been duly elected and qualified at the next annual meeting of shareholders, unless earlier due to death, resignation, disqualification, or removal. Unless otherwise instructed, all proxies will be voted in favor of these nominees. If one or more of the nominees is unwilling or unable to serve, the proxies will be voted only for the remaining named nominees. The Board knows of no nominee for director who is unwilling or unable to serve if elected. Proxies cannot be voted for more than ten nominees.</w:t>
      </w: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Summary Information About Our Nominees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863"/>
        </w:trPr>
        <w:tc>
          <w:tcPr>
            <w:tcW w:w="6740" w:type="dxa"/>
            <w:vAlign w:val="bottom"/>
            <w:tcBorders>
              <w:top w:val="single" w:sz="8" w:color="auto"/>
            </w:tcBorders>
            <w:vMerge w:val="restart"/>
            <w:shd w:val="clear" w:color="auto" w:fill="F3F3F4"/>
          </w:tcPr>
          <w:p>
            <w:pPr>
              <w:spacing w:after="0"/>
              <w:rPr>
                <w:sz w:val="20"/>
                <w:szCs w:val="20"/>
                <w:color w:val="auto"/>
              </w:rPr>
            </w:pPr>
            <w:r>
              <w:rPr>
                <w:rFonts w:ascii="Arial" w:cs="Arial" w:eastAsia="Arial" w:hAnsi="Arial"/>
                <w:sz w:val="15"/>
                <w:szCs w:val="15"/>
                <w:b w:val="1"/>
                <w:bCs w:val="1"/>
                <w:color w:val="auto"/>
              </w:rPr>
              <w:t>Skills / Attributes</w:t>
            </w:r>
          </w:p>
        </w:tc>
        <w:tc>
          <w:tcPr>
            <w:tcW w:w="300" w:type="dxa"/>
            <w:vAlign w:val="bottom"/>
            <w:tcBorders>
              <w:top w:val="single" w:sz="8" w:color="auto"/>
            </w:tcBorders>
            <w:gridSpan w:val="2"/>
            <w:textDirection w:val="tbRl"/>
            <w:shd w:val="clear" w:color="auto" w:fill="F3F3F4"/>
          </w:tcPr>
          <w:p>
            <w:pPr>
              <w:jc w:val="right"/>
              <w:ind w:left="128"/>
              <w:spacing w:after="0"/>
              <w:rPr>
                <w:sz w:val="20"/>
                <w:szCs w:val="20"/>
                <w:color w:val="auto"/>
              </w:rPr>
            </w:pPr>
            <w:r>
              <w:rPr>
                <w:rFonts w:ascii="Arial" w:cs="Arial" w:eastAsia="Arial" w:hAnsi="Arial"/>
                <w:sz w:val="15"/>
                <w:szCs w:val="15"/>
                <w:b w:val="1"/>
                <w:bCs w:val="1"/>
                <w:color w:val="auto"/>
              </w:rPr>
              <w:t>Bay</w:t>
            </w:r>
          </w:p>
        </w:tc>
        <w:tc>
          <w:tcPr>
            <w:tcW w:w="320" w:type="dxa"/>
            <w:vAlign w:val="bottom"/>
            <w:tcBorders>
              <w:top w:val="single" w:sz="8" w:color="auto"/>
              <w:right w:val="single" w:sz="8" w:color="F3F3F4"/>
            </w:tcBorders>
            <w:textDirection w:val="tbRl"/>
            <w:shd w:val="clear" w:color="auto" w:fill="F3F3F4"/>
          </w:tcPr>
          <w:p>
            <w:pPr>
              <w:jc w:val="right"/>
              <w:ind w:left="128"/>
              <w:spacing w:after="0"/>
              <w:rPr>
                <w:sz w:val="20"/>
                <w:szCs w:val="20"/>
                <w:color w:val="auto"/>
              </w:rPr>
            </w:pPr>
            <w:r>
              <w:rPr>
                <w:rFonts w:ascii="Arial" w:cs="Arial" w:eastAsia="Arial" w:hAnsi="Arial"/>
                <w:sz w:val="15"/>
                <w:szCs w:val="15"/>
                <w:b w:val="1"/>
                <w:bCs w:val="1"/>
                <w:color w:val="auto"/>
              </w:rPr>
              <w:t>Christmann</w:t>
            </w:r>
          </w:p>
        </w:tc>
        <w:tc>
          <w:tcPr>
            <w:tcW w:w="260" w:type="dxa"/>
            <w:vAlign w:val="bottom"/>
            <w:tcBorders>
              <w:top w:val="single" w:sz="8" w:color="auto"/>
            </w:tcBorders>
            <w:textDirection w:val="tbRl"/>
            <w:shd w:val="clear" w:color="auto" w:fill="F3F3F4"/>
          </w:tcPr>
          <w:p>
            <w:pPr>
              <w:jc w:val="right"/>
              <w:ind w:left="88"/>
              <w:spacing w:after="0"/>
              <w:rPr>
                <w:sz w:val="20"/>
                <w:szCs w:val="20"/>
                <w:color w:val="auto"/>
              </w:rPr>
            </w:pPr>
            <w:r>
              <w:rPr>
                <w:rFonts w:ascii="Arial" w:cs="Arial" w:eastAsia="Arial" w:hAnsi="Arial"/>
                <w:sz w:val="15"/>
                <w:szCs w:val="15"/>
                <w:b w:val="1"/>
                <w:bCs w:val="1"/>
                <w:color w:val="auto"/>
                <w:w w:val="97"/>
              </w:rPr>
              <w:t>Ellis</w:t>
            </w:r>
          </w:p>
        </w:tc>
        <w:tc>
          <w:tcPr>
            <w:tcW w:w="340" w:type="dxa"/>
            <w:vAlign w:val="bottom"/>
            <w:tcBorders>
              <w:top w:val="single" w:sz="8" w:color="auto"/>
              <w:right w:val="single" w:sz="8" w:color="F3F3F4"/>
            </w:tcBorders>
            <w:textDirection w:val="tbRl"/>
            <w:shd w:val="clear" w:color="auto" w:fill="F3F3F4"/>
          </w:tcPr>
          <w:p>
            <w:pPr>
              <w:jc w:val="right"/>
              <w:ind w:left="142"/>
              <w:spacing w:after="0"/>
              <w:rPr>
                <w:sz w:val="20"/>
                <w:szCs w:val="20"/>
                <w:color w:val="auto"/>
              </w:rPr>
            </w:pPr>
            <w:r>
              <w:rPr>
                <w:rFonts w:ascii="Arial" w:cs="Arial" w:eastAsia="Arial" w:hAnsi="Arial"/>
                <w:sz w:val="15"/>
                <w:szCs w:val="15"/>
                <w:b w:val="1"/>
                <w:bCs w:val="1"/>
                <w:color w:val="auto"/>
              </w:rPr>
              <w:t>Fisher</w:t>
            </w:r>
          </w:p>
        </w:tc>
        <w:tc>
          <w:tcPr>
            <w:tcW w:w="300" w:type="dxa"/>
            <w:vAlign w:val="bottom"/>
            <w:tcBorders>
              <w:top w:val="single" w:sz="8" w:color="auto"/>
            </w:tcBorders>
            <w:gridSpan w:val="2"/>
            <w:textDirection w:val="tbRl"/>
            <w:shd w:val="clear" w:color="auto" w:fill="F3F3F4"/>
          </w:tcPr>
          <w:p>
            <w:pPr>
              <w:jc w:val="right"/>
              <w:ind w:left="99"/>
              <w:spacing w:after="0"/>
              <w:rPr>
                <w:sz w:val="20"/>
                <w:szCs w:val="20"/>
                <w:color w:val="auto"/>
              </w:rPr>
            </w:pPr>
            <w:r>
              <w:rPr>
                <w:rFonts w:ascii="Arial" w:cs="Arial" w:eastAsia="Arial" w:hAnsi="Arial"/>
                <w:sz w:val="15"/>
                <w:szCs w:val="15"/>
                <w:b w:val="1"/>
                <w:bCs w:val="1"/>
                <w:color w:val="auto"/>
                <w:w w:val="98"/>
              </w:rPr>
              <w:t>Hooper</w:t>
            </w:r>
          </w:p>
        </w:tc>
        <w:tc>
          <w:tcPr>
            <w:tcW w:w="280" w:type="dxa"/>
            <w:vAlign w:val="bottom"/>
            <w:tcBorders>
              <w:top w:val="single" w:sz="8" w:color="auto"/>
              <w:right w:val="single" w:sz="8" w:color="F3F3F4"/>
            </w:tcBorders>
            <w:textDirection w:val="tbRl"/>
            <w:shd w:val="clear" w:color="auto" w:fill="F3F3F4"/>
          </w:tcPr>
          <w:p>
            <w:pPr>
              <w:jc w:val="right"/>
              <w:ind w:left="96"/>
              <w:spacing w:after="0"/>
              <w:rPr>
                <w:sz w:val="20"/>
                <w:szCs w:val="20"/>
                <w:color w:val="auto"/>
              </w:rPr>
            </w:pPr>
            <w:r>
              <w:rPr>
                <w:rFonts w:ascii="Arial" w:cs="Arial" w:eastAsia="Arial" w:hAnsi="Arial"/>
                <w:sz w:val="15"/>
                <w:szCs w:val="15"/>
                <w:b w:val="1"/>
                <w:bCs w:val="1"/>
                <w:color w:val="auto"/>
                <w:w w:val="97"/>
              </w:rPr>
              <w:t>Joung</w:t>
            </w:r>
          </w:p>
        </w:tc>
        <w:tc>
          <w:tcPr>
            <w:tcW w:w="280" w:type="dxa"/>
            <w:vAlign w:val="bottom"/>
            <w:tcBorders>
              <w:top w:val="single" w:sz="8" w:color="auto"/>
            </w:tcBorders>
            <w:gridSpan w:val="2"/>
            <w:textDirection w:val="tbRl"/>
            <w:shd w:val="clear" w:color="auto" w:fill="F3F3F4"/>
          </w:tcPr>
          <w:p>
            <w:pPr>
              <w:jc w:val="right"/>
              <w:ind w:left="108"/>
              <w:spacing w:after="0"/>
              <w:rPr>
                <w:sz w:val="20"/>
                <w:szCs w:val="20"/>
                <w:color w:val="auto"/>
              </w:rPr>
            </w:pPr>
            <w:r>
              <w:rPr>
                <w:rFonts w:ascii="Arial" w:cs="Arial" w:eastAsia="Arial" w:hAnsi="Arial"/>
                <w:sz w:val="15"/>
                <w:szCs w:val="15"/>
                <w:b w:val="1"/>
                <w:bCs w:val="1"/>
                <w:color w:val="auto"/>
                <w:w w:val="99"/>
              </w:rPr>
              <w:t>McKay</w:t>
            </w:r>
          </w:p>
        </w:tc>
        <w:tc>
          <w:tcPr>
            <w:tcW w:w="320" w:type="dxa"/>
            <w:vAlign w:val="bottom"/>
            <w:tcBorders>
              <w:top w:val="single" w:sz="8" w:color="auto"/>
              <w:right w:val="single" w:sz="8" w:color="F3F3F4"/>
            </w:tcBorders>
            <w:textDirection w:val="tbRl"/>
            <w:shd w:val="clear" w:color="auto" w:fill="F3F3F4"/>
          </w:tcPr>
          <w:p>
            <w:pPr>
              <w:jc w:val="right"/>
              <w:ind w:left="130"/>
              <w:spacing w:after="0"/>
              <w:rPr>
                <w:sz w:val="20"/>
                <w:szCs w:val="20"/>
                <w:color w:val="auto"/>
              </w:rPr>
            </w:pPr>
            <w:r>
              <w:rPr>
                <w:rFonts w:ascii="Arial" w:cs="Arial" w:eastAsia="Arial" w:hAnsi="Arial"/>
                <w:sz w:val="15"/>
                <w:szCs w:val="15"/>
                <w:b w:val="1"/>
                <w:bCs w:val="1"/>
                <w:color w:val="auto"/>
                <w:w w:val="99"/>
              </w:rPr>
              <w:t>Ragauss</w:t>
            </w:r>
          </w:p>
        </w:tc>
        <w:tc>
          <w:tcPr>
            <w:tcW w:w="300" w:type="dxa"/>
            <w:vAlign w:val="bottom"/>
            <w:tcBorders>
              <w:top w:val="single" w:sz="8" w:color="auto"/>
            </w:tcBorders>
            <w:gridSpan w:val="2"/>
            <w:textDirection w:val="tbRl"/>
            <w:shd w:val="clear" w:color="auto" w:fill="F3F3F4"/>
          </w:tcPr>
          <w:p>
            <w:pPr>
              <w:jc w:val="right"/>
              <w:ind w:left="107"/>
              <w:spacing w:after="0"/>
              <w:rPr>
                <w:sz w:val="20"/>
                <w:szCs w:val="20"/>
                <w:color w:val="auto"/>
              </w:rPr>
            </w:pPr>
            <w:r>
              <w:rPr>
                <w:rFonts w:ascii="Arial" w:cs="Arial" w:eastAsia="Arial" w:hAnsi="Arial"/>
                <w:sz w:val="15"/>
                <w:szCs w:val="15"/>
                <w:b w:val="1"/>
                <w:bCs w:val="1"/>
                <w:color w:val="auto"/>
                <w:w w:val="98"/>
              </w:rPr>
              <w:t>Stover</w:t>
            </w:r>
          </w:p>
        </w:tc>
        <w:tc>
          <w:tcPr>
            <w:tcW w:w="280" w:type="dxa"/>
            <w:vAlign w:val="bottom"/>
            <w:tcBorders>
              <w:top w:val="single" w:sz="8" w:color="auto"/>
            </w:tcBorders>
            <w:textDirection w:val="tbRl"/>
            <w:shd w:val="clear" w:color="auto" w:fill="F3F3F4"/>
          </w:tcPr>
          <w:p>
            <w:pPr>
              <w:jc w:val="right"/>
              <w:ind w:left="108"/>
              <w:spacing w:after="0"/>
              <w:rPr>
                <w:sz w:val="20"/>
                <w:szCs w:val="20"/>
                <w:color w:val="auto"/>
              </w:rPr>
            </w:pPr>
            <w:r>
              <w:rPr>
                <w:rFonts w:ascii="Arial" w:cs="Arial" w:eastAsia="Arial" w:hAnsi="Arial"/>
                <w:sz w:val="15"/>
                <w:szCs w:val="15"/>
                <w:b w:val="1"/>
                <w:bCs w:val="1"/>
                <w:color w:val="auto"/>
              </w:rPr>
              <w:t>Weaving</w:t>
            </w:r>
          </w:p>
        </w:tc>
        <w:tc>
          <w:tcPr>
            <w:tcW w:w="0" w:type="dxa"/>
            <w:vAlign w:val="bottom"/>
          </w:tcPr>
          <w:p>
            <w:pPr>
              <w:spacing w:after="0"/>
              <w:rPr>
                <w:sz w:val="1"/>
                <w:szCs w:val="1"/>
                <w:color w:val="auto"/>
              </w:rPr>
            </w:pPr>
          </w:p>
        </w:tc>
      </w:tr>
      <w:tr>
        <w:trPr>
          <w:trHeight w:val="130"/>
        </w:trPr>
        <w:tc>
          <w:tcPr>
            <w:tcW w:w="6740" w:type="dxa"/>
            <w:vAlign w:val="bottom"/>
            <w:tcBorders>
              <w:bottom w:val="single" w:sz="8" w:color="auto"/>
            </w:tcBorders>
            <w:vMerge w:val="continue"/>
            <w:shd w:val="clear" w:color="auto" w:fill="F3F3F4"/>
          </w:tcPr>
          <w:p>
            <w:pPr>
              <w:spacing w:after="0"/>
              <w:rPr>
                <w:sz w:val="11"/>
                <w:szCs w:val="11"/>
                <w:color w:val="auto"/>
              </w:rPr>
            </w:pPr>
          </w:p>
        </w:tc>
        <w:tc>
          <w:tcPr>
            <w:tcW w:w="280" w:type="dxa"/>
            <w:vAlign w:val="bottom"/>
            <w:tcBorders>
              <w:bottom w:val="single" w:sz="8" w:color="auto"/>
            </w:tcBorders>
            <w:shd w:val="clear" w:color="auto" w:fill="F3F3F4"/>
          </w:tcPr>
          <w:p>
            <w:pPr>
              <w:spacing w:after="0"/>
              <w:rPr>
                <w:sz w:val="11"/>
                <w:szCs w:val="11"/>
                <w:color w:val="auto"/>
              </w:rPr>
            </w:pPr>
          </w:p>
        </w:tc>
        <w:tc>
          <w:tcPr>
            <w:tcW w:w="20" w:type="dxa"/>
            <w:vAlign w:val="bottom"/>
            <w:tcBorders>
              <w:bottom w:val="single" w:sz="8" w:color="auto"/>
            </w:tcBorders>
            <w:shd w:val="clear" w:color="auto" w:fill="F3F3F4"/>
          </w:tcPr>
          <w:p>
            <w:pPr>
              <w:spacing w:after="0"/>
              <w:rPr>
                <w:sz w:val="11"/>
                <w:szCs w:val="11"/>
                <w:color w:val="auto"/>
              </w:rPr>
            </w:pPr>
          </w:p>
        </w:tc>
        <w:tc>
          <w:tcPr>
            <w:tcW w:w="320" w:type="dxa"/>
            <w:vAlign w:val="bottom"/>
            <w:tcBorders>
              <w:bottom w:val="single" w:sz="8" w:color="auto"/>
              <w:right w:val="single" w:sz="8" w:color="F3F3F4"/>
            </w:tcBorders>
            <w:shd w:val="clear" w:color="auto" w:fill="F3F3F4"/>
          </w:tcPr>
          <w:p>
            <w:pPr>
              <w:spacing w:after="0"/>
              <w:rPr>
                <w:sz w:val="11"/>
                <w:szCs w:val="11"/>
                <w:color w:val="auto"/>
              </w:rPr>
            </w:pPr>
          </w:p>
        </w:tc>
        <w:tc>
          <w:tcPr>
            <w:tcW w:w="260" w:type="dxa"/>
            <w:vAlign w:val="bottom"/>
            <w:tcBorders>
              <w:bottom w:val="single" w:sz="8" w:color="auto"/>
            </w:tcBorders>
            <w:shd w:val="clear" w:color="auto" w:fill="F3F3F4"/>
          </w:tcPr>
          <w:p>
            <w:pPr>
              <w:spacing w:after="0"/>
              <w:rPr>
                <w:sz w:val="11"/>
                <w:szCs w:val="11"/>
                <w:color w:val="auto"/>
              </w:rPr>
            </w:pPr>
          </w:p>
        </w:tc>
        <w:tc>
          <w:tcPr>
            <w:tcW w:w="340" w:type="dxa"/>
            <w:vAlign w:val="bottom"/>
            <w:tcBorders>
              <w:bottom w:val="single" w:sz="8" w:color="auto"/>
              <w:right w:val="single" w:sz="8" w:color="F3F3F4"/>
            </w:tcBorders>
            <w:shd w:val="clear" w:color="auto" w:fill="F3F3F4"/>
          </w:tcPr>
          <w:p>
            <w:pPr>
              <w:spacing w:after="0"/>
              <w:rPr>
                <w:sz w:val="11"/>
                <w:szCs w:val="11"/>
                <w:color w:val="auto"/>
              </w:rPr>
            </w:pPr>
          </w:p>
        </w:tc>
        <w:tc>
          <w:tcPr>
            <w:tcW w:w="260" w:type="dxa"/>
            <w:vAlign w:val="bottom"/>
            <w:tcBorders>
              <w:bottom w:val="single" w:sz="8" w:color="auto"/>
            </w:tcBorders>
            <w:shd w:val="clear" w:color="auto" w:fill="F3F3F4"/>
          </w:tcPr>
          <w:p>
            <w:pPr>
              <w:spacing w:after="0"/>
              <w:rPr>
                <w:sz w:val="11"/>
                <w:szCs w:val="11"/>
                <w:color w:val="auto"/>
              </w:rPr>
            </w:pPr>
          </w:p>
        </w:tc>
        <w:tc>
          <w:tcPr>
            <w:tcW w:w="40" w:type="dxa"/>
            <w:vAlign w:val="bottom"/>
            <w:tcBorders>
              <w:bottom w:val="single" w:sz="8" w:color="auto"/>
            </w:tcBorders>
            <w:shd w:val="clear" w:color="auto" w:fill="F3F3F4"/>
          </w:tcPr>
          <w:p>
            <w:pPr>
              <w:spacing w:after="0"/>
              <w:rPr>
                <w:sz w:val="11"/>
                <w:szCs w:val="11"/>
                <w:color w:val="auto"/>
              </w:rPr>
            </w:pPr>
          </w:p>
        </w:tc>
        <w:tc>
          <w:tcPr>
            <w:tcW w:w="280" w:type="dxa"/>
            <w:vAlign w:val="bottom"/>
            <w:tcBorders>
              <w:bottom w:val="single" w:sz="8" w:color="auto"/>
              <w:right w:val="single" w:sz="8" w:color="F3F3F4"/>
            </w:tcBorders>
            <w:shd w:val="clear" w:color="auto" w:fill="F3F3F4"/>
          </w:tcPr>
          <w:p>
            <w:pPr>
              <w:spacing w:after="0"/>
              <w:rPr>
                <w:sz w:val="11"/>
                <w:szCs w:val="11"/>
                <w:color w:val="auto"/>
              </w:rPr>
            </w:pPr>
          </w:p>
        </w:tc>
        <w:tc>
          <w:tcPr>
            <w:tcW w:w="260" w:type="dxa"/>
            <w:vAlign w:val="bottom"/>
            <w:tcBorders>
              <w:bottom w:val="single" w:sz="8" w:color="auto"/>
            </w:tcBorders>
            <w:shd w:val="clear" w:color="auto" w:fill="F3F3F4"/>
          </w:tcPr>
          <w:p>
            <w:pPr>
              <w:spacing w:after="0"/>
              <w:rPr>
                <w:sz w:val="11"/>
                <w:szCs w:val="11"/>
                <w:color w:val="auto"/>
              </w:rPr>
            </w:pPr>
          </w:p>
        </w:tc>
        <w:tc>
          <w:tcPr>
            <w:tcW w:w="20" w:type="dxa"/>
            <w:vAlign w:val="bottom"/>
            <w:tcBorders>
              <w:bottom w:val="single" w:sz="8" w:color="auto"/>
            </w:tcBorders>
            <w:shd w:val="clear" w:color="auto" w:fill="F3F3F4"/>
          </w:tcPr>
          <w:p>
            <w:pPr>
              <w:spacing w:after="0"/>
              <w:rPr>
                <w:sz w:val="11"/>
                <w:szCs w:val="11"/>
                <w:color w:val="auto"/>
              </w:rPr>
            </w:pPr>
          </w:p>
        </w:tc>
        <w:tc>
          <w:tcPr>
            <w:tcW w:w="320" w:type="dxa"/>
            <w:vAlign w:val="bottom"/>
            <w:tcBorders>
              <w:bottom w:val="single" w:sz="8" w:color="auto"/>
              <w:right w:val="single" w:sz="8" w:color="F3F3F4"/>
            </w:tcBorders>
            <w:shd w:val="clear" w:color="auto" w:fill="F3F3F4"/>
          </w:tcPr>
          <w:p>
            <w:pPr>
              <w:spacing w:after="0"/>
              <w:rPr>
                <w:sz w:val="11"/>
                <w:szCs w:val="11"/>
                <w:color w:val="auto"/>
              </w:rPr>
            </w:pPr>
          </w:p>
        </w:tc>
        <w:tc>
          <w:tcPr>
            <w:tcW w:w="260" w:type="dxa"/>
            <w:vAlign w:val="bottom"/>
            <w:tcBorders>
              <w:bottom w:val="single" w:sz="8" w:color="auto"/>
            </w:tcBorders>
            <w:shd w:val="clear" w:color="auto" w:fill="F3F3F4"/>
          </w:tcPr>
          <w:p>
            <w:pPr>
              <w:spacing w:after="0"/>
              <w:rPr>
                <w:sz w:val="11"/>
                <w:szCs w:val="11"/>
                <w:color w:val="auto"/>
              </w:rPr>
            </w:pPr>
          </w:p>
        </w:tc>
        <w:tc>
          <w:tcPr>
            <w:tcW w:w="40" w:type="dxa"/>
            <w:vAlign w:val="bottom"/>
            <w:tcBorders>
              <w:bottom w:val="single" w:sz="8" w:color="auto"/>
            </w:tcBorders>
            <w:shd w:val="clear" w:color="auto" w:fill="F3F3F4"/>
          </w:tcPr>
          <w:p>
            <w:pPr>
              <w:spacing w:after="0"/>
              <w:rPr>
                <w:sz w:val="11"/>
                <w:szCs w:val="11"/>
                <w:color w:val="auto"/>
              </w:rPr>
            </w:pPr>
          </w:p>
        </w:tc>
        <w:tc>
          <w:tcPr>
            <w:tcW w:w="280" w:type="dxa"/>
            <w:vAlign w:val="bottom"/>
            <w:tcBorders>
              <w:bottom w:val="single" w:sz="8" w:color="auto"/>
            </w:tcBorders>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6740" w:type="dxa"/>
            <w:vAlign w:val="bottom"/>
          </w:tcPr>
          <w:p>
            <w:pPr>
              <w:spacing w:after="0"/>
              <w:rPr>
                <w:sz w:val="20"/>
                <w:szCs w:val="20"/>
                <w:color w:val="auto"/>
              </w:rPr>
            </w:pPr>
            <w:r>
              <w:rPr>
                <w:rFonts w:ascii="Arial" w:cs="Arial" w:eastAsia="Arial" w:hAnsi="Arial"/>
                <w:sz w:val="15"/>
                <w:szCs w:val="15"/>
                <w:b w:val="1"/>
                <w:bCs w:val="1"/>
                <w:color w:val="auto"/>
              </w:rPr>
              <w:t>Independent</w:t>
            </w:r>
          </w:p>
        </w:tc>
        <w:tc>
          <w:tcPr>
            <w:tcW w:w="280" w:type="dxa"/>
            <w:vAlign w:val="bottom"/>
            <w:tcBorders>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320" w:type="dxa"/>
            <w:vAlign w:val="bottom"/>
            <w:tcBorders>
              <w:right w:val="single" w:sz="8" w:color="F3F3F4"/>
            </w:tcBorders>
          </w:tcPr>
          <w:p>
            <w:pPr>
              <w:spacing w:after="0"/>
              <w:rPr>
                <w:sz w:val="24"/>
                <w:szCs w:val="24"/>
                <w:color w:val="auto"/>
              </w:rPr>
            </w:pPr>
          </w:p>
        </w:tc>
        <w:tc>
          <w:tcPr>
            <w:tcW w:w="260" w:type="dxa"/>
            <w:vAlign w:val="bottom"/>
            <w:tcBorders>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340" w:type="dxa"/>
            <w:vAlign w:val="bottom"/>
            <w:tcBorders>
              <w:right w:val="single" w:sz="8" w:color="F3F3F4"/>
            </w:tcBorders>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4"/>
                <w:szCs w:val="24"/>
                <w:color w:val="auto"/>
              </w:rPr>
            </w:pPr>
          </w:p>
        </w:tc>
        <w:tc>
          <w:tcPr>
            <w:tcW w:w="280" w:type="dxa"/>
            <w:vAlign w:val="bottom"/>
            <w:tcBorders>
              <w:right w:val="single" w:sz="8" w:color="F3F3F4"/>
            </w:tcBorders>
          </w:tcPr>
          <w:p>
            <w:pPr>
              <w:jc w:val="center"/>
              <w:ind w:right="16"/>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320" w:type="dxa"/>
            <w:vAlign w:val="bottom"/>
            <w:tcBorders>
              <w:right w:val="single" w:sz="8" w:color="F3F3F4"/>
            </w:tcBorders>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4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4"/>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Years on Board</w:t>
            </w:r>
          </w:p>
        </w:tc>
        <w:tc>
          <w:tcPr>
            <w:tcW w:w="28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w w:val="96"/>
              </w:rPr>
              <w:t>12</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F3F3F4"/>
            </w:tcBorders>
          </w:tcPr>
          <w:p>
            <w:pPr>
              <w:jc w:val="center"/>
              <w:spacing w:after="0"/>
              <w:rPr>
                <w:sz w:val="20"/>
                <w:szCs w:val="20"/>
                <w:color w:val="auto"/>
              </w:rPr>
            </w:pPr>
            <w:r>
              <w:rPr>
                <w:rFonts w:ascii="Arial" w:cs="Arial" w:eastAsia="Arial" w:hAnsi="Arial"/>
                <w:sz w:val="13"/>
                <w:szCs w:val="13"/>
                <w:color w:val="auto"/>
                <w:w w:val="96"/>
              </w:rPr>
              <w:t>11</w:t>
            </w: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w w:val="82"/>
              </w:rPr>
              <w:t>7</w:t>
            </w:r>
          </w:p>
        </w:tc>
        <w:tc>
          <w:tcPr>
            <w:tcW w:w="340" w:type="dxa"/>
            <w:vAlign w:val="bottom"/>
            <w:tcBorders>
              <w:top w:val="single" w:sz="8" w:color="auto"/>
              <w:right w:val="single" w:sz="8" w:color="F3F3F4"/>
            </w:tcBorders>
          </w:tcPr>
          <w:p>
            <w:pPr>
              <w:jc w:val="center"/>
              <w:spacing w:after="0"/>
              <w:rPr>
                <w:sz w:val="20"/>
                <w:szCs w:val="20"/>
                <w:color w:val="auto"/>
              </w:rPr>
            </w:pPr>
            <w:r>
              <w:rPr>
                <w:rFonts w:ascii="Arial" w:cs="Arial" w:eastAsia="Arial" w:hAnsi="Arial"/>
                <w:sz w:val="13"/>
                <w:szCs w:val="13"/>
                <w:color w:val="auto"/>
                <w:w w:val="82"/>
              </w:rPr>
              <w:t>2</w:t>
            </w: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rPr>
              <w:t>4</w:t>
            </w: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F3F3F4"/>
            </w:tcBorders>
          </w:tcPr>
          <w:p>
            <w:pPr>
              <w:jc w:val="center"/>
              <w:spacing w:after="0"/>
              <w:rPr>
                <w:sz w:val="20"/>
                <w:szCs w:val="20"/>
                <w:color w:val="auto"/>
              </w:rPr>
            </w:pPr>
            <w:r>
              <w:rPr>
                <w:rFonts w:ascii="Arial" w:cs="Arial" w:eastAsia="Arial" w:hAnsi="Arial"/>
                <w:sz w:val="13"/>
                <w:szCs w:val="13"/>
                <w:color w:val="auto"/>
                <w:w w:val="96"/>
              </w:rPr>
              <w:t>15</w:t>
            </w: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rPr>
              <w:t>5</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F3F3F4"/>
            </w:tcBorders>
          </w:tcPr>
          <w:p>
            <w:pPr>
              <w:jc w:val="center"/>
              <w:spacing w:after="0"/>
              <w:rPr>
                <w:sz w:val="20"/>
                <w:szCs w:val="20"/>
                <w:color w:val="auto"/>
              </w:rPr>
            </w:pPr>
            <w:r>
              <w:rPr>
                <w:rFonts w:ascii="Arial" w:cs="Arial" w:eastAsia="Arial" w:hAnsi="Arial"/>
                <w:sz w:val="13"/>
                <w:szCs w:val="13"/>
                <w:color w:val="auto"/>
                <w:w w:val="96"/>
              </w:rPr>
              <w:t>11</w:t>
            </w: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w w:val="82"/>
              </w:rPr>
              <w:t>4</w:t>
            </w: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304"/>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Age</w:t>
            </w:r>
          </w:p>
        </w:tc>
        <w:tc>
          <w:tcPr>
            <w:tcW w:w="28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w w:val="96"/>
              </w:rPr>
              <w:t>70</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F3F3F4"/>
            </w:tcBorders>
          </w:tcPr>
          <w:p>
            <w:pPr>
              <w:jc w:val="center"/>
              <w:spacing w:after="0"/>
              <w:rPr>
                <w:sz w:val="20"/>
                <w:szCs w:val="20"/>
                <w:color w:val="auto"/>
              </w:rPr>
            </w:pPr>
            <w:r>
              <w:rPr>
                <w:rFonts w:ascii="Arial" w:cs="Arial" w:eastAsia="Arial" w:hAnsi="Arial"/>
                <w:sz w:val="13"/>
                <w:szCs w:val="13"/>
                <w:color w:val="auto"/>
                <w:w w:val="96"/>
              </w:rPr>
              <w:t>59</w:t>
            </w: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w w:val="96"/>
              </w:rPr>
              <w:t>67</w:t>
            </w:r>
          </w:p>
        </w:tc>
        <w:tc>
          <w:tcPr>
            <w:tcW w:w="340" w:type="dxa"/>
            <w:vAlign w:val="bottom"/>
            <w:tcBorders>
              <w:top w:val="single" w:sz="8" w:color="auto"/>
              <w:right w:val="single" w:sz="8" w:color="F3F3F4"/>
            </w:tcBorders>
          </w:tcPr>
          <w:p>
            <w:pPr>
              <w:jc w:val="center"/>
              <w:spacing w:after="0"/>
              <w:rPr>
                <w:sz w:val="20"/>
                <w:szCs w:val="20"/>
                <w:color w:val="auto"/>
              </w:rPr>
            </w:pPr>
            <w:r>
              <w:rPr>
                <w:rFonts w:ascii="Arial" w:cs="Arial" w:eastAsia="Arial" w:hAnsi="Arial"/>
                <w:sz w:val="13"/>
                <w:szCs w:val="13"/>
                <w:color w:val="auto"/>
                <w:w w:val="96"/>
              </w:rPr>
              <w:t>64</w:t>
            </w: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w w:val="96"/>
              </w:rPr>
              <w:t>68</w:t>
            </w: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F3F3F4"/>
            </w:tcBorders>
          </w:tcPr>
          <w:p>
            <w:pPr>
              <w:jc w:val="center"/>
              <w:spacing w:after="0"/>
              <w:rPr>
                <w:sz w:val="20"/>
                <w:szCs w:val="20"/>
                <w:color w:val="auto"/>
              </w:rPr>
            </w:pPr>
            <w:r>
              <w:rPr>
                <w:rFonts w:ascii="Arial" w:cs="Arial" w:eastAsia="Arial" w:hAnsi="Arial"/>
                <w:sz w:val="13"/>
                <w:szCs w:val="13"/>
                <w:color w:val="auto"/>
                <w:w w:val="96"/>
              </w:rPr>
              <w:t>65</w:t>
            </w: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w w:val="96"/>
              </w:rPr>
              <w:t>67</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F3F3F4"/>
            </w:tcBorders>
          </w:tcPr>
          <w:p>
            <w:pPr>
              <w:jc w:val="center"/>
              <w:spacing w:after="0"/>
              <w:rPr>
                <w:sz w:val="20"/>
                <w:szCs w:val="20"/>
                <w:color w:val="auto"/>
              </w:rPr>
            </w:pPr>
            <w:r>
              <w:rPr>
                <w:rFonts w:ascii="Arial" w:cs="Arial" w:eastAsia="Arial" w:hAnsi="Arial"/>
                <w:sz w:val="13"/>
                <w:szCs w:val="13"/>
                <w:color w:val="auto"/>
                <w:w w:val="96"/>
              </w:rPr>
              <w:t>68</w:t>
            </w: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w w:val="96"/>
              </w:rPr>
              <w:t>68</w:t>
            </w: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49</w:t>
            </w:r>
          </w:p>
        </w:tc>
        <w:tc>
          <w:tcPr>
            <w:tcW w:w="0" w:type="dxa"/>
            <w:vAlign w:val="bottom"/>
          </w:tcPr>
          <w:p>
            <w:pPr>
              <w:spacing w:after="0"/>
              <w:rPr>
                <w:sz w:val="1"/>
                <w:szCs w:val="1"/>
                <w:color w:val="auto"/>
              </w:rPr>
            </w:pPr>
          </w:p>
        </w:tc>
      </w:tr>
      <w:tr>
        <w:trPr>
          <w:trHeight w:val="304"/>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Gender</w:t>
            </w:r>
          </w:p>
        </w:tc>
        <w:tc>
          <w:tcPr>
            <w:tcW w:w="280" w:type="dxa"/>
            <w:vAlign w:val="bottom"/>
            <w:tcBorders>
              <w:top w:val="single" w:sz="8" w:color="auto"/>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F</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F3F3F4"/>
            </w:tcBorders>
          </w:tcPr>
          <w:p>
            <w:pPr>
              <w:ind w:left="80"/>
              <w:spacing w:after="0"/>
              <w:rPr>
                <w:sz w:val="20"/>
                <w:szCs w:val="20"/>
                <w:color w:val="auto"/>
              </w:rPr>
            </w:pPr>
            <w:r>
              <w:rPr>
                <w:rFonts w:ascii="Arial" w:cs="Arial" w:eastAsia="Arial" w:hAnsi="Arial"/>
                <w:sz w:val="13"/>
                <w:szCs w:val="13"/>
                <w:color w:val="auto"/>
              </w:rPr>
              <w:t>M</w:t>
            </w:r>
          </w:p>
        </w:tc>
        <w:tc>
          <w:tcPr>
            <w:tcW w:w="260" w:type="dxa"/>
            <w:vAlign w:val="bottom"/>
            <w:tcBorders>
              <w:top w:val="single" w:sz="8" w:color="auto"/>
              <w:bottom w:val="single" w:sz="8" w:color="F3F3F4"/>
            </w:tcBorders>
            <w:shd w:val="clear" w:color="auto" w:fill="F3F3F4"/>
          </w:tcPr>
          <w:p>
            <w:pPr>
              <w:ind w:left="80"/>
              <w:spacing w:after="0"/>
              <w:rPr>
                <w:sz w:val="20"/>
                <w:szCs w:val="20"/>
                <w:color w:val="auto"/>
              </w:rPr>
            </w:pPr>
            <w:r>
              <w:rPr>
                <w:rFonts w:ascii="Arial" w:cs="Arial" w:eastAsia="Arial" w:hAnsi="Arial"/>
                <w:sz w:val="13"/>
                <w:szCs w:val="13"/>
                <w:color w:val="auto"/>
              </w:rPr>
              <w:t>F</w:t>
            </w:r>
          </w:p>
        </w:tc>
        <w:tc>
          <w:tcPr>
            <w:tcW w:w="340" w:type="dxa"/>
            <w:vAlign w:val="bottom"/>
            <w:tcBorders>
              <w:top w:val="single" w:sz="8" w:color="auto"/>
              <w:right w:val="single" w:sz="8" w:color="F3F3F4"/>
            </w:tcBorders>
          </w:tcPr>
          <w:p>
            <w:pPr>
              <w:ind w:left="100"/>
              <w:spacing w:after="0"/>
              <w:rPr>
                <w:sz w:val="20"/>
                <w:szCs w:val="20"/>
                <w:color w:val="auto"/>
              </w:rPr>
            </w:pPr>
            <w:r>
              <w:rPr>
                <w:rFonts w:ascii="Arial" w:cs="Arial" w:eastAsia="Arial" w:hAnsi="Arial"/>
                <w:sz w:val="13"/>
                <w:szCs w:val="13"/>
                <w:color w:val="auto"/>
              </w:rPr>
              <w:t>M</w:t>
            </w:r>
          </w:p>
        </w:tc>
        <w:tc>
          <w:tcPr>
            <w:tcW w:w="260" w:type="dxa"/>
            <w:vAlign w:val="bottom"/>
            <w:tcBorders>
              <w:top w:val="single" w:sz="8" w:color="auto"/>
              <w:bottom w:val="single" w:sz="8" w:color="F3F3F4"/>
            </w:tcBorders>
            <w:shd w:val="clear" w:color="auto" w:fill="F3F3F4"/>
          </w:tcPr>
          <w:p>
            <w:pPr>
              <w:ind w:left="60"/>
              <w:spacing w:after="0"/>
              <w:rPr>
                <w:sz w:val="20"/>
                <w:szCs w:val="20"/>
                <w:color w:val="auto"/>
              </w:rPr>
            </w:pPr>
            <w:r>
              <w:rPr>
                <w:rFonts w:ascii="Arial" w:cs="Arial" w:eastAsia="Arial" w:hAnsi="Arial"/>
                <w:sz w:val="13"/>
                <w:szCs w:val="13"/>
                <w:color w:val="auto"/>
              </w:rPr>
              <w:t>M</w:t>
            </w: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F3F3F4"/>
            </w:tcBorders>
          </w:tcPr>
          <w:p>
            <w:pPr>
              <w:ind w:left="40"/>
              <w:spacing w:after="0"/>
              <w:rPr>
                <w:sz w:val="20"/>
                <w:szCs w:val="20"/>
                <w:color w:val="auto"/>
              </w:rPr>
            </w:pPr>
            <w:r>
              <w:rPr>
                <w:rFonts w:ascii="Arial" w:cs="Arial" w:eastAsia="Arial" w:hAnsi="Arial"/>
                <w:sz w:val="13"/>
                <w:szCs w:val="13"/>
                <w:color w:val="auto"/>
              </w:rPr>
              <w:t>M</w:t>
            </w:r>
          </w:p>
        </w:tc>
        <w:tc>
          <w:tcPr>
            <w:tcW w:w="260" w:type="dxa"/>
            <w:vAlign w:val="bottom"/>
            <w:tcBorders>
              <w:top w:val="single" w:sz="8" w:color="auto"/>
              <w:bottom w:val="single" w:sz="8" w:color="F3F3F4"/>
            </w:tcBorders>
            <w:shd w:val="clear" w:color="auto" w:fill="F3F3F4"/>
          </w:tcPr>
          <w:p>
            <w:pPr>
              <w:ind w:left="60"/>
              <w:spacing w:after="0"/>
              <w:rPr>
                <w:sz w:val="20"/>
                <w:szCs w:val="20"/>
                <w:color w:val="auto"/>
              </w:rPr>
            </w:pPr>
            <w:r>
              <w:rPr>
                <w:rFonts w:ascii="Arial" w:cs="Arial" w:eastAsia="Arial" w:hAnsi="Arial"/>
                <w:sz w:val="13"/>
                <w:szCs w:val="13"/>
                <w:color w:val="auto"/>
              </w:rPr>
              <w:t>M</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F3F3F4"/>
            </w:tcBorders>
          </w:tcPr>
          <w:p>
            <w:pPr>
              <w:ind w:left="80"/>
              <w:spacing w:after="0"/>
              <w:rPr>
                <w:sz w:val="20"/>
                <w:szCs w:val="20"/>
                <w:color w:val="auto"/>
              </w:rPr>
            </w:pPr>
            <w:r>
              <w:rPr>
                <w:rFonts w:ascii="Arial" w:cs="Arial" w:eastAsia="Arial" w:hAnsi="Arial"/>
                <w:sz w:val="13"/>
                <w:szCs w:val="13"/>
                <w:color w:val="auto"/>
              </w:rPr>
              <w:t>M</w:t>
            </w:r>
          </w:p>
        </w:tc>
        <w:tc>
          <w:tcPr>
            <w:tcW w:w="260" w:type="dxa"/>
            <w:vAlign w:val="bottom"/>
            <w:tcBorders>
              <w:top w:val="single" w:sz="8" w:color="auto"/>
              <w:bottom w:val="single" w:sz="8" w:color="F3F3F4"/>
            </w:tcBorders>
            <w:shd w:val="clear" w:color="auto" w:fill="F3F3F4"/>
          </w:tcPr>
          <w:p>
            <w:pPr>
              <w:ind w:left="60"/>
              <w:spacing w:after="0"/>
              <w:rPr>
                <w:sz w:val="20"/>
                <w:szCs w:val="20"/>
                <w:color w:val="auto"/>
              </w:rPr>
            </w:pPr>
            <w:r>
              <w:rPr>
                <w:rFonts w:ascii="Arial" w:cs="Arial" w:eastAsia="Arial" w:hAnsi="Arial"/>
                <w:sz w:val="13"/>
                <w:szCs w:val="13"/>
                <w:color w:val="auto"/>
              </w:rPr>
              <w:t>M</w:t>
            </w: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F</w:t>
            </w:r>
          </w:p>
        </w:tc>
        <w:tc>
          <w:tcPr>
            <w:tcW w:w="0" w:type="dxa"/>
            <w:vAlign w:val="bottom"/>
          </w:tcPr>
          <w:p>
            <w:pPr>
              <w:spacing w:after="0"/>
              <w:rPr>
                <w:sz w:val="1"/>
                <w:szCs w:val="1"/>
                <w:color w:val="auto"/>
              </w:rPr>
            </w:pPr>
          </w:p>
        </w:tc>
      </w:tr>
      <w:tr>
        <w:trPr>
          <w:trHeight w:val="304"/>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Ethnic Minority</w:t>
            </w:r>
          </w:p>
        </w:tc>
        <w:tc>
          <w:tcPr>
            <w:tcW w:w="280" w:type="dxa"/>
            <w:vAlign w:val="bottom"/>
            <w:tcBorders>
              <w:top w:val="single" w:sz="8" w:color="auto"/>
              <w:bottom w:val="single" w:sz="8" w:color="F3F3F4"/>
            </w:tcBorders>
            <w:shd w:val="clear" w:color="auto" w:fill="F3F3F4"/>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F3F3F4"/>
            </w:tcBorders>
          </w:tcPr>
          <w:p>
            <w:pPr>
              <w:spacing w:after="0"/>
              <w:rPr>
                <w:sz w:val="24"/>
                <w:szCs w:val="24"/>
                <w:color w:val="auto"/>
              </w:rPr>
            </w:pPr>
          </w:p>
        </w:tc>
        <w:tc>
          <w:tcPr>
            <w:tcW w:w="260" w:type="dxa"/>
            <w:vAlign w:val="bottom"/>
            <w:tcBorders>
              <w:top w:val="single" w:sz="8" w:color="auto"/>
              <w:bottom w:val="single" w:sz="8" w:color="F3F3F4"/>
            </w:tcBorders>
            <w:shd w:val="clear" w:color="auto" w:fill="F3F3F4"/>
          </w:tcPr>
          <w:p>
            <w:pPr>
              <w:spacing w:after="0"/>
              <w:rPr>
                <w:sz w:val="24"/>
                <w:szCs w:val="24"/>
                <w:color w:val="auto"/>
              </w:rPr>
            </w:pPr>
          </w:p>
        </w:tc>
        <w:tc>
          <w:tcPr>
            <w:tcW w:w="340" w:type="dxa"/>
            <w:vAlign w:val="bottom"/>
            <w:tcBorders>
              <w:top w:val="single" w:sz="8" w:color="auto"/>
              <w:right w:val="single" w:sz="8" w:color="F3F3F4"/>
            </w:tcBorders>
          </w:tcPr>
          <w:p>
            <w:pPr>
              <w:spacing w:after="0"/>
              <w:rPr>
                <w:sz w:val="24"/>
                <w:szCs w:val="24"/>
                <w:color w:val="auto"/>
              </w:rPr>
            </w:pP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F3F3F4"/>
            </w:tcBorders>
          </w:tcPr>
          <w:p>
            <w:pPr>
              <w:jc w:val="center"/>
              <w:ind w:right="16"/>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F3F3F4"/>
            </w:tcBorders>
            <w:shd w:val="clear" w:color="auto" w:fill="F3F3F4"/>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F3F3F4"/>
            </w:tcBorders>
          </w:tcPr>
          <w:p>
            <w:pPr>
              <w:spacing w:after="0"/>
              <w:rPr>
                <w:sz w:val="24"/>
                <w:szCs w:val="24"/>
                <w:color w:val="auto"/>
              </w:rPr>
            </w:pPr>
          </w:p>
        </w:tc>
        <w:tc>
          <w:tcPr>
            <w:tcW w:w="260" w:type="dxa"/>
            <w:vAlign w:val="bottom"/>
            <w:tcBorders>
              <w:top w:val="single" w:sz="8" w:color="auto"/>
              <w:bottom w:val="single" w:sz="8" w:color="F3F3F4"/>
            </w:tcBorders>
            <w:shd w:val="clear" w:color="auto" w:fill="F3F3F4"/>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Military Veteran</w:t>
            </w:r>
          </w:p>
        </w:tc>
        <w:tc>
          <w:tcPr>
            <w:tcW w:w="280" w:type="dxa"/>
            <w:vAlign w:val="bottom"/>
            <w:tcBorders>
              <w:top w:val="single" w:sz="8" w:color="auto"/>
              <w:bottom w:val="single" w:sz="8" w:color="F3F3F4"/>
            </w:tcBorders>
            <w:shd w:val="clear" w:color="auto" w:fill="F3F3F4"/>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F3F3F4"/>
            </w:tcBorders>
          </w:tcPr>
          <w:p>
            <w:pPr>
              <w:spacing w:after="0"/>
              <w:rPr>
                <w:sz w:val="24"/>
                <w:szCs w:val="24"/>
                <w:color w:val="auto"/>
              </w:rPr>
            </w:pPr>
          </w:p>
        </w:tc>
        <w:tc>
          <w:tcPr>
            <w:tcW w:w="260" w:type="dxa"/>
            <w:vAlign w:val="bottom"/>
            <w:tcBorders>
              <w:top w:val="single" w:sz="8" w:color="auto"/>
              <w:bottom w:val="single" w:sz="8" w:color="F3F3F4"/>
            </w:tcBorders>
            <w:shd w:val="clear" w:color="auto" w:fill="F3F3F4"/>
          </w:tcPr>
          <w:p>
            <w:pPr>
              <w:spacing w:after="0"/>
              <w:rPr>
                <w:sz w:val="24"/>
                <w:szCs w:val="24"/>
                <w:color w:val="auto"/>
              </w:rPr>
            </w:pPr>
          </w:p>
        </w:tc>
        <w:tc>
          <w:tcPr>
            <w:tcW w:w="340" w:type="dxa"/>
            <w:vAlign w:val="bottom"/>
            <w:tcBorders>
              <w:top w:val="single" w:sz="8" w:color="auto"/>
              <w:right w:val="single" w:sz="8" w:color="F3F3F4"/>
            </w:tcBorders>
          </w:tcPr>
          <w:p>
            <w:pPr>
              <w:spacing w:after="0"/>
              <w:rPr>
                <w:sz w:val="24"/>
                <w:szCs w:val="24"/>
                <w:color w:val="auto"/>
              </w:rPr>
            </w:pP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F3F3F4"/>
            </w:tcBorders>
          </w:tcPr>
          <w:p>
            <w:pPr>
              <w:spacing w:after="0"/>
              <w:rPr>
                <w:sz w:val="24"/>
                <w:szCs w:val="24"/>
                <w:color w:val="auto"/>
              </w:rPr>
            </w:pPr>
          </w:p>
        </w:tc>
        <w:tc>
          <w:tcPr>
            <w:tcW w:w="260" w:type="dxa"/>
            <w:vAlign w:val="bottom"/>
            <w:tcBorders>
              <w:top w:val="single" w:sz="8" w:color="auto"/>
              <w:bottom w:val="single" w:sz="8" w:color="F3F3F4"/>
            </w:tcBorders>
            <w:shd w:val="clear" w:color="auto" w:fill="F3F3F4"/>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F3F3F4"/>
            </w:tcBorders>
          </w:tcPr>
          <w:p>
            <w:pPr>
              <w:spacing w:after="0"/>
              <w:rPr>
                <w:sz w:val="24"/>
                <w:szCs w:val="24"/>
                <w:color w:val="auto"/>
              </w:rPr>
            </w:pPr>
          </w:p>
        </w:tc>
        <w:tc>
          <w:tcPr>
            <w:tcW w:w="260" w:type="dxa"/>
            <w:vAlign w:val="bottom"/>
            <w:tcBorders>
              <w:top w:val="single" w:sz="8" w:color="auto"/>
              <w:bottom w:val="single" w:sz="8" w:color="F3F3F4"/>
            </w:tcBorders>
            <w:shd w:val="clear" w:color="auto" w:fill="F3F3F4"/>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Other Public Company Boards</w:t>
            </w:r>
          </w:p>
        </w:tc>
        <w:tc>
          <w:tcPr>
            <w:tcW w:w="280" w:type="dxa"/>
            <w:vAlign w:val="bottom"/>
            <w:tcBorders>
              <w:top w:val="single" w:sz="8" w:color="auto"/>
              <w:bottom w:val="single" w:sz="8" w:color="F3F3F4"/>
            </w:tcBorders>
            <w:shd w:val="clear" w:color="auto" w:fill="F3F3F4"/>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F3F3F4"/>
            </w:tcBorders>
          </w:tcPr>
          <w:p>
            <w:pPr>
              <w:spacing w:after="0"/>
              <w:rPr>
                <w:sz w:val="24"/>
                <w:szCs w:val="24"/>
                <w:color w:val="auto"/>
              </w:rPr>
            </w:pP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w w:val="82"/>
              </w:rPr>
              <w:t>1</w:t>
            </w:r>
          </w:p>
        </w:tc>
        <w:tc>
          <w:tcPr>
            <w:tcW w:w="340" w:type="dxa"/>
            <w:vAlign w:val="bottom"/>
            <w:tcBorders>
              <w:top w:val="single" w:sz="8" w:color="auto"/>
              <w:right w:val="single" w:sz="8" w:color="F3F3F4"/>
            </w:tcBorders>
          </w:tcPr>
          <w:p>
            <w:pPr>
              <w:spacing w:after="0"/>
              <w:rPr>
                <w:sz w:val="24"/>
                <w:szCs w:val="24"/>
                <w:color w:val="auto"/>
              </w:rPr>
            </w:pP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rPr>
              <w:t>2</w:t>
            </w: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right w:val="single" w:sz="8" w:color="F3F3F4"/>
            </w:tcBorders>
          </w:tcPr>
          <w:p>
            <w:pPr>
              <w:jc w:val="center"/>
              <w:ind w:right="16"/>
              <w:spacing w:after="0"/>
              <w:rPr>
                <w:sz w:val="20"/>
                <w:szCs w:val="20"/>
                <w:color w:val="auto"/>
              </w:rPr>
            </w:pPr>
            <w:r>
              <w:rPr>
                <w:rFonts w:ascii="Arial" w:cs="Arial" w:eastAsia="Arial" w:hAnsi="Arial"/>
                <w:sz w:val="13"/>
                <w:szCs w:val="13"/>
                <w:color w:val="auto"/>
              </w:rPr>
              <w:t>1</w:t>
            </w:r>
          </w:p>
        </w:tc>
        <w:tc>
          <w:tcPr>
            <w:tcW w:w="260" w:type="dxa"/>
            <w:vAlign w:val="bottom"/>
            <w:tcBorders>
              <w:top w:val="single" w:sz="8" w:color="auto"/>
              <w:bottom w:val="single" w:sz="8" w:color="F3F3F4"/>
            </w:tcBorders>
            <w:shd w:val="clear" w:color="auto" w:fill="F3F3F4"/>
          </w:tcPr>
          <w:p>
            <w:pPr>
              <w:jc w:val="center"/>
              <w:spacing w:after="0"/>
              <w:rPr>
                <w:sz w:val="20"/>
                <w:szCs w:val="20"/>
                <w:color w:val="auto"/>
              </w:rPr>
            </w:pPr>
            <w:r>
              <w:rPr>
                <w:rFonts w:ascii="Arial" w:cs="Arial" w:eastAsia="Arial" w:hAnsi="Arial"/>
                <w:sz w:val="13"/>
                <w:szCs w:val="13"/>
                <w:color w:val="auto"/>
              </w:rPr>
              <w:t>1</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F3F3F4"/>
            </w:tcBorders>
          </w:tcPr>
          <w:p>
            <w:pPr>
              <w:jc w:val="center"/>
              <w:spacing w:after="0"/>
              <w:rPr>
                <w:sz w:val="20"/>
                <w:szCs w:val="20"/>
                <w:color w:val="auto"/>
              </w:rPr>
            </w:pPr>
            <w:r>
              <w:rPr>
                <w:rFonts w:ascii="Arial" w:cs="Arial" w:eastAsia="Arial" w:hAnsi="Arial"/>
                <w:sz w:val="13"/>
                <w:szCs w:val="13"/>
                <w:color w:val="auto"/>
                <w:w w:val="82"/>
              </w:rPr>
              <w:t>1</w:t>
            </w:r>
          </w:p>
        </w:tc>
        <w:tc>
          <w:tcPr>
            <w:tcW w:w="260" w:type="dxa"/>
            <w:vAlign w:val="bottom"/>
            <w:tcBorders>
              <w:top w:val="single" w:sz="8" w:color="auto"/>
              <w:bottom w:val="single" w:sz="8" w:color="F3F3F4"/>
            </w:tcBorders>
            <w:shd w:val="clear" w:color="auto" w:fill="F3F3F4"/>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6"/>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 xml:space="preserve">Industry Experience: </w:t>
            </w:r>
            <w:r>
              <w:rPr>
                <w:rFonts w:ascii="Arial" w:cs="Arial" w:eastAsia="Arial" w:hAnsi="Arial"/>
                <w:sz w:val="15"/>
                <w:szCs w:val="15"/>
                <w:color w:val="7F7F7F"/>
              </w:rPr>
              <w:t>Exploration and production experience is critical to oversight of APA’s core</w:t>
            </w:r>
          </w:p>
        </w:tc>
        <w:tc>
          <w:tcPr>
            <w:tcW w:w="28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F3F3F4"/>
          </w:tcPr>
          <w:p>
            <w:pPr>
              <w:spacing w:after="0"/>
              <w:rPr>
                <w:sz w:val="17"/>
                <w:szCs w:val="17"/>
                <w:color w:val="auto"/>
              </w:rPr>
            </w:pPr>
          </w:p>
        </w:tc>
        <w:tc>
          <w:tcPr>
            <w:tcW w:w="340" w:type="dxa"/>
            <w:vAlign w:val="bottom"/>
            <w:tcBorders>
              <w:top w:val="single" w:sz="8" w:color="auto"/>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F3F3F4"/>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right w:val="single" w:sz="8" w:color="F3F3F4"/>
            </w:tcBorders>
            <w:vMerge w:val="restart"/>
          </w:tcPr>
          <w:p>
            <w:pPr>
              <w:jc w:val="center"/>
              <w:ind w:right="16"/>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8"/>
        </w:trPr>
        <w:tc>
          <w:tcPr>
            <w:tcW w:w="6740" w:type="dxa"/>
            <w:vAlign w:val="bottom"/>
            <w:vMerge w:val="restart"/>
          </w:tcPr>
          <w:p>
            <w:pPr>
              <w:spacing w:after="0"/>
              <w:rPr>
                <w:sz w:val="20"/>
                <w:szCs w:val="20"/>
                <w:color w:val="auto"/>
              </w:rPr>
            </w:pPr>
            <w:r>
              <w:rPr>
                <w:rFonts w:ascii="Arial" w:cs="Arial" w:eastAsia="Arial" w:hAnsi="Arial"/>
                <w:sz w:val="15"/>
                <w:szCs w:val="15"/>
                <w:color w:val="7F7F7F"/>
              </w:rPr>
              <w:t>operations</w:t>
            </w:r>
          </w:p>
        </w:tc>
        <w:tc>
          <w:tcPr>
            <w:tcW w:w="280" w:type="dxa"/>
            <w:vAlign w:val="bottom"/>
            <w:vMerge w:val="continue"/>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vMerge w:val="continue"/>
          </w:tcPr>
          <w:p>
            <w:pPr>
              <w:spacing w:after="0"/>
              <w:rPr>
                <w:sz w:val="8"/>
                <w:szCs w:val="8"/>
                <w:color w:val="auto"/>
              </w:rPr>
            </w:pPr>
          </w:p>
        </w:tc>
        <w:tc>
          <w:tcPr>
            <w:tcW w:w="260" w:type="dxa"/>
            <w:vAlign w:val="bottom"/>
            <w:shd w:val="clear" w:color="auto" w:fill="F3F3F4"/>
          </w:tcPr>
          <w:p>
            <w:pPr>
              <w:spacing w:after="0"/>
              <w:rPr>
                <w:sz w:val="8"/>
                <w:szCs w:val="8"/>
                <w:color w:val="auto"/>
              </w:rPr>
            </w:pPr>
          </w:p>
        </w:tc>
        <w:tc>
          <w:tcPr>
            <w:tcW w:w="340" w:type="dxa"/>
            <w:vAlign w:val="bottom"/>
            <w:tcBorders>
              <w:right w:val="single" w:sz="8" w:color="F3F3F4"/>
            </w:tcBorders>
            <w:vMerge w:val="continue"/>
          </w:tcPr>
          <w:p>
            <w:pPr>
              <w:spacing w:after="0"/>
              <w:rPr>
                <w:sz w:val="8"/>
                <w:szCs w:val="8"/>
                <w:color w:val="auto"/>
              </w:rPr>
            </w:pPr>
          </w:p>
        </w:tc>
        <w:tc>
          <w:tcPr>
            <w:tcW w:w="260" w:type="dxa"/>
            <w:vAlign w:val="bottom"/>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740" w:type="dxa"/>
            <w:vAlign w:val="bottom"/>
            <w:vMerge w:val="continue"/>
          </w:tcPr>
          <w:p>
            <w:pPr>
              <w:spacing w:after="0"/>
              <w:rPr>
                <w:sz w:val="8"/>
                <w:szCs w:val="8"/>
                <w:color w:val="auto"/>
              </w:rPr>
            </w:pPr>
          </w:p>
        </w:tc>
        <w:tc>
          <w:tcPr>
            <w:tcW w:w="280" w:type="dxa"/>
            <w:vAlign w:val="bottom"/>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tcPr>
          <w:p>
            <w:pPr>
              <w:spacing w:after="0"/>
              <w:rPr>
                <w:sz w:val="8"/>
                <w:szCs w:val="8"/>
                <w:color w:val="auto"/>
              </w:rPr>
            </w:pPr>
          </w:p>
        </w:tc>
        <w:tc>
          <w:tcPr>
            <w:tcW w:w="260" w:type="dxa"/>
            <w:vAlign w:val="bottom"/>
            <w:shd w:val="clear" w:color="auto" w:fill="F3F3F4"/>
          </w:tcPr>
          <w:p>
            <w:pPr>
              <w:spacing w:after="0"/>
              <w:rPr>
                <w:sz w:val="8"/>
                <w:szCs w:val="8"/>
                <w:color w:val="auto"/>
              </w:rPr>
            </w:pPr>
          </w:p>
        </w:tc>
        <w:tc>
          <w:tcPr>
            <w:tcW w:w="340" w:type="dxa"/>
            <w:vAlign w:val="bottom"/>
            <w:tcBorders>
              <w:right w:val="single" w:sz="8" w:color="F3F3F4"/>
            </w:tcBorders>
          </w:tcPr>
          <w:p>
            <w:pPr>
              <w:spacing w:after="0"/>
              <w:rPr>
                <w:sz w:val="8"/>
                <w:szCs w:val="8"/>
                <w:color w:val="auto"/>
              </w:rPr>
            </w:pPr>
          </w:p>
        </w:tc>
        <w:tc>
          <w:tcPr>
            <w:tcW w:w="260" w:type="dxa"/>
            <w:vAlign w:val="bottom"/>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right w:val="single" w:sz="8" w:color="F3F3F4"/>
            </w:tcBorders>
          </w:tcPr>
          <w:p>
            <w:pPr>
              <w:spacing w:after="0"/>
              <w:rPr>
                <w:sz w:val="8"/>
                <w:szCs w:val="8"/>
                <w:color w:val="auto"/>
              </w:rPr>
            </w:pPr>
          </w:p>
        </w:tc>
        <w:tc>
          <w:tcPr>
            <w:tcW w:w="260" w:type="dxa"/>
            <w:vAlign w:val="bottom"/>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tcPr>
          <w:p>
            <w:pPr>
              <w:spacing w:after="0"/>
              <w:rPr>
                <w:sz w:val="8"/>
                <w:szCs w:val="8"/>
                <w:color w:val="auto"/>
              </w:rPr>
            </w:pPr>
          </w:p>
        </w:tc>
        <w:tc>
          <w:tcPr>
            <w:tcW w:w="260" w:type="dxa"/>
            <w:vAlign w:val="bottom"/>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67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shd w:val="clear" w:color="auto" w:fill="F3F3F4"/>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F3F3F4"/>
            </w:tcBorders>
          </w:tcPr>
          <w:p>
            <w:pPr>
              <w:spacing w:after="0"/>
              <w:rPr>
                <w:sz w:val="5"/>
                <w:szCs w:val="5"/>
                <w:color w:val="auto"/>
              </w:rPr>
            </w:pPr>
          </w:p>
        </w:tc>
        <w:tc>
          <w:tcPr>
            <w:tcW w:w="260" w:type="dxa"/>
            <w:vAlign w:val="bottom"/>
            <w:tcBorders>
              <w:bottom w:val="single" w:sz="8" w:color="auto"/>
            </w:tcBorders>
            <w:shd w:val="clear" w:color="auto" w:fill="F3F3F4"/>
          </w:tcPr>
          <w:p>
            <w:pPr>
              <w:spacing w:after="0"/>
              <w:rPr>
                <w:sz w:val="5"/>
                <w:szCs w:val="5"/>
                <w:color w:val="auto"/>
              </w:rPr>
            </w:pPr>
          </w:p>
        </w:tc>
        <w:tc>
          <w:tcPr>
            <w:tcW w:w="340" w:type="dxa"/>
            <w:vAlign w:val="bottom"/>
            <w:tcBorders>
              <w:bottom w:val="single" w:sz="8" w:color="auto"/>
              <w:right w:val="single" w:sz="8" w:color="F3F3F4"/>
            </w:tcBorders>
          </w:tcPr>
          <w:p>
            <w:pPr>
              <w:spacing w:after="0"/>
              <w:rPr>
                <w:sz w:val="5"/>
                <w:szCs w:val="5"/>
                <w:color w:val="auto"/>
              </w:rPr>
            </w:pPr>
          </w:p>
        </w:tc>
        <w:tc>
          <w:tcPr>
            <w:tcW w:w="260" w:type="dxa"/>
            <w:vAlign w:val="bottom"/>
            <w:tcBorders>
              <w:bottom w:val="single" w:sz="8" w:color="auto"/>
            </w:tcBorders>
            <w:shd w:val="clear" w:color="auto" w:fill="F3F3F4"/>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F3F3F4"/>
            </w:tcBorders>
          </w:tcPr>
          <w:p>
            <w:pPr>
              <w:spacing w:after="0"/>
              <w:rPr>
                <w:sz w:val="5"/>
                <w:szCs w:val="5"/>
                <w:color w:val="auto"/>
              </w:rPr>
            </w:pPr>
          </w:p>
        </w:tc>
        <w:tc>
          <w:tcPr>
            <w:tcW w:w="260" w:type="dxa"/>
            <w:vAlign w:val="bottom"/>
            <w:tcBorders>
              <w:bottom w:val="single" w:sz="8" w:color="auto"/>
            </w:tcBorders>
            <w:shd w:val="clear" w:color="auto" w:fill="F3F3F4"/>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F3F3F4"/>
            </w:tcBorders>
          </w:tcPr>
          <w:p>
            <w:pPr>
              <w:spacing w:after="0"/>
              <w:rPr>
                <w:sz w:val="5"/>
                <w:szCs w:val="5"/>
                <w:color w:val="auto"/>
              </w:rPr>
            </w:pPr>
          </w:p>
        </w:tc>
        <w:tc>
          <w:tcPr>
            <w:tcW w:w="260" w:type="dxa"/>
            <w:vAlign w:val="bottom"/>
            <w:tcBorders>
              <w:bottom w:val="single" w:sz="8" w:color="auto"/>
            </w:tcBorders>
            <w:shd w:val="clear" w:color="auto" w:fill="F3F3F4"/>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740" w:type="dxa"/>
            <w:vAlign w:val="bottom"/>
          </w:tcPr>
          <w:p>
            <w:pPr>
              <w:spacing w:after="0"/>
              <w:rPr>
                <w:sz w:val="20"/>
                <w:szCs w:val="20"/>
                <w:color w:val="auto"/>
              </w:rPr>
            </w:pPr>
            <w:r>
              <w:rPr>
                <w:rFonts w:ascii="Arial" w:cs="Arial" w:eastAsia="Arial" w:hAnsi="Arial"/>
                <w:sz w:val="15"/>
                <w:szCs w:val="15"/>
                <w:b w:val="1"/>
                <w:bCs w:val="1"/>
                <w:color w:val="auto"/>
              </w:rPr>
              <w:t xml:space="preserve">Global Experience: </w:t>
            </w:r>
            <w:r>
              <w:rPr>
                <w:rFonts w:ascii="Arial" w:cs="Arial" w:eastAsia="Arial" w:hAnsi="Arial"/>
                <w:sz w:val="15"/>
                <w:szCs w:val="15"/>
                <w:color w:val="7F7F7F"/>
              </w:rPr>
              <w:t>International expertise supports APA’s global footprint, which includes the</w:t>
            </w:r>
          </w:p>
        </w:tc>
        <w:tc>
          <w:tcPr>
            <w:tcW w:w="280" w:type="dxa"/>
            <w:vAlign w:val="bottom"/>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320" w:type="dxa"/>
            <w:vAlign w:val="bottom"/>
            <w:tcBorders>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340" w:type="dxa"/>
            <w:vAlign w:val="bottom"/>
            <w:tcBorders>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7"/>
                <w:szCs w:val="17"/>
                <w:color w:val="auto"/>
              </w:rPr>
            </w:pPr>
          </w:p>
        </w:tc>
        <w:tc>
          <w:tcPr>
            <w:tcW w:w="280" w:type="dxa"/>
            <w:vAlign w:val="bottom"/>
            <w:tcBorders>
              <w:right w:val="single" w:sz="8" w:color="F3F3F4"/>
            </w:tcBorders>
            <w:vMerge w:val="restart"/>
          </w:tcPr>
          <w:p>
            <w:pPr>
              <w:jc w:val="center"/>
              <w:ind w:right="16"/>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320" w:type="dxa"/>
            <w:vAlign w:val="bottom"/>
            <w:tcBorders>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40" w:type="dxa"/>
            <w:vAlign w:val="bottom"/>
          </w:tcPr>
          <w:p>
            <w:pPr>
              <w:spacing w:after="0"/>
              <w:rPr>
                <w:sz w:val="17"/>
                <w:szCs w:val="17"/>
                <w:color w:val="auto"/>
              </w:rPr>
            </w:pPr>
          </w:p>
        </w:tc>
        <w:tc>
          <w:tcPr>
            <w:tcW w:w="2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8"/>
        </w:trPr>
        <w:tc>
          <w:tcPr>
            <w:tcW w:w="6740" w:type="dxa"/>
            <w:vAlign w:val="bottom"/>
            <w:vMerge w:val="restart"/>
          </w:tcPr>
          <w:p>
            <w:pPr>
              <w:spacing w:after="0"/>
              <w:rPr>
                <w:sz w:val="20"/>
                <w:szCs w:val="20"/>
                <w:color w:val="auto"/>
              </w:rPr>
            </w:pPr>
            <w:r>
              <w:rPr>
                <w:rFonts w:ascii="Arial" w:cs="Arial" w:eastAsia="Arial" w:hAnsi="Arial"/>
                <w:sz w:val="15"/>
                <w:szCs w:val="15"/>
                <w:color w:val="7F7F7F"/>
              </w:rPr>
              <w:t>United States, Egypt’s Western Desert, the United Kingdom’s North Sea, and Suriname</w:t>
            </w:r>
          </w:p>
        </w:tc>
        <w:tc>
          <w:tcPr>
            <w:tcW w:w="280" w:type="dxa"/>
            <w:vAlign w:val="bottom"/>
            <w:vMerge w:val="continue"/>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34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280" w:type="dxa"/>
            <w:vAlign w:val="bottom"/>
            <w:tcBorders>
              <w:bottom w:val="single" w:sz="8" w:color="F3F3F4"/>
            </w:tcBorders>
            <w:shd w:val="clear" w:color="auto" w:fill="F3F3F4"/>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34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 xml:space="preserve">Financial Reporting/Accounting/M&amp;A: </w:t>
            </w:r>
            <w:r>
              <w:rPr>
                <w:rFonts w:ascii="Arial" w:cs="Arial" w:eastAsia="Arial" w:hAnsi="Arial"/>
                <w:sz w:val="15"/>
                <w:szCs w:val="15"/>
                <w:color w:val="7F7F7F"/>
              </w:rPr>
              <w:t>Familiarity with executing transactions and financial</w:t>
            </w:r>
          </w:p>
        </w:tc>
        <w:tc>
          <w:tcPr>
            <w:tcW w:w="280" w:type="dxa"/>
            <w:vAlign w:val="bottom"/>
            <w:tcBorders>
              <w:top w:val="single" w:sz="8" w:color="auto"/>
            </w:tcBorders>
            <w:shd w:val="clear" w:color="auto" w:fill="F3F3F4"/>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right w:val="single" w:sz="8" w:color="F3F3F4"/>
            </w:tcBorders>
          </w:tcPr>
          <w:p>
            <w:pPr>
              <w:spacing w:after="0"/>
              <w:rPr>
                <w:sz w:val="20"/>
                <w:szCs w:val="20"/>
                <w:color w:val="auto"/>
              </w:rPr>
            </w:pPr>
          </w:p>
        </w:tc>
        <w:tc>
          <w:tcPr>
            <w:tcW w:w="260" w:type="dxa"/>
            <w:vAlign w:val="bottom"/>
            <w:tcBorders>
              <w:top w:val="single" w:sz="8" w:color="auto"/>
            </w:tcBorders>
            <w:shd w:val="clear" w:color="auto" w:fill="F3F3F4"/>
          </w:tcPr>
          <w:p>
            <w:pPr>
              <w:spacing w:after="0"/>
              <w:rPr>
                <w:sz w:val="20"/>
                <w:szCs w:val="20"/>
                <w:color w:val="auto"/>
              </w:rPr>
            </w:pPr>
          </w:p>
        </w:tc>
        <w:tc>
          <w:tcPr>
            <w:tcW w:w="340" w:type="dxa"/>
            <w:vAlign w:val="bottom"/>
            <w:tcBorders>
              <w:top w:val="single" w:sz="8" w:color="auto"/>
              <w:right w:val="single" w:sz="8" w:color="F3F3F4"/>
            </w:tcBorders>
          </w:tcPr>
          <w:p>
            <w:pPr>
              <w:spacing w:after="0"/>
              <w:rPr>
                <w:sz w:val="20"/>
                <w:szCs w:val="20"/>
                <w:color w:val="auto"/>
              </w:rPr>
            </w:pPr>
          </w:p>
        </w:tc>
        <w:tc>
          <w:tcPr>
            <w:tcW w:w="260" w:type="dxa"/>
            <w:vAlign w:val="bottom"/>
            <w:tcBorders>
              <w:top w:val="single" w:sz="8" w:color="auto"/>
            </w:tcBorders>
            <w:shd w:val="clear" w:color="auto" w:fill="F3F3F4"/>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right w:val="single" w:sz="8" w:color="F3F3F4"/>
            </w:tcBorders>
          </w:tcPr>
          <w:p>
            <w:pPr>
              <w:spacing w:after="0"/>
              <w:rPr>
                <w:sz w:val="20"/>
                <w:szCs w:val="20"/>
                <w:color w:val="auto"/>
              </w:rPr>
            </w:pPr>
          </w:p>
        </w:tc>
        <w:tc>
          <w:tcPr>
            <w:tcW w:w="260" w:type="dxa"/>
            <w:vAlign w:val="bottom"/>
            <w:tcBorders>
              <w:top w:val="single" w:sz="8" w:color="auto"/>
            </w:tcBorders>
            <w:shd w:val="clear" w:color="auto" w:fill="F3F3F4"/>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right w:val="single" w:sz="8" w:color="F3F3F4"/>
            </w:tcBorders>
          </w:tcPr>
          <w:p>
            <w:pPr>
              <w:spacing w:after="0"/>
              <w:rPr>
                <w:sz w:val="20"/>
                <w:szCs w:val="20"/>
                <w:color w:val="auto"/>
              </w:rPr>
            </w:pPr>
          </w:p>
        </w:tc>
        <w:tc>
          <w:tcPr>
            <w:tcW w:w="260" w:type="dxa"/>
            <w:vAlign w:val="bottom"/>
            <w:tcBorders>
              <w:top w:val="single" w:sz="8" w:color="auto"/>
            </w:tcBorders>
            <w:shd w:val="clear" w:color="auto" w:fill="F3F3F4"/>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line="162" w:lineRule="exact"/>
              <w:rPr>
                <w:sz w:val="20"/>
                <w:szCs w:val="20"/>
                <w:color w:val="auto"/>
              </w:rPr>
            </w:pPr>
            <w:r>
              <w:rPr>
                <w:rFonts w:ascii="Arial" w:cs="Arial" w:eastAsia="Arial" w:hAnsi="Arial"/>
                <w:sz w:val="15"/>
                <w:szCs w:val="15"/>
                <w:color w:val="7F7F7F"/>
              </w:rPr>
              <w:t>reporting matters helps APA focus on delivering long-term, full cycle returns through effective</w:t>
            </w:r>
          </w:p>
        </w:tc>
        <w:tc>
          <w:tcPr>
            <w:tcW w:w="280" w:type="dxa"/>
            <w:vAlign w:val="bottom"/>
            <w:shd w:val="clear" w:color="auto" w:fill="F3F3F4"/>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F3F3F4"/>
            </w:tcBorders>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340" w:type="dxa"/>
            <w:vAlign w:val="bottom"/>
            <w:tcBorders>
              <w:right w:val="single" w:sz="8" w:color="F3F3F4"/>
            </w:tcBorders>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F3F3F4"/>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right w:val="single" w:sz="8" w:color="F3F3F4"/>
            </w:tcBorders>
          </w:tcPr>
          <w:p>
            <w:pPr>
              <w:jc w:val="center"/>
              <w:ind w:right="16"/>
              <w:spacing w:after="0"/>
              <w:rPr>
                <w:sz w:val="20"/>
                <w:szCs w:val="20"/>
                <w:color w:val="auto"/>
              </w:rPr>
            </w:pPr>
            <w:r>
              <w:rPr>
                <w:rFonts w:ascii="Arial" w:cs="Arial" w:eastAsia="Arial" w:hAnsi="Arial"/>
                <w:sz w:val="13"/>
                <w:szCs w:val="13"/>
                <w:color w:val="auto"/>
              </w:rPr>
              <w:t>●</w:t>
            </w:r>
          </w:p>
        </w:tc>
        <w:tc>
          <w:tcPr>
            <w:tcW w:w="260" w:type="dxa"/>
            <w:vAlign w:val="bottom"/>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20" w:type="dxa"/>
            <w:vAlign w:val="bottom"/>
            <w:tcBorders>
              <w:right w:val="single" w:sz="8" w:color="F3F3F4"/>
            </w:tcBorders>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40" w:type="dxa"/>
            <w:vAlign w:val="bottom"/>
          </w:tcPr>
          <w:p>
            <w:pPr>
              <w:spacing w:after="0"/>
              <w:rPr>
                <w:sz w:val="14"/>
                <w:szCs w:val="14"/>
                <w:color w:val="auto"/>
              </w:rPr>
            </w:pPr>
          </w:p>
        </w:tc>
        <w:tc>
          <w:tcPr>
            <w:tcW w:w="28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6740" w:type="dxa"/>
            <w:vAlign w:val="bottom"/>
          </w:tcPr>
          <w:p>
            <w:pPr>
              <w:spacing w:after="0"/>
              <w:rPr>
                <w:sz w:val="20"/>
                <w:szCs w:val="20"/>
                <w:color w:val="auto"/>
              </w:rPr>
            </w:pPr>
            <w:r>
              <w:rPr>
                <w:rFonts w:ascii="Arial" w:cs="Arial" w:eastAsia="Arial" w:hAnsi="Arial"/>
                <w:sz w:val="15"/>
                <w:szCs w:val="15"/>
                <w:color w:val="7F7F7F"/>
              </w:rPr>
              <w:t>capital allocation and contributes to audit and reporting oversight</w:t>
            </w:r>
          </w:p>
        </w:tc>
        <w:tc>
          <w:tcPr>
            <w:tcW w:w="280" w:type="dxa"/>
            <w:vAlign w:val="bottom"/>
            <w:shd w:val="clear" w:color="auto" w:fill="F3F3F4"/>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right w:val="single" w:sz="8" w:color="F3F3F4"/>
            </w:tcBorders>
          </w:tcPr>
          <w:p>
            <w:pPr>
              <w:spacing w:after="0"/>
              <w:rPr>
                <w:sz w:val="17"/>
                <w:szCs w:val="17"/>
                <w:color w:val="auto"/>
              </w:rPr>
            </w:pPr>
          </w:p>
        </w:tc>
        <w:tc>
          <w:tcPr>
            <w:tcW w:w="260" w:type="dxa"/>
            <w:vAlign w:val="bottom"/>
            <w:shd w:val="clear" w:color="auto" w:fill="F3F3F4"/>
          </w:tcPr>
          <w:p>
            <w:pPr>
              <w:spacing w:after="0"/>
              <w:rPr>
                <w:sz w:val="17"/>
                <w:szCs w:val="17"/>
                <w:color w:val="auto"/>
              </w:rPr>
            </w:pPr>
          </w:p>
        </w:tc>
        <w:tc>
          <w:tcPr>
            <w:tcW w:w="340" w:type="dxa"/>
            <w:vAlign w:val="bottom"/>
            <w:tcBorders>
              <w:right w:val="single" w:sz="8" w:color="F3F3F4"/>
            </w:tcBorders>
          </w:tcPr>
          <w:p>
            <w:pPr>
              <w:spacing w:after="0"/>
              <w:rPr>
                <w:sz w:val="17"/>
                <w:szCs w:val="17"/>
                <w:color w:val="auto"/>
              </w:rPr>
            </w:pPr>
          </w:p>
        </w:tc>
        <w:tc>
          <w:tcPr>
            <w:tcW w:w="260" w:type="dxa"/>
            <w:vAlign w:val="bottom"/>
            <w:shd w:val="clear" w:color="auto" w:fill="F3F3F4"/>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right w:val="single" w:sz="8" w:color="F3F3F4"/>
            </w:tcBorders>
          </w:tcPr>
          <w:p>
            <w:pPr>
              <w:spacing w:after="0"/>
              <w:rPr>
                <w:sz w:val="17"/>
                <w:szCs w:val="17"/>
                <w:color w:val="auto"/>
              </w:rPr>
            </w:pPr>
          </w:p>
        </w:tc>
        <w:tc>
          <w:tcPr>
            <w:tcW w:w="260" w:type="dxa"/>
            <w:vAlign w:val="bottom"/>
            <w:shd w:val="clear" w:color="auto" w:fill="F3F3F4"/>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right w:val="single" w:sz="8" w:color="F3F3F4"/>
            </w:tcBorders>
          </w:tcPr>
          <w:p>
            <w:pPr>
              <w:spacing w:after="0"/>
              <w:rPr>
                <w:sz w:val="17"/>
                <w:szCs w:val="17"/>
                <w:color w:val="auto"/>
              </w:rPr>
            </w:pPr>
          </w:p>
        </w:tc>
        <w:tc>
          <w:tcPr>
            <w:tcW w:w="260" w:type="dxa"/>
            <w:vAlign w:val="bottom"/>
            <w:shd w:val="clear" w:color="auto" w:fill="F3F3F4"/>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6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shd w:val="clear" w:color="auto" w:fill="F3F3F4"/>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F3F3F4"/>
            </w:tcBorders>
          </w:tcPr>
          <w:p>
            <w:pPr>
              <w:spacing w:after="0"/>
              <w:rPr>
                <w:sz w:val="7"/>
                <w:szCs w:val="7"/>
                <w:color w:val="auto"/>
              </w:rPr>
            </w:pPr>
          </w:p>
        </w:tc>
        <w:tc>
          <w:tcPr>
            <w:tcW w:w="260" w:type="dxa"/>
            <w:vAlign w:val="bottom"/>
            <w:tcBorders>
              <w:bottom w:val="single" w:sz="8" w:color="auto"/>
            </w:tcBorders>
            <w:shd w:val="clear" w:color="auto" w:fill="F3F3F4"/>
          </w:tcPr>
          <w:p>
            <w:pPr>
              <w:spacing w:after="0"/>
              <w:rPr>
                <w:sz w:val="7"/>
                <w:szCs w:val="7"/>
                <w:color w:val="auto"/>
              </w:rPr>
            </w:pPr>
          </w:p>
        </w:tc>
        <w:tc>
          <w:tcPr>
            <w:tcW w:w="340" w:type="dxa"/>
            <w:vAlign w:val="bottom"/>
            <w:tcBorders>
              <w:bottom w:val="single" w:sz="8" w:color="auto"/>
              <w:right w:val="single" w:sz="8" w:color="F3F3F4"/>
            </w:tcBorders>
          </w:tcPr>
          <w:p>
            <w:pPr>
              <w:spacing w:after="0"/>
              <w:rPr>
                <w:sz w:val="7"/>
                <w:szCs w:val="7"/>
                <w:color w:val="auto"/>
              </w:rPr>
            </w:pPr>
          </w:p>
        </w:tc>
        <w:tc>
          <w:tcPr>
            <w:tcW w:w="260" w:type="dxa"/>
            <w:vAlign w:val="bottom"/>
            <w:tcBorders>
              <w:bottom w:val="single" w:sz="8" w:color="auto"/>
            </w:tcBorders>
            <w:shd w:val="clear" w:color="auto" w:fill="F3F3F4"/>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F3F3F4"/>
            </w:tcBorders>
          </w:tcPr>
          <w:p>
            <w:pPr>
              <w:spacing w:after="0"/>
              <w:rPr>
                <w:sz w:val="7"/>
                <w:szCs w:val="7"/>
                <w:color w:val="auto"/>
              </w:rPr>
            </w:pPr>
          </w:p>
        </w:tc>
        <w:tc>
          <w:tcPr>
            <w:tcW w:w="260" w:type="dxa"/>
            <w:vAlign w:val="bottom"/>
            <w:tcBorders>
              <w:bottom w:val="single" w:sz="8" w:color="auto"/>
            </w:tcBorders>
            <w:shd w:val="clear" w:color="auto" w:fill="F3F3F4"/>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F3F3F4"/>
            </w:tcBorders>
          </w:tcPr>
          <w:p>
            <w:pPr>
              <w:spacing w:after="0"/>
              <w:rPr>
                <w:sz w:val="7"/>
                <w:szCs w:val="7"/>
                <w:color w:val="auto"/>
              </w:rPr>
            </w:pPr>
          </w:p>
        </w:tc>
        <w:tc>
          <w:tcPr>
            <w:tcW w:w="260" w:type="dxa"/>
            <w:vAlign w:val="bottom"/>
            <w:tcBorders>
              <w:bottom w:val="single" w:sz="8" w:color="auto"/>
            </w:tcBorders>
            <w:shd w:val="clear" w:color="auto" w:fill="F3F3F4"/>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6740" w:type="dxa"/>
            <w:vAlign w:val="bottom"/>
          </w:tcPr>
          <w:p>
            <w:pPr>
              <w:spacing w:after="0"/>
              <w:rPr>
                <w:sz w:val="20"/>
                <w:szCs w:val="20"/>
                <w:color w:val="auto"/>
              </w:rPr>
            </w:pPr>
            <w:r>
              <w:rPr>
                <w:rFonts w:ascii="Arial" w:cs="Arial" w:eastAsia="Arial" w:hAnsi="Arial"/>
                <w:sz w:val="15"/>
                <w:szCs w:val="15"/>
                <w:b w:val="1"/>
                <w:bCs w:val="1"/>
                <w:color w:val="auto"/>
              </w:rPr>
              <w:t xml:space="preserve">Risk Management/Compliance: </w:t>
            </w:r>
            <w:r>
              <w:rPr>
                <w:rFonts w:ascii="Arial" w:cs="Arial" w:eastAsia="Arial" w:hAnsi="Arial"/>
                <w:sz w:val="15"/>
                <w:szCs w:val="15"/>
                <w:color w:val="7F7F7F"/>
              </w:rPr>
              <w:t>Experience in managing risk and compliance allows the full</w:t>
            </w:r>
          </w:p>
        </w:tc>
        <w:tc>
          <w:tcPr>
            <w:tcW w:w="280" w:type="dxa"/>
            <w:vAlign w:val="bottom"/>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320" w:type="dxa"/>
            <w:vAlign w:val="bottom"/>
            <w:tcBorders>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340" w:type="dxa"/>
            <w:vAlign w:val="bottom"/>
            <w:tcBorders>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7"/>
                <w:szCs w:val="17"/>
                <w:color w:val="auto"/>
              </w:rPr>
            </w:pPr>
          </w:p>
        </w:tc>
        <w:tc>
          <w:tcPr>
            <w:tcW w:w="280" w:type="dxa"/>
            <w:vAlign w:val="bottom"/>
            <w:tcBorders>
              <w:right w:val="single" w:sz="8" w:color="F3F3F4"/>
            </w:tcBorders>
            <w:vMerge w:val="restart"/>
          </w:tcPr>
          <w:p>
            <w:pPr>
              <w:jc w:val="center"/>
              <w:ind w:right="16"/>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7"/>
                <w:szCs w:val="17"/>
                <w:color w:val="auto"/>
              </w:rPr>
            </w:pPr>
          </w:p>
        </w:tc>
        <w:tc>
          <w:tcPr>
            <w:tcW w:w="320" w:type="dxa"/>
            <w:vAlign w:val="bottom"/>
            <w:tcBorders>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40" w:type="dxa"/>
            <w:vAlign w:val="bottom"/>
          </w:tcPr>
          <w:p>
            <w:pPr>
              <w:spacing w:after="0"/>
              <w:rPr>
                <w:sz w:val="17"/>
                <w:szCs w:val="17"/>
                <w:color w:val="auto"/>
              </w:rPr>
            </w:pPr>
          </w:p>
        </w:tc>
        <w:tc>
          <w:tcPr>
            <w:tcW w:w="2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8"/>
        </w:trPr>
        <w:tc>
          <w:tcPr>
            <w:tcW w:w="6740" w:type="dxa"/>
            <w:vAlign w:val="bottom"/>
            <w:vMerge w:val="restart"/>
          </w:tcPr>
          <w:p>
            <w:pPr>
              <w:spacing w:after="0"/>
              <w:rPr>
                <w:sz w:val="20"/>
                <w:szCs w:val="20"/>
                <w:color w:val="auto"/>
              </w:rPr>
            </w:pPr>
            <w:r>
              <w:rPr>
                <w:rFonts w:ascii="Arial" w:cs="Arial" w:eastAsia="Arial" w:hAnsi="Arial"/>
                <w:sz w:val="15"/>
                <w:szCs w:val="15"/>
                <w:color w:val="7F7F7F"/>
              </w:rPr>
              <w:t>Board and specific committees to meet their stated oversight responsibilities</w:t>
            </w:r>
          </w:p>
        </w:tc>
        <w:tc>
          <w:tcPr>
            <w:tcW w:w="280" w:type="dxa"/>
            <w:vAlign w:val="bottom"/>
            <w:vMerge w:val="continue"/>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34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280" w:type="dxa"/>
            <w:vAlign w:val="bottom"/>
            <w:tcBorders>
              <w:bottom w:val="single" w:sz="8" w:color="F3F3F4"/>
            </w:tcBorders>
            <w:shd w:val="clear" w:color="auto" w:fill="F3F3F4"/>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34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 xml:space="preserve">Environmental: </w:t>
            </w:r>
            <w:r>
              <w:rPr>
                <w:rFonts w:ascii="Arial" w:cs="Arial" w:eastAsia="Arial" w:hAnsi="Arial"/>
                <w:sz w:val="15"/>
                <w:szCs w:val="15"/>
                <w:color w:val="7F7F7F"/>
              </w:rPr>
              <w:t>This oversight experience supports APA’s commitment to environmental</w:t>
            </w:r>
          </w:p>
        </w:tc>
        <w:tc>
          <w:tcPr>
            <w:tcW w:w="28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F3F3F4"/>
          </w:tcPr>
          <w:p>
            <w:pPr>
              <w:spacing w:after="0"/>
              <w:rPr>
                <w:sz w:val="17"/>
                <w:szCs w:val="17"/>
                <w:color w:val="auto"/>
              </w:rPr>
            </w:pPr>
          </w:p>
        </w:tc>
        <w:tc>
          <w:tcPr>
            <w:tcW w:w="340" w:type="dxa"/>
            <w:vAlign w:val="bottom"/>
            <w:tcBorders>
              <w:top w:val="single" w:sz="8" w:color="auto"/>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F3F3F4"/>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8"/>
        </w:trPr>
        <w:tc>
          <w:tcPr>
            <w:tcW w:w="6740" w:type="dxa"/>
            <w:vAlign w:val="bottom"/>
            <w:vMerge w:val="restart"/>
          </w:tcPr>
          <w:p>
            <w:pPr>
              <w:spacing w:after="0"/>
              <w:rPr>
                <w:sz w:val="20"/>
                <w:szCs w:val="20"/>
                <w:color w:val="auto"/>
              </w:rPr>
            </w:pPr>
            <w:r>
              <w:rPr>
                <w:rFonts w:ascii="Arial" w:cs="Arial" w:eastAsia="Arial" w:hAnsi="Arial"/>
                <w:sz w:val="15"/>
                <w:szCs w:val="15"/>
                <w:color w:val="7F7F7F"/>
              </w:rPr>
              <w:t>stewardship</w:t>
            </w:r>
          </w:p>
        </w:tc>
        <w:tc>
          <w:tcPr>
            <w:tcW w:w="280" w:type="dxa"/>
            <w:vAlign w:val="bottom"/>
            <w:vMerge w:val="continue"/>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vMerge w:val="continue"/>
          </w:tcPr>
          <w:p>
            <w:pPr>
              <w:spacing w:after="0"/>
              <w:rPr>
                <w:sz w:val="8"/>
                <w:szCs w:val="8"/>
                <w:color w:val="auto"/>
              </w:rPr>
            </w:pPr>
          </w:p>
        </w:tc>
        <w:tc>
          <w:tcPr>
            <w:tcW w:w="260" w:type="dxa"/>
            <w:vAlign w:val="bottom"/>
            <w:shd w:val="clear" w:color="auto" w:fill="F3F3F4"/>
          </w:tcPr>
          <w:p>
            <w:pPr>
              <w:spacing w:after="0"/>
              <w:rPr>
                <w:sz w:val="8"/>
                <w:szCs w:val="8"/>
                <w:color w:val="auto"/>
              </w:rPr>
            </w:pPr>
          </w:p>
        </w:tc>
        <w:tc>
          <w:tcPr>
            <w:tcW w:w="340" w:type="dxa"/>
            <w:vAlign w:val="bottom"/>
            <w:tcBorders>
              <w:right w:val="single" w:sz="8" w:color="F3F3F4"/>
            </w:tcBorders>
            <w:vMerge w:val="continue"/>
          </w:tcPr>
          <w:p>
            <w:pPr>
              <w:spacing w:after="0"/>
              <w:rPr>
                <w:sz w:val="8"/>
                <w:szCs w:val="8"/>
                <w:color w:val="auto"/>
              </w:rPr>
            </w:pPr>
          </w:p>
        </w:tc>
        <w:tc>
          <w:tcPr>
            <w:tcW w:w="260" w:type="dxa"/>
            <w:vAlign w:val="bottom"/>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right w:val="single" w:sz="8" w:color="F3F3F4"/>
            </w:tcBorders>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280" w:type="dxa"/>
            <w:vAlign w:val="bottom"/>
            <w:tcBorders>
              <w:bottom w:val="single" w:sz="8" w:color="F3F3F4"/>
            </w:tcBorders>
            <w:shd w:val="clear" w:color="auto" w:fill="F3F3F4"/>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34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 xml:space="preserve">Human Capital Management: </w:t>
            </w:r>
            <w:r>
              <w:rPr>
                <w:rFonts w:ascii="Arial" w:cs="Arial" w:eastAsia="Arial" w:hAnsi="Arial"/>
                <w:sz w:val="15"/>
                <w:szCs w:val="15"/>
                <w:color w:val="7F7F7F"/>
              </w:rPr>
              <w:t>With a significant number of employees worldwide, experience in</w:t>
            </w:r>
          </w:p>
        </w:tc>
        <w:tc>
          <w:tcPr>
            <w:tcW w:w="28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34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6740" w:type="dxa"/>
            <w:vAlign w:val="bottom"/>
            <w:vMerge w:val="restart"/>
          </w:tcPr>
          <w:p>
            <w:pPr>
              <w:spacing w:after="0"/>
              <w:rPr>
                <w:sz w:val="20"/>
                <w:szCs w:val="20"/>
                <w:color w:val="auto"/>
              </w:rPr>
            </w:pPr>
            <w:r>
              <w:rPr>
                <w:rFonts w:ascii="Arial" w:cs="Arial" w:eastAsia="Arial" w:hAnsi="Arial"/>
                <w:sz w:val="15"/>
                <w:szCs w:val="15"/>
                <w:color w:val="7F7F7F"/>
              </w:rPr>
              <w:t>engaging, developing, and retaining talent is key to APA’s long-term success</w:t>
            </w:r>
          </w:p>
        </w:tc>
        <w:tc>
          <w:tcPr>
            <w:tcW w:w="280" w:type="dxa"/>
            <w:vAlign w:val="bottom"/>
            <w:vMerge w:val="continue"/>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340" w:type="dxa"/>
            <w:vAlign w:val="bottom"/>
            <w:tcBorders>
              <w:right w:val="single" w:sz="8" w:color="F3F3F4"/>
            </w:tcBorders>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right w:val="single" w:sz="8" w:color="F3F3F4"/>
            </w:tcBorders>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6740" w:type="dxa"/>
            <w:vAlign w:val="bottom"/>
            <w:vMerge w:val="continue"/>
          </w:tcPr>
          <w:p>
            <w:pPr>
              <w:spacing w:after="0"/>
              <w:rPr>
                <w:sz w:val="14"/>
                <w:szCs w:val="14"/>
                <w:color w:val="auto"/>
              </w:rPr>
            </w:pPr>
          </w:p>
        </w:tc>
        <w:tc>
          <w:tcPr>
            <w:tcW w:w="280" w:type="dxa"/>
            <w:vAlign w:val="bottom"/>
            <w:tcBorders>
              <w:bottom w:val="single" w:sz="8" w:color="F3F3F4"/>
            </w:tcBorders>
            <w:shd w:val="clear" w:color="auto" w:fill="F3F3F4"/>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34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F3F3F4"/>
            </w:tcBorders>
          </w:tcPr>
          <w:p>
            <w:pPr>
              <w:spacing w:after="0"/>
              <w:rPr>
                <w:sz w:val="14"/>
                <w:szCs w:val="14"/>
                <w:color w:val="auto"/>
              </w:rPr>
            </w:pPr>
          </w:p>
        </w:tc>
        <w:tc>
          <w:tcPr>
            <w:tcW w:w="260" w:type="dxa"/>
            <w:vAlign w:val="bottom"/>
            <w:tcBorders>
              <w:bottom w:val="single" w:sz="8" w:color="F3F3F4"/>
            </w:tcBorders>
            <w:shd w:val="clear" w:color="auto" w:fill="F3F3F4"/>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 xml:space="preserve">Corporate Governance/Ethics: </w:t>
            </w:r>
            <w:r>
              <w:rPr>
                <w:rFonts w:ascii="Arial" w:cs="Arial" w:eastAsia="Arial" w:hAnsi="Arial"/>
                <w:sz w:val="15"/>
                <w:szCs w:val="15"/>
                <w:color w:val="7F7F7F"/>
              </w:rPr>
              <w:t>Understanding of corporate governance trends and best practices</w:t>
            </w:r>
          </w:p>
        </w:tc>
        <w:tc>
          <w:tcPr>
            <w:tcW w:w="280" w:type="dxa"/>
            <w:vAlign w:val="bottom"/>
            <w:tcBorders>
              <w:top w:val="single" w:sz="8" w:color="auto"/>
            </w:tcBorders>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right w:val="single" w:sz="8" w:color="F3F3F4"/>
            </w:tcBorders>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340" w:type="dxa"/>
            <w:vAlign w:val="bottom"/>
            <w:tcBorders>
              <w:top w:val="single" w:sz="8" w:color="auto"/>
              <w:right w:val="single" w:sz="8" w:color="F3F3F4"/>
            </w:tcBorders>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right w:val="single" w:sz="8" w:color="F3F3F4"/>
            </w:tcBorders>
          </w:tcPr>
          <w:p>
            <w:pPr>
              <w:jc w:val="center"/>
              <w:ind w:right="16"/>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right w:val="single" w:sz="8" w:color="F3F3F4"/>
            </w:tcBorders>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6"/>
        </w:trPr>
        <w:tc>
          <w:tcPr>
            <w:tcW w:w="6740" w:type="dxa"/>
            <w:vAlign w:val="bottom"/>
          </w:tcPr>
          <w:p>
            <w:pPr>
              <w:spacing w:after="0"/>
              <w:rPr>
                <w:sz w:val="20"/>
                <w:szCs w:val="20"/>
                <w:color w:val="auto"/>
              </w:rPr>
            </w:pPr>
            <w:r>
              <w:rPr>
                <w:rFonts w:ascii="Arial" w:cs="Arial" w:eastAsia="Arial" w:hAnsi="Arial"/>
                <w:sz w:val="15"/>
                <w:szCs w:val="15"/>
                <w:color w:val="7F7F7F"/>
              </w:rPr>
              <w:t>allows APA to continue meeting and exceeding the evolving expectations of our stakeholders</w:t>
            </w:r>
          </w:p>
        </w:tc>
        <w:tc>
          <w:tcPr>
            <w:tcW w:w="280" w:type="dxa"/>
            <w:vAlign w:val="bottom"/>
            <w:tcBorders>
              <w:bottom w:val="single" w:sz="8" w:color="F3F3F4"/>
            </w:tcBorders>
            <w:shd w:val="clear" w:color="auto" w:fill="F3F3F4"/>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right w:val="single" w:sz="8" w:color="F3F3F4"/>
            </w:tcBorders>
          </w:tcPr>
          <w:p>
            <w:pPr>
              <w:spacing w:after="0"/>
              <w:rPr>
                <w:sz w:val="21"/>
                <w:szCs w:val="21"/>
                <w:color w:val="auto"/>
              </w:rPr>
            </w:pPr>
          </w:p>
        </w:tc>
        <w:tc>
          <w:tcPr>
            <w:tcW w:w="260" w:type="dxa"/>
            <w:vAlign w:val="bottom"/>
            <w:tcBorders>
              <w:bottom w:val="single" w:sz="8" w:color="F3F3F4"/>
            </w:tcBorders>
            <w:shd w:val="clear" w:color="auto" w:fill="F3F3F4"/>
          </w:tcPr>
          <w:p>
            <w:pPr>
              <w:spacing w:after="0"/>
              <w:rPr>
                <w:sz w:val="21"/>
                <w:szCs w:val="21"/>
                <w:color w:val="auto"/>
              </w:rPr>
            </w:pPr>
          </w:p>
        </w:tc>
        <w:tc>
          <w:tcPr>
            <w:tcW w:w="340" w:type="dxa"/>
            <w:vAlign w:val="bottom"/>
            <w:tcBorders>
              <w:right w:val="single" w:sz="8" w:color="F3F3F4"/>
            </w:tcBorders>
          </w:tcPr>
          <w:p>
            <w:pPr>
              <w:spacing w:after="0"/>
              <w:rPr>
                <w:sz w:val="21"/>
                <w:szCs w:val="21"/>
                <w:color w:val="auto"/>
              </w:rPr>
            </w:pPr>
          </w:p>
        </w:tc>
        <w:tc>
          <w:tcPr>
            <w:tcW w:w="260" w:type="dxa"/>
            <w:vAlign w:val="bottom"/>
            <w:tcBorders>
              <w:bottom w:val="single" w:sz="8" w:color="F3F3F4"/>
            </w:tcBorders>
            <w:shd w:val="clear" w:color="auto" w:fill="F3F3F4"/>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Borders>
              <w:right w:val="single" w:sz="8" w:color="F3F3F4"/>
            </w:tcBorders>
          </w:tcPr>
          <w:p>
            <w:pPr>
              <w:spacing w:after="0"/>
              <w:rPr>
                <w:sz w:val="21"/>
                <w:szCs w:val="21"/>
                <w:color w:val="auto"/>
              </w:rPr>
            </w:pPr>
          </w:p>
        </w:tc>
        <w:tc>
          <w:tcPr>
            <w:tcW w:w="260" w:type="dxa"/>
            <w:vAlign w:val="bottom"/>
            <w:tcBorders>
              <w:bottom w:val="single" w:sz="8" w:color="F3F3F4"/>
            </w:tcBorders>
            <w:shd w:val="clear" w:color="auto" w:fill="F3F3F4"/>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right w:val="single" w:sz="8" w:color="F3F3F4"/>
            </w:tcBorders>
          </w:tcPr>
          <w:p>
            <w:pPr>
              <w:spacing w:after="0"/>
              <w:rPr>
                <w:sz w:val="21"/>
                <w:szCs w:val="21"/>
                <w:color w:val="auto"/>
              </w:rPr>
            </w:pPr>
          </w:p>
        </w:tc>
        <w:tc>
          <w:tcPr>
            <w:tcW w:w="260" w:type="dxa"/>
            <w:vAlign w:val="bottom"/>
            <w:tcBorders>
              <w:bottom w:val="single" w:sz="8" w:color="F3F3F4"/>
            </w:tcBorders>
            <w:shd w:val="clear" w:color="auto" w:fill="F3F3F4"/>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 xml:space="preserve">Executive/Senior Leadership: </w:t>
            </w:r>
            <w:r>
              <w:rPr>
                <w:rFonts w:ascii="Arial" w:cs="Arial" w:eastAsia="Arial" w:hAnsi="Arial"/>
                <w:sz w:val="15"/>
                <w:szCs w:val="15"/>
                <w:color w:val="7F7F7F"/>
              </w:rPr>
              <w:t>Senior leadership expertise allows our Board to provide effective</w:t>
            </w:r>
          </w:p>
        </w:tc>
        <w:tc>
          <w:tcPr>
            <w:tcW w:w="280" w:type="dxa"/>
            <w:vAlign w:val="bottom"/>
            <w:tcBorders>
              <w:top w:val="single" w:sz="8" w:color="auto"/>
            </w:tcBorders>
            <w:shd w:val="clear" w:color="auto" w:fill="F3F3F4"/>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shd w:val="clear" w:color="auto" w:fill="F3F3F4"/>
          </w:tcPr>
          <w:p>
            <w:pPr>
              <w:spacing w:after="0"/>
              <w:rPr>
                <w:sz w:val="17"/>
                <w:szCs w:val="17"/>
                <w:color w:val="auto"/>
              </w:rPr>
            </w:pPr>
          </w:p>
        </w:tc>
        <w:tc>
          <w:tcPr>
            <w:tcW w:w="34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shd w:val="clear" w:color="auto" w:fill="F3F3F4"/>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shd w:val="clear" w:color="auto" w:fill="F3F3F4"/>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shd w:val="clear" w:color="auto" w:fill="F3F3F4"/>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line="162" w:lineRule="exact"/>
              <w:rPr>
                <w:sz w:val="20"/>
                <w:szCs w:val="20"/>
                <w:color w:val="auto"/>
              </w:rPr>
            </w:pPr>
            <w:r>
              <w:rPr>
                <w:rFonts w:ascii="Arial" w:cs="Arial" w:eastAsia="Arial" w:hAnsi="Arial"/>
                <w:sz w:val="15"/>
                <w:szCs w:val="15"/>
                <w:color w:val="7F7F7F"/>
              </w:rPr>
              <w:t>oversight of and support to our management team across a variety of challenging and complex</w:t>
            </w:r>
          </w:p>
        </w:tc>
        <w:tc>
          <w:tcPr>
            <w:tcW w:w="280" w:type="dxa"/>
            <w:vAlign w:val="bottom"/>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20" w:type="dxa"/>
            <w:vAlign w:val="bottom"/>
            <w:tcBorders>
              <w:right w:val="single" w:sz="8" w:color="F3F3F4"/>
            </w:tcBorders>
          </w:tcPr>
          <w:p>
            <w:pPr>
              <w:spacing w:after="0"/>
              <w:rPr>
                <w:sz w:val="20"/>
                <w:szCs w:val="20"/>
                <w:color w:val="auto"/>
              </w:rPr>
            </w:pPr>
            <w:r>
              <w:rPr>
                <w:rFonts w:ascii="Arial" w:cs="Arial" w:eastAsia="Arial" w:hAnsi="Arial"/>
                <w:sz w:val="13"/>
                <w:szCs w:val="13"/>
                <w:color w:val="auto"/>
                <w:w w:val="99"/>
              </w:rPr>
              <w:t>CEO</w:t>
            </w:r>
          </w:p>
        </w:tc>
        <w:tc>
          <w:tcPr>
            <w:tcW w:w="260" w:type="dxa"/>
            <w:vAlign w:val="bottom"/>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340" w:type="dxa"/>
            <w:vAlign w:val="bottom"/>
            <w:tcBorders>
              <w:right w:val="single" w:sz="8" w:color="F3F3F4"/>
            </w:tcBorders>
          </w:tcPr>
          <w:p>
            <w:pPr>
              <w:ind w:left="20"/>
              <w:spacing w:after="0"/>
              <w:rPr>
                <w:sz w:val="20"/>
                <w:szCs w:val="20"/>
                <w:color w:val="auto"/>
              </w:rPr>
            </w:pPr>
            <w:r>
              <w:rPr>
                <w:rFonts w:ascii="Arial" w:cs="Arial" w:eastAsia="Arial" w:hAnsi="Arial"/>
                <w:sz w:val="13"/>
                <w:szCs w:val="13"/>
                <w:color w:val="auto"/>
              </w:rPr>
              <w:t>CFO</w:t>
            </w:r>
          </w:p>
        </w:tc>
        <w:tc>
          <w:tcPr>
            <w:tcW w:w="260" w:type="dxa"/>
            <w:vAlign w:val="bottom"/>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80" w:type="dxa"/>
            <w:vAlign w:val="bottom"/>
            <w:tcBorders>
              <w:right w:val="single" w:sz="8" w:color="F3F3F4"/>
            </w:tcBorders>
          </w:tcPr>
          <w:p>
            <w:pPr>
              <w:jc w:val="center"/>
              <w:ind w:right="16"/>
              <w:spacing w:after="0"/>
              <w:rPr>
                <w:sz w:val="20"/>
                <w:szCs w:val="20"/>
                <w:color w:val="auto"/>
              </w:rPr>
            </w:pPr>
            <w:r>
              <w:rPr>
                <w:rFonts w:ascii="Arial" w:cs="Arial" w:eastAsia="Arial" w:hAnsi="Arial"/>
                <w:sz w:val="13"/>
                <w:szCs w:val="13"/>
                <w:color w:val="auto"/>
              </w:rPr>
              <w:t>●</w:t>
            </w:r>
          </w:p>
        </w:tc>
        <w:tc>
          <w:tcPr>
            <w:tcW w:w="260" w:type="dxa"/>
            <w:vAlign w:val="bottom"/>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20" w:type="dxa"/>
            <w:vAlign w:val="bottom"/>
            <w:tcBorders>
              <w:right w:val="single" w:sz="8" w:color="F3F3F4"/>
            </w:tcBorders>
          </w:tcPr>
          <w:p>
            <w:pPr>
              <w:spacing w:after="0"/>
              <w:rPr>
                <w:sz w:val="20"/>
                <w:szCs w:val="20"/>
                <w:color w:val="auto"/>
              </w:rPr>
            </w:pPr>
            <w:r>
              <w:rPr>
                <w:rFonts w:ascii="Arial" w:cs="Arial" w:eastAsia="Arial" w:hAnsi="Arial"/>
                <w:sz w:val="13"/>
                <w:szCs w:val="13"/>
                <w:color w:val="auto"/>
              </w:rPr>
              <w:t>CFO</w:t>
            </w:r>
          </w:p>
        </w:tc>
        <w:tc>
          <w:tcPr>
            <w:tcW w:w="260" w:type="dxa"/>
            <w:vAlign w:val="bottom"/>
            <w:shd w:val="clear" w:color="auto" w:fill="F3F3F4"/>
          </w:tcPr>
          <w:p>
            <w:pPr>
              <w:spacing w:after="0"/>
              <w:rPr>
                <w:sz w:val="20"/>
                <w:szCs w:val="20"/>
                <w:color w:val="auto"/>
              </w:rPr>
            </w:pPr>
            <w:r>
              <w:rPr>
                <w:rFonts w:ascii="Arial" w:cs="Arial" w:eastAsia="Arial" w:hAnsi="Arial"/>
                <w:sz w:val="13"/>
                <w:szCs w:val="13"/>
                <w:color w:val="auto"/>
                <w:w w:val="87"/>
              </w:rPr>
              <w:t>CFO</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CFO</w:t>
            </w: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Arial" w:cs="Arial" w:eastAsia="Arial" w:hAnsi="Arial"/>
                <w:sz w:val="15"/>
                <w:szCs w:val="15"/>
                <w:color w:val="7F7F7F"/>
              </w:rPr>
              <w:t>matters</w:t>
            </w:r>
          </w:p>
        </w:tc>
        <w:tc>
          <w:tcPr>
            <w:tcW w:w="280" w:type="dxa"/>
            <w:vAlign w:val="bottom"/>
            <w:tcBorders>
              <w:bottom w:val="single" w:sz="8" w:color="F3F3F4"/>
            </w:tcBorders>
            <w:shd w:val="clear" w:color="auto" w:fill="F3F3F4"/>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right w:val="single" w:sz="8" w:color="F3F3F4"/>
            </w:tcBorders>
          </w:tcPr>
          <w:p>
            <w:pPr>
              <w:spacing w:after="0"/>
              <w:rPr>
                <w:sz w:val="22"/>
                <w:szCs w:val="22"/>
                <w:color w:val="auto"/>
              </w:rPr>
            </w:pPr>
          </w:p>
        </w:tc>
        <w:tc>
          <w:tcPr>
            <w:tcW w:w="260" w:type="dxa"/>
            <w:vAlign w:val="bottom"/>
            <w:tcBorders>
              <w:bottom w:val="single" w:sz="8" w:color="F3F3F4"/>
            </w:tcBorders>
            <w:shd w:val="clear" w:color="auto" w:fill="F3F3F4"/>
          </w:tcPr>
          <w:p>
            <w:pPr>
              <w:spacing w:after="0"/>
              <w:rPr>
                <w:sz w:val="22"/>
                <w:szCs w:val="22"/>
                <w:color w:val="auto"/>
              </w:rPr>
            </w:pPr>
          </w:p>
        </w:tc>
        <w:tc>
          <w:tcPr>
            <w:tcW w:w="340" w:type="dxa"/>
            <w:vAlign w:val="bottom"/>
            <w:tcBorders>
              <w:right w:val="single" w:sz="8" w:color="F3F3F4"/>
            </w:tcBorders>
          </w:tcPr>
          <w:p>
            <w:pPr>
              <w:spacing w:after="0"/>
              <w:rPr>
                <w:sz w:val="22"/>
                <w:szCs w:val="22"/>
                <w:color w:val="auto"/>
              </w:rPr>
            </w:pPr>
          </w:p>
        </w:tc>
        <w:tc>
          <w:tcPr>
            <w:tcW w:w="260" w:type="dxa"/>
            <w:vAlign w:val="bottom"/>
            <w:tcBorders>
              <w:bottom w:val="single" w:sz="8" w:color="F3F3F4"/>
            </w:tcBorders>
            <w:shd w:val="clear" w:color="auto" w:fill="F3F3F4"/>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right w:val="single" w:sz="8" w:color="F3F3F4"/>
            </w:tcBorders>
          </w:tcPr>
          <w:p>
            <w:pPr>
              <w:spacing w:after="0"/>
              <w:rPr>
                <w:sz w:val="22"/>
                <w:szCs w:val="22"/>
                <w:color w:val="auto"/>
              </w:rPr>
            </w:pPr>
          </w:p>
        </w:tc>
        <w:tc>
          <w:tcPr>
            <w:tcW w:w="260" w:type="dxa"/>
            <w:vAlign w:val="bottom"/>
            <w:tcBorders>
              <w:bottom w:val="single" w:sz="8" w:color="F3F3F4"/>
            </w:tcBorders>
            <w:shd w:val="clear" w:color="auto" w:fill="F3F3F4"/>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right w:val="single" w:sz="8" w:color="F3F3F4"/>
            </w:tcBorders>
          </w:tcPr>
          <w:p>
            <w:pPr>
              <w:spacing w:after="0"/>
              <w:rPr>
                <w:sz w:val="22"/>
                <w:szCs w:val="22"/>
                <w:color w:val="auto"/>
              </w:rPr>
            </w:pPr>
          </w:p>
        </w:tc>
        <w:tc>
          <w:tcPr>
            <w:tcW w:w="260" w:type="dxa"/>
            <w:vAlign w:val="bottom"/>
            <w:tcBorders>
              <w:bottom w:val="single" w:sz="8" w:color="F3F3F4"/>
            </w:tcBorders>
            <w:shd w:val="clear" w:color="auto" w:fill="F3F3F4"/>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 xml:space="preserve">Engineering/Tech/Cybersecurity: </w:t>
            </w:r>
            <w:r>
              <w:rPr>
                <w:rFonts w:ascii="Arial" w:cs="Arial" w:eastAsia="Arial" w:hAnsi="Arial"/>
                <w:sz w:val="15"/>
                <w:szCs w:val="15"/>
                <w:color w:val="7F7F7F"/>
              </w:rPr>
              <w:t>Engineering and technology expertise encourages APA to take</w:t>
            </w:r>
          </w:p>
        </w:tc>
        <w:tc>
          <w:tcPr>
            <w:tcW w:w="280" w:type="dxa"/>
            <w:vAlign w:val="bottom"/>
            <w:tcBorders>
              <w:top w:val="single" w:sz="8" w:color="auto"/>
            </w:tcBorders>
            <w:shd w:val="clear" w:color="auto" w:fill="F3F3F4"/>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shd w:val="clear" w:color="auto" w:fill="F3F3F4"/>
          </w:tcPr>
          <w:p>
            <w:pPr>
              <w:spacing w:after="0"/>
              <w:rPr>
                <w:sz w:val="17"/>
                <w:szCs w:val="17"/>
                <w:color w:val="auto"/>
              </w:rPr>
            </w:pPr>
          </w:p>
        </w:tc>
        <w:tc>
          <w:tcPr>
            <w:tcW w:w="34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shd w:val="clear" w:color="auto" w:fill="F3F3F4"/>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shd w:val="clear" w:color="auto" w:fill="F3F3F4"/>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shd w:val="clear" w:color="auto" w:fill="F3F3F4"/>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line="162" w:lineRule="exact"/>
              <w:rPr>
                <w:sz w:val="20"/>
                <w:szCs w:val="20"/>
                <w:color w:val="auto"/>
              </w:rPr>
            </w:pPr>
            <w:r>
              <w:rPr>
                <w:rFonts w:ascii="Arial" w:cs="Arial" w:eastAsia="Arial" w:hAnsi="Arial"/>
                <w:sz w:val="15"/>
                <w:szCs w:val="15"/>
                <w:color w:val="7F7F7F"/>
              </w:rPr>
              <w:t>a differentiated approach to exploration and production, while cybersecurity expertise helps to</w:t>
            </w:r>
          </w:p>
        </w:tc>
        <w:tc>
          <w:tcPr>
            <w:tcW w:w="280" w:type="dxa"/>
            <w:vAlign w:val="bottom"/>
            <w:shd w:val="clear" w:color="auto" w:fill="F3F3F4"/>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right w:val="single" w:sz="8" w:color="F3F3F4"/>
            </w:tcBorders>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F3F3F4"/>
          </w:tcPr>
          <w:p>
            <w:pPr>
              <w:spacing w:after="0"/>
              <w:rPr>
                <w:sz w:val="14"/>
                <w:szCs w:val="14"/>
                <w:color w:val="auto"/>
              </w:rPr>
            </w:pPr>
          </w:p>
        </w:tc>
        <w:tc>
          <w:tcPr>
            <w:tcW w:w="340" w:type="dxa"/>
            <w:vAlign w:val="bottom"/>
            <w:tcBorders>
              <w:right w:val="single" w:sz="8" w:color="F3F3F4"/>
            </w:tcBorders>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80" w:type="dxa"/>
            <w:vAlign w:val="bottom"/>
            <w:tcBorders>
              <w:right w:val="single" w:sz="8" w:color="F3F3F4"/>
            </w:tcBorders>
          </w:tcPr>
          <w:p>
            <w:pPr>
              <w:jc w:val="center"/>
              <w:ind w:right="16"/>
              <w:spacing w:after="0"/>
              <w:rPr>
                <w:sz w:val="20"/>
                <w:szCs w:val="20"/>
                <w:color w:val="auto"/>
              </w:rPr>
            </w:pPr>
            <w:r>
              <w:rPr>
                <w:rFonts w:ascii="Arial" w:cs="Arial" w:eastAsia="Arial" w:hAnsi="Arial"/>
                <w:sz w:val="13"/>
                <w:szCs w:val="13"/>
                <w:color w:val="auto"/>
              </w:rPr>
              <w:t>●</w:t>
            </w:r>
          </w:p>
        </w:tc>
        <w:tc>
          <w:tcPr>
            <w:tcW w:w="260" w:type="dxa"/>
            <w:vAlign w:val="bottom"/>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320" w:type="dxa"/>
            <w:vAlign w:val="bottom"/>
            <w:tcBorders>
              <w:right w:val="single" w:sz="8" w:color="F3F3F4"/>
            </w:tcBorders>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6740" w:type="dxa"/>
            <w:vAlign w:val="bottom"/>
          </w:tcPr>
          <w:p>
            <w:pPr>
              <w:spacing w:after="0"/>
              <w:rPr>
                <w:sz w:val="20"/>
                <w:szCs w:val="20"/>
                <w:color w:val="auto"/>
              </w:rPr>
            </w:pPr>
            <w:r>
              <w:rPr>
                <w:rFonts w:ascii="Arial" w:cs="Arial" w:eastAsia="Arial" w:hAnsi="Arial"/>
                <w:sz w:val="15"/>
                <w:szCs w:val="15"/>
                <w:color w:val="7F7F7F"/>
              </w:rPr>
              <w:t>protect these efforts</w:t>
            </w:r>
          </w:p>
        </w:tc>
        <w:tc>
          <w:tcPr>
            <w:tcW w:w="280" w:type="dxa"/>
            <w:vAlign w:val="bottom"/>
            <w:tcBorders>
              <w:bottom w:val="single" w:sz="8" w:color="F3F3F4"/>
            </w:tcBorders>
            <w:shd w:val="clear" w:color="auto" w:fill="F3F3F4"/>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right w:val="single" w:sz="8" w:color="F3F3F4"/>
            </w:tcBorders>
          </w:tcPr>
          <w:p>
            <w:pPr>
              <w:spacing w:after="0"/>
              <w:rPr>
                <w:sz w:val="22"/>
                <w:szCs w:val="22"/>
                <w:color w:val="auto"/>
              </w:rPr>
            </w:pPr>
          </w:p>
        </w:tc>
        <w:tc>
          <w:tcPr>
            <w:tcW w:w="260" w:type="dxa"/>
            <w:vAlign w:val="bottom"/>
            <w:tcBorders>
              <w:bottom w:val="single" w:sz="8" w:color="F3F3F4"/>
            </w:tcBorders>
            <w:shd w:val="clear" w:color="auto" w:fill="F3F3F4"/>
          </w:tcPr>
          <w:p>
            <w:pPr>
              <w:spacing w:after="0"/>
              <w:rPr>
                <w:sz w:val="22"/>
                <w:szCs w:val="22"/>
                <w:color w:val="auto"/>
              </w:rPr>
            </w:pPr>
          </w:p>
        </w:tc>
        <w:tc>
          <w:tcPr>
            <w:tcW w:w="340" w:type="dxa"/>
            <w:vAlign w:val="bottom"/>
            <w:tcBorders>
              <w:right w:val="single" w:sz="8" w:color="F3F3F4"/>
            </w:tcBorders>
          </w:tcPr>
          <w:p>
            <w:pPr>
              <w:spacing w:after="0"/>
              <w:rPr>
                <w:sz w:val="22"/>
                <w:szCs w:val="22"/>
                <w:color w:val="auto"/>
              </w:rPr>
            </w:pPr>
          </w:p>
        </w:tc>
        <w:tc>
          <w:tcPr>
            <w:tcW w:w="260" w:type="dxa"/>
            <w:vAlign w:val="bottom"/>
            <w:tcBorders>
              <w:bottom w:val="single" w:sz="8" w:color="F3F3F4"/>
            </w:tcBorders>
            <w:shd w:val="clear" w:color="auto" w:fill="F3F3F4"/>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right w:val="single" w:sz="8" w:color="F3F3F4"/>
            </w:tcBorders>
          </w:tcPr>
          <w:p>
            <w:pPr>
              <w:spacing w:after="0"/>
              <w:rPr>
                <w:sz w:val="22"/>
                <w:szCs w:val="22"/>
                <w:color w:val="auto"/>
              </w:rPr>
            </w:pPr>
          </w:p>
        </w:tc>
        <w:tc>
          <w:tcPr>
            <w:tcW w:w="260" w:type="dxa"/>
            <w:vAlign w:val="bottom"/>
            <w:tcBorders>
              <w:bottom w:val="single" w:sz="8" w:color="F3F3F4"/>
            </w:tcBorders>
            <w:shd w:val="clear" w:color="auto" w:fill="F3F3F4"/>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right w:val="single" w:sz="8" w:color="F3F3F4"/>
            </w:tcBorders>
          </w:tcPr>
          <w:p>
            <w:pPr>
              <w:spacing w:after="0"/>
              <w:rPr>
                <w:sz w:val="22"/>
                <w:szCs w:val="22"/>
                <w:color w:val="auto"/>
              </w:rPr>
            </w:pPr>
          </w:p>
        </w:tc>
        <w:tc>
          <w:tcPr>
            <w:tcW w:w="260" w:type="dxa"/>
            <w:vAlign w:val="bottom"/>
            <w:tcBorders>
              <w:bottom w:val="single" w:sz="8" w:color="F3F3F4"/>
            </w:tcBorders>
            <w:shd w:val="clear" w:color="auto" w:fill="F3F3F4"/>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7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 xml:space="preserve">Operations: </w:t>
            </w:r>
            <w:r>
              <w:rPr>
                <w:rFonts w:ascii="Arial" w:cs="Arial" w:eastAsia="Arial" w:hAnsi="Arial"/>
                <w:sz w:val="15"/>
                <w:szCs w:val="15"/>
                <w:color w:val="7F7F7F"/>
              </w:rPr>
              <w:t>Operational expertise supports our relentless focus on costs and performance</w:t>
            </w:r>
          </w:p>
        </w:tc>
        <w:tc>
          <w:tcPr>
            <w:tcW w:w="28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F3F3F4"/>
          </w:tcPr>
          <w:p>
            <w:pPr>
              <w:spacing w:after="0"/>
              <w:rPr>
                <w:sz w:val="17"/>
                <w:szCs w:val="17"/>
                <w:color w:val="auto"/>
              </w:rPr>
            </w:pPr>
          </w:p>
        </w:tc>
        <w:tc>
          <w:tcPr>
            <w:tcW w:w="340" w:type="dxa"/>
            <w:vAlign w:val="bottom"/>
            <w:tcBorders>
              <w:top w:val="single" w:sz="8" w:color="auto"/>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F3F3F4"/>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right w:val="single" w:sz="8" w:color="F3F3F4"/>
            </w:tcBorders>
          </w:tcPr>
          <w:p>
            <w:pPr>
              <w:spacing w:after="0"/>
              <w:rPr>
                <w:sz w:val="17"/>
                <w:szCs w:val="17"/>
                <w:color w:val="auto"/>
              </w:rPr>
            </w:pPr>
          </w:p>
        </w:tc>
        <w:tc>
          <w:tcPr>
            <w:tcW w:w="26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right w:val="single" w:sz="8" w:color="F3F3F4"/>
            </w:tcBorders>
            <w:vMerge w:val="restart"/>
          </w:tcPr>
          <w:p>
            <w:pPr>
              <w:jc w:val="center"/>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vMerge w:val="restart"/>
            <w:shd w:val="clear" w:color="auto" w:fill="F3F3F4"/>
          </w:tcPr>
          <w:p>
            <w:pPr>
              <w:jc w:val="center"/>
              <w:spacing w:after="0"/>
              <w:rPr>
                <w:sz w:val="20"/>
                <w:szCs w:val="20"/>
                <w:color w:val="auto"/>
              </w:rPr>
            </w:pPr>
            <w:r>
              <w:rPr>
                <w:rFonts w:ascii="Arial" w:cs="Arial" w:eastAsia="Arial" w:hAnsi="Arial"/>
                <w:sz w:val="13"/>
                <w:szCs w:val="13"/>
                <w:color w:val="auto"/>
                <w:w w:val="75"/>
              </w:rPr>
              <w:t>●</w:t>
            </w: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6740" w:type="dxa"/>
            <w:vAlign w:val="bottom"/>
            <w:vMerge w:val="restart"/>
          </w:tcPr>
          <w:p>
            <w:pPr>
              <w:spacing w:after="0"/>
              <w:rPr>
                <w:sz w:val="20"/>
                <w:szCs w:val="20"/>
                <w:color w:val="auto"/>
              </w:rPr>
            </w:pPr>
            <w:r>
              <w:rPr>
                <w:rFonts w:ascii="Arial" w:cs="Arial" w:eastAsia="Arial" w:hAnsi="Arial"/>
                <w:sz w:val="15"/>
                <w:szCs w:val="15"/>
                <w:color w:val="7F7F7F"/>
              </w:rPr>
              <w:t>excellence, which allows APA to deliver top tier returns to our shareholders</w:t>
            </w:r>
          </w:p>
        </w:tc>
        <w:tc>
          <w:tcPr>
            <w:tcW w:w="280" w:type="dxa"/>
            <w:vAlign w:val="bottom"/>
            <w:vMerge w:val="continue"/>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vMerge w:val="continue"/>
          </w:tcPr>
          <w:p>
            <w:pPr>
              <w:spacing w:after="0"/>
              <w:rPr>
                <w:sz w:val="8"/>
                <w:szCs w:val="8"/>
                <w:color w:val="auto"/>
              </w:rPr>
            </w:pPr>
          </w:p>
        </w:tc>
        <w:tc>
          <w:tcPr>
            <w:tcW w:w="260" w:type="dxa"/>
            <w:vAlign w:val="bottom"/>
            <w:shd w:val="clear" w:color="auto" w:fill="F3F3F4"/>
          </w:tcPr>
          <w:p>
            <w:pPr>
              <w:spacing w:after="0"/>
              <w:rPr>
                <w:sz w:val="8"/>
                <w:szCs w:val="8"/>
                <w:color w:val="auto"/>
              </w:rPr>
            </w:pPr>
          </w:p>
        </w:tc>
        <w:tc>
          <w:tcPr>
            <w:tcW w:w="340" w:type="dxa"/>
            <w:vAlign w:val="bottom"/>
            <w:tcBorders>
              <w:right w:val="single" w:sz="8" w:color="F3F3F4"/>
            </w:tcBorders>
            <w:vMerge w:val="continue"/>
          </w:tcPr>
          <w:p>
            <w:pPr>
              <w:spacing w:after="0"/>
              <w:rPr>
                <w:sz w:val="8"/>
                <w:szCs w:val="8"/>
                <w:color w:val="auto"/>
              </w:rPr>
            </w:pPr>
          </w:p>
        </w:tc>
        <w:tc>
          <w:tcPr>
            <w:tcW w:w="260" w:type="dxa"/>
            <w:vAlign w:val="bottom"/>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right w:val="single" w:sz="8" w:color="F3F3F4"/>
            </w:tcBorders>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right w:val="single" w:sz="8" w:color="F3F3F4"/>
            </w:tcBorders>
            <w:vMerge w:val="continue"/>
          </w:tcPr>
          <w:p>
            <w:pPr>
              <w:spacing w:after="0"/>
              <w:rPr>
                <w:sz w:val="8"/>
                <w:szCs w:val="8"/>
                <w:color w:val="auto"/>
              </w:rPr>
            </w:pPr>
          </w:p>
        </w:tc>
        <w:tc>
          <w:tcPr>
            <w:tcW w:w="260" w:type="dxa"/>
            <w:vAlign w:val="bottom"/>
            <w:vMerge w:val="continue"/>
            <w:shd w:val="clear" w:color="auto" w:fill="F3F3F4"/>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6740" w:type="dxa"/>
            <w:vAlign w:val="bottom"/>
            <w:vMerge w:val="continue"/>
          </w:tcPr>
          <w:p>
            <w:pPr>
              <w:spacing w:after="0"/>
              <w:rPr>
                <w:sz w:val="12"/>
                <w:szCs w:val="12"/>
                <w:color w:val="auto"/>
              </w:rPr>
            </w:pPr>
          </w:p>
        </w:tc>
        <w:tc>
          <w:tcPr>
            <w:tcW w:w="280" w:type="dxa"/>
            <w:vAlign w:val="bottom"/>
            <w:tcBorders>
              <w:bottom w:val="single" w:sz="8" w:color="F3F3F4"/>
            </w:tcBorders>
            <w:shd w:val="clear" w:color="auto" w:fill="F3F3F4"/>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F3F3F4"/>
            </w:tcBorders>
          </w:tcPr>
          <w:p>
            <w:pPr>
              <w:spacing w:after="0"/>
              <w:rPr>
                <w:sz w:val="12"/>
                <w:szCs w:val="12"/>
                <w:color w:val="auto"/>
              </w:rPr>
            </w:pPr>
          </w:p>
        </w:tc>
        <w:tc>
          <w:tcPr>
            <w:tcW w:w="260" w:type="dxa"/>
            <w:vAlign w:val="bottom"/>
            <w:tcBorders>
              <w:bottom w:val="single" w:sz="8" w:color="F3F3F4"/>
            </w:tcBorders>
            <w:shd w:val="clear" w:color="auto" w:fill="F3F3F4"/>
          </w:tcPr>
          <w:p>
            <w:pPr>
              <w:spacing w:after="0"/>
              <w:rPr>
                <w:sz w:val="12"/>
                <w:szCs w:val="12"/>
                <w:color w:val="auto"/>
              </w:rPr>
            </w:pPr>
          </w:p>
        </w:tc>
        <w:tc>
          <w:tcPr>
            <w:tcW w:w="340" w:type="dxa"/>
            <w:vAlign w:val="bottom"/>
            <w:tcBorders>
              <w:right w:val="single" w:sz="8" w:color="F3F3F4"/>
            </w:tcBorders>
          </w:tcPr>
          <w:p>
            <w:pPr>
              <w:spacing w:after="0"/>
              <w:rPr>
                <w:sz w:val="12"/>
                <w:szCs w:val="12"/>
                <w:color w:val="auto"/>
              </w:rPr>
            </w:pPr>
          </w:p>
        </w:tc>
        <w:tc>
          <w:tcPr>
            <w:tcW w:w="260" w:type="dxa"/>
            <w:vAlign w:val="bottom"/>
            <w:tcBorders>
              <w:bottom w:val="single" w:sz="8" w:color="F3F3F4"/>
            </w:tcBorders>
            <w:shd w:val="clear" w:color="auto" w:fill="F3F3F4"/>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right w:val="single" w:sz="8" w:color="F3F3F4"/>
            </w:tcBorders>
          </w:tcPr>
          <w:p>
            <w:pPr>
              <w:spacing w:after="0"/>
              <w:rPr>
                <w:sz w:val="12"/>
                <w:szCs w:val="12"/>
                <w:color w:val="auto"/>
              </w:rPr>
            </w:pPr>
          </w:p>
        </w:tc>
        <w:tc>
          <w:tcPr>
            <w:tcW w:w="260" w:type="dxa"/>
            <w:vAlign w:val="bottom"/>
            <w:tcBorders>
              <w:bottom w:val="single" w:sz="8" w:color="F3F3F4"/>
            </w:tcBorders>
            <w:shd w:val="clear" w:color="auto" w:fill="F3F3F4"/>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right w:val="single" w:sz="8" w:color="F3F3F4"/>
            </w:tcBorders>
          </w:tcPr>
          <w:p>
            <w:pPr>
              <w:spacing w:after="0"/>
              <w:rPr>
                <w:sz w:val="12"/>
                <w:szCs w:val="12"/>
                <w:color w:val="auto"/>
              </w:rPr>
            </w:pPr>
          </w:p>
        </w:tc>
        <w:tc>
          <w:tcPr>
            <w:tcW w:w="260" w:type="dxa"/>
            <w:vAlign w:val="bottom"/>
            <w:tcBorders>
              <w:bottom w:val="single" w:sz="8" w:color="F3F3F4"/>
            </w:tcBorders>
            <w:shd w:val="clear" w:color="auto" w:fill="F3F3F4"/>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20" w:hanging="398"/>
        <w:spacing w:after="0"/>
        <w:tabs>
          <w:tab w:leader="none" w:pos="42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08" w:right="1099" w:bottom="1440" w:gutter="0" w:footer="0" w:header="0"/>
        </w:sectPr>
      </w:pPr>
    </w:p>
    <w:bookmarkStart w:id="13" w:name="page14"/>
    <w:bookmarkEnd w:id="13"/>
    <w:p>
      <w:pPr>
        <w:spacing w:after="0"/>
        <w:rPr>
          <w:sz w:val="20"/>
          <w:szCs w:val="20"/>
          <w:color w:val="auto"/>
        </w:rPr>
      </w:pPr>
      <w:r>
        <w:rPr>
          <w:rFonts w:ascii="Arial" w:cs="Arial" w:eastAsia="Arial" w:hAnsi="Arial"/>
          <w:sz w:val="28"/>
          <w:szCs w:val="28"/>
          <w:b w:val="1"/>
          <w:bCs w:val="1"/>
          <w:color w:val="auto"/>
        </w:rPr>
        <w:t>Nominees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61722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104" w:right="1099" w:bottom="10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-1170305</wp:posOffset>
            </wp:positionV>
            <wp:extent cx="994410" cy="9944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94410" cy="99441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May 2014</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APA Committees: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D6AF00"/>
        </w:rPr>
        <w:t xml:space="preserve">– </w:t>
      </w:r>
      <w:r>
        <w:rPr>
          <w:rFonts w:ascii="Arial" w:cs="Arial" w:eastAsia="Arial" w:hAnsi="Arial"/>
          <w:sz w:val="16"/>
          <w:szCs w:val="16"/>
          <w:color w:val="000000"/>
        </w:rPr>
        <w:t>CRG&amp;N,</w:t>
      </w:r>
      <w:r>
        <w:rPr>
          <w:rFonts w:ascii="Arial" w:cs="Arial" w:eastAsia="Arial" w:hAnsi="Arial"/>
          <w:sz w:val="16"/>
          <w:szCs w:val="16"/>
          <w:color w:val="D6AF00"/>
        </w:rPr>
        <w:t xml:space="preserve"> </w:t>
      </w:r>
      <w:r>
        <w:rPr>
          <w:rFonts w:ascii="Arial" w:cs="Arial" w:eastAsia="Arial" w:hAnsi="Arial"/>
          <w:sz w:val="16"/>
          <w:szCs w:val="16"/>
          <w:i w:val="1"/>
          <w:iCs w:val="1"/>
          <w:color w:val="000000"/>
        </w:rPr>
        <w:t>Chair</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color w:val="D6AF00"/>
        </w:rPr>
        <w:t xml:space="preserve">– </w:t>
      </w:r>
      <w:r>
        <w:rPr>
          <w:rFonts w:ascii="Arial" w:cs="Arial" w:eastAsia="Arial" w:hAnsi="Arial"/>
          <w:sz w:val="16"/>
          <w:szCs w:val="16"/>
          <w:color w:val="000000"/>
        </w:rPr>
        <w:t>MD&amp;C</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D6AF00"/>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ANNELL R. BAY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Reasons for Nomination to Our Board</w:t>
      </w:r>
    </w:p>
    <w:p>
      <w:pPr>
        <w:spacing w:after="0" w:line="73" w:lineRule="exact"/>
        <w:rPr>
          <w:sz w:val="20"/>
          <w:szCs w:val="20"/>
          <w:color w:val="auto"/>
        </w:rPr>
      </w:pPr>
    </w:p>
    <w:p>
      <w:pPr>
        <w:ind w:left="280" w:right="160" w:hanging="128"/>
        <w:spacing w:after="0" w:line="221" w:lineRule="auto"/>
        <w:tabs>
          <w:tab w:leader="none" w:pos="280" w:val="left"/>
        </w:tabs>
        <w:numPr>
          <w:ilvl w:val="0"/>
          <w:numId w:val="29"/>
        </w:numPr>
        <w:rPr>
          <w:rFonts w:ascii="Times New Roman" w:cs="Times New Roman" w:eastAsia="Times New Roman" w:hAnsi="Times New Roman"/>
          <w:sz w:val="22"/>
          <w:szCs w:val="22"/>
          <w:color w:val="D9AB28"/>
        </w:rPr>
      </w:pPr>
      <w:r>
        <w:rPr>
          <w:rFonts w:ascii="Arial" w:cs="Arial" w:eastAsia="Arial" w:hAnsi="Arial"/>
          <w:sz w:val="16"/>
          <w:szCs w:val="16"/>
          <w:color w:val="auto"/>
        </w:rPr>
        <w:t>With her extensive experience in the global oil and gas industry, Ms. Bay brings critical expertise and oversight of the Company’s strategic exploration and operations projects around the world.</w:t>
      </w:r>
    </w:p>
    <w:p>
      <w:pPr>
        <w:spacing w:after="0" w:line="16" w:lineRule="exact"/>
        <w:rPr>
          <w:rFonts w:ascii="Times New Roman" w:cs="Times New Roman" w:eastAsia="Times New Roman" w:hAnsi="Times New Roman"/>
          <w:sz w:val="22"/>
          <w:szCs w:val="22"/>
          <w:color w:val="D9AB28"/>
        </w:rPr>
      </w:pPr>
    </w:p>
    <w:p>
      <w:pPr>
        <w:ind w:left="280" w:hanging="128"/>
        <w:spacing w:after="0" w:line="229" w:lineRule="auto"/>
        <w:tabs>
          <w:tab w:leader="none" w:pos="280" w:val="left"/>
        </w:tabs>
        <w:numPr>
          <w:ilvl w:val="0"/>
          <w:numId w:val="29"/>
        </w:numPr>
        <w:rPr>
          <w:rFonts w:ascii="Times New Roman" w:cs="Times New Roman" w:eastAsia="Times New Roman" w:hAnsi="Times New Roman"/>
          <w:sz w:val="22"/>
          <w:szCs w:val="22"/>
          <w:color w:val="D9AB28"/>
        </w:rPr>
      </w:pPr>
      <w:r>
        <w:rPr>
          <w:rFonts w:ascii="Arial" w:cs="Arial" w:eastAsia="Arial" w:hAnsi="Arial"/>
          <w:sz w:val="16"/>
          <w:szCs w:val="16"/>
          <w:color w:val="auto"/>
        </w:rPr>
        <w:t>Ms. Bay’s relationships with some of the world’s top academic and industry-focused institutions provide APA with rare insight into the latest scientific developments, allowing us to maintain our competitive advantage.</w:t>
      </w:r>
    </w:p>
    <w:p>
      <w:pPr>
        <w:spacing w:after="0" w:line="15" w:lineRule="exact"/>
        <w:rPr>
          <w:rFonts w:ascii="Times New Roman" w:cs="Times New Roman" w:eastAsia="Times New Roman" w:hAnsi="Times New Roman"/>
          <w:sz w:val="22"/>
          <w:szCs w:val="22"/>
          <w:color w:val="D9AB28"/>
        </w:rPr>
      </w:pPr>
    </w:p>
    <w:p>
      <w:pPr>
        <w:jc w:val="both"/>
        <w:ind w:left="280" w:right="660" w:hanging="128"/>
        <w:spacing w:after="0" w:line="229" w:lineRule="auto"/>
        <w:tabs>
          <w:tab w:leader="none" w:pos="280" w:val="left"/>
        </w:tabs>
        <w:numPr>
          <w:ilvl w:val="0"/>
          <w:numId w:val="29"/>
        </w:numPr>
        <w:rPr>
          <w:rFonts w:ascii="Times New Roman" w:cs="Times New Roman" w:eastAsia="Times New Roman" w:hAnsi="Times New Roman"/>
          <w:sz w:val="22"/>
          <w:szCs w:val="22"/>
          <w:color w:val="D9AB28"/>
        </w:rPr>
      </w:pPr>
      <w:r>
        <w:rPr>
          <w:rFonts w:ascii="Arial" w:cs="Arial" w:eastAsia="Arial" w:hAnsi="Arial"/>
          <w:sz w:val="16"/>
          <w:szCs w:val="16"/>
          <w:color w:val="auto"/>
        </w:rPr>
        <w:t>As a prior member of public company boards in two countries with vastly different governance regulatory regimes, Ms. Bay brings unique governance perspective and understanding of best practices to the Board.</w:t>
      </w:r>
    </w:p>
    <w:p>
      <w:pPr>
        <w:spacing w:after="0" w:line="15" w:lineRule="exact"/>
        <w:rPr>
          <w:rFonts w:ascii="Times New Roman" w:cs="Times New Roman" w:eastAsia="Times New Roman" w:hAnsi="Times New Roman"/>
          <w:sz w:val="22"/>
          <w:szCs w:val="22"/>
          <w:color w:val="D9AB28"/>
        </w:rPr>
      </w:pPr>
    </w:p>
    <w:p>
      <w:pPr>
        <w:ind w:left="280" w:right="200" w:hanging="128"/>
        <w:spacing w:after="0" w:line="221" w:lineRule="auto"/>
        <w:tabs>
          <w:tab w:leader="none" w:pos="280" w:val="left"/>
        </w:tabs>
        <w:numPr>
          <w:ilvl w:val="0"/>
          <w:numId w:val="29"/>
        </w:numPr>
        <w:rPr>
          <w:rFonts w:ascii="Times New Roman" w:cs="Times New Roman" w:eastAsia="Times New Roman" w:hAnsi="Times New Roman"/>
          <w:sz w:val="22"/>
          <w:szCs w:val="22"/>
          <w:color w:val="D9AB28"/>
        </w:rPr>
      </w:pPr>
      <w:r>
        <w:rPr>
          <w:rFonts w:ascii="Arial" w:cs="Arial" w:eastAsia="Arial" w:hAnsi="Arial"/>
          <w:sz w:val="16"/>
          <w:szCs w:val="16"/>
          <w:color w:val="auto"/>
        </w:rPr>
        <w:t>Having served as Chair of our CRG&amp;N Committee and a member of our MD&amp;C Committee, Ms. Bay has been a driving force behind APA’s approach to sustainability leadership and engagement.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Leadership Experience, Service, and Qualifications</w:t>
      </w:r>
    </w:p>
    <w:p>
      <w:pPr>
        <w:spacing w:after="0" w:line="32" w:lineRule="exact"/>
        <w:rPr>
          <w:sz w:val="20"/>
          <w:szCs w:val="20"/>
          <w:color w:val="auto"/>
        </w:rPr>
      </w:pPr>
    </w:p>
    <w:p>
      <w:pPr>
        <w:ind w:left="300" w:hanging="148"/>
        <w:spacing w:after="0"/>
        <w:tabs>
          <w:tab w:leader="none" w:pos="300" w:val="left"/>
        </w:tabs>
        <w:numPr>
          <w:ilvl w:val="0"/>
          <w:numId w:val="30"/>
        </w:numPr>
        <w:rPr>
          <w:rFonts w:ascii="Times New Roman" w:cs="Times New Roman" w:eastAsia="Times New Roman" w:hAnsi="Times New Roman"/>
          <w:sz w:val="22"/>
          <w:szCs w:val="22"/>
          <w:color w:val="D9AB28"/>
        </w:rPr>
      </w:pPr>
      <w:r>
        <w:rPr>
          <w:rFonts w:ascii="Arial" w:cs="Arial" w:eastAsia="Arial" w:hAnsi="Arial"/>
          <w:sz w:val="16"/>
          <w:szCs w:val="16"/>
          <w:color w:val="auto"/>
        </w:rPr>
        <w:t>Advisory board member, Jackson School of Geosciences, University of Texas at Austin</w:t>
      </w:r>
    </w:p>
    <w:p>
      <w:pPr>
        <w:spacing w:after="0" w:line="14" w:lineRule="exact"/>
        <w:rPr>
          <w:rFonts w:ascii="Times New Roman" w:cs="Times New Roman" w:eastAsia="Times New Roman" w:hAnsi="Times New Roman"/>
          <w:sz w:val="22"/>
          <w:szCs w:val="22"/>
          <w:color w:val="D9AB28"/>
        </w:rPr>
      </w:pPr>
    </w:p>
    <w:p>
      <w:pPr>
        <w:ind w:left="300" w:hanging="148"/>
        <w:spacing w:after="0" w:line="217" w:lineRule="auto"/>
        <w:tabs>
          <w:tab w:leader="none" w:pos="300" w:val="left"/>
        </w:tabs>
        <w:numPr>
          <w:ilvl w:val="0"/>
          <w:numId w:val="30"/>
        </w:numPr>
        <w:rPr>
          <w:rFonts w:ascii="Times New Roman" w:cs="Times New Roman" w:eastAsia="Times New Roman" w:hAnsi="Times New Roman"/>
          <w:sz w:val="22"/>
          <w:szCs w:val="22"/>
          <w:color w:val="D9AB28"/>
        </w:rPr>
      </w:pPr>
      <w:r>
        <w:rPr>
          <w:rFonts w:ascii="Arial" w:cs="Arial" w:eastAsia="Arial" w:hAnsi="Arial"/>
          <w:sz w:val="16"/>
          <w:szCs w:val="16"/>
          <w:color w:val="auto"/>
        </w:rPr>
        <w:t>Trustee, Trinity University</w:t>
      </w:r>
    </w:p>
    <w:p>
      <w:pPr>
        <w:spacing w:after="0" w:line="28" w:lineRule="exact"/>
        <w:rPr>
          <w:rFonts w:ascii="Times New Roman" w:cs="Times New Roman" w:eastAsia="Times New Roman" w:hAnsi="Times New Roman"/>
          <w:sz w:val="22"/>
          <w:szCs w:val="22"/>
          <w:color w:val="D9AB28"/>
        </w:rPr>
      </w:pPr>
    </w:p>
    <w:p>
      <w:pPr>
        <w:ind w:left="300" w:right="620" w:hanging="148"/>
        <w:spacing w:after="0" w:line="221" w:lineRule="auto"/>
        <w:tabs>
          <w:tab w:leader="none" w:pos="300" w:val="left"/>
        </w:tabs>
        <w:numPr>
          <w:ilvl w:val="0"/>
          <w:numId w:val="30"/>
        </w:numPr>
        <w:rPr>
          <w:rFonts w:ascii="Times New Roman" w:cs="Times New Roman" w:eastAsia="Times New Roman" w:hAnsi="Times New Roman"/>
          <w:sz w:val="22"/>
          <w:szCs w:val="22"/>
          <w:color w:val="D9AB28"/>
        </w:rPr>
      </w:pPr>
      <w:r>
        <w:rPr>
          <w:rFonts w:ascii="Arial" w:cs="Arial" w:eastAsia="Arial" w:hAnsi="Arial"/>
          <w:sz w:val="16"/>
          <w:szCs w:val="16"/>
          <w:color w:val="auto"/>
        </w:rPr>
        <w:t>NACD-sponsored CERT Certificate in Cyber-Risk Oversight from Carnegie Mellon University’s Software Engineering Institute</w:t>
      </w:r>
    </w:p>
    <w:p>
      <w:pPr>
        <w:spacing w:after="0" w:line="1" w:lineRule="exact"/>
        <w:rPr>
          <w:rFonts w:ascii="Times New Roman" w:cs="Times New Roman" w:eastAsia="Times New Roman" w:hAnsi="Times New Roman"/>
          <w:sz w:val="22"/>
          <w:szCs w:val="22"/>
          <w:color w:val="D9AB28"/>
        </w:rPr>
      </w:pPr>
    </w:p>
    <w:p>
      <w:pPr>
        <w:ind w:left="300" w:hanging="148"/>
        <w:spacing w:after="0" w:line="217" w:lineRule="auto"/>
        <w:tabs>
          <w:tab w:leader="none" w:pos="300" w:val="left"/>
        </w:tabs>
        <w:numPr>
          <w:ilvl w:val="0"/>
          <w:numId w:val="30"/>
        </w:numPr>
        <w:rPr>
          <w:rFonts w:ascii="Times New Roman" w:cs="Times New Roman" w:eastAsia="Times New Roman" w:hAnsi="Times New Roman"/>
          <w:sz w:val="22"/>
          <w:szCs w:val="22"/>
          <w:color w:val="D9AB28"/>
        </w:rPr>
      </w:pPr>
      <w:r>
        <w:rPr>
          <w:rFonts w:ascii="Arial" w:cs="Arial" w:eastAsia="Arial" w:hAnsi="Arial"/>
          <w:sz w:val="16"/>
          <w:szCs w:val="16"/>
          <w:color w:val="auto"/>
        </w:rPr>
        <w:t>Former board member of Verisk Analytics, Inc. and Hunting PLC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Career Highlights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Marathon Oil Corporation</w:t>
      </w:r>
      <w:r>
        <w:rPr>
          <w:rFonts w:ascii="Arial" w:cs="Arial" w:eastAsia="Arial" w:hAnsi="Arial"/>
          <w:sz w:val="16"/>
          <w:szCs w:val="16"/>
          <w:color w:val="auto"/>
        </w:rPr>
        <w:t>, 2008-2014</w:t>
      </w:r>
    </w:p>
    <w:p>
      <w:pPr>
        <w:spacing w:after="0" w:line="34" w:lineRule="exact"/>
        <w:rPr>
          <w:sz w:val="20"/>
          <w:szCs w:val="20"/>
          <w:color w:val="auto"/>
        </w:rPr>
      </w:pPr>
    </w:p>
    <w:p>
      <w:pPr>
        <w:ind w:left="280" w:hanging="128"/>
        <w:spacing w:after="0"/>
        <w:tabs>
          <w:tab w:leader="none" w:pos="280" w:val="left"/>
        </w:tabs>
        <w:numPr>
          <w:ilvl w:val="0"/>
          <w:numId w:val="31"/>
        </w:numPr>
        <w:rPr>
          <w:rFonts w:ascii="Times New Roman" w:cs="Times New Roman" w:eastAsia="Times New Roman" w:hAnsi="Times New Roman"/>
          <w:sz w:val="22"/>
          <w:szCs w:val="22"/>
          <w:color w:val="D9AB28"/>
        </w:rPr>
      </w:pPr>
      <w:r>
        <w:rPr>
          <w:rFonts w:ascii="Arial" w:cs="Arial" w:eastAsia="Arial" w:hAnsi="Arial"/>
          <w:sz w:val="16"/>
          <w:szCs w:val="16"/>
          <w:color w:val="auto"/>
        </w:rPr>
        <w:t>Vice President, Global Exploration</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31"/>
        </w:numPr>
        <w:rPr>
          <w:rFonts w:ascii="Times New Roman" w:cs="Times New Roman" w:eastAsia="Times New Roman" w:hAnsi="Times New Roman"/>
          <w:sz w:val="22"/>
          <w:szCs w:val="22"/>
          <w:color w:val="D9AB28"/>
        </w:rPr>
      </w:pPr>
      <w:r>
        <w:rPr>
          <w:rFonts w:ascii="Arial" w:cs="Arial" w:eastAsia="Arial" w:hAnsi="Arial"/>
          <w:sz w:val="16"/>
          <w:szCs w:val="16"/>
          <w:color w:val="auto"/>
        </w:rPr>
        <w:t>Senior Vice President, Exploration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Shell Exploration and Production Company</w:t>
      </w:r>
      <w:r>
        <w:rPr>
          <w:rFonts w:ascii="Arial" w:cs="Arial" w:eastAsia="Arial" w:hAnsi="Arial"/>
          <w:sz w:val="16"/>
          <w:szCs w:val="16"/>
          <w:color w:val="auto"/>
        </w:rPr>
        <w:t>, 2004-2008</w:t>
      </w:r>
    </w:p>
    <w:p>
      <w:pPr>
        <w:spacing w:after="0" w:line="48" w:lineRule="exact"/>
        <w:rPr>
          <w:sz w:val="20"/>
          <w:szCs w:val="20"/>
          <w:color w:val="auto"/>
        </w:rPr>
      </w:pPr>
    </w:p>
    <w:p>
      <w:pPr>
        <w:ind w:left="280" w:hanging="128"/>
        <w:spacing w:after="0"/>
        <w:tabs>
          <w:tab w:leader="none" w:pos="280" w:val="left"/>
        </w:tabs>
        <w:numPr>
          <w:ilvl w:val="0"/>
          <w:numId w:val="32"/>
        </w:numPr>
        <w:rPr>
          <w:rFonts w:ascii="Times New Roman" w:cs="Times New Roman" w:eastAsia="Times New Roman" w:hAnsi="Times New Roman"/>
          <w:sz w:val="22"/>
          <w:szCs w:val="22"/>
          <w:color w:val="D9AB28"/>
        </w:rPr>
      </w:pPr>
      <w:r>
        <w:rPr>
          <w:rFonts w:ascii="Arial" w:cs="Arial" w:eastAsia="Arial" w:hAnsi="Arial"/>
          <w:sz w:val="16"/>
          <w:szCs w:val="16"/>
          <w:color w:val="auto"/>
        </w:rPr>
        <w:t>Vice President, Americas Exploration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Kerr-McGee Oil and Gas Corporation </w:t>
      </w:r>
      <w:r>
        <w:rPr>
          <w:rFonts w:ascii="Arial" w:cs="Arial" w:eastAsia="Arial" w:hAnsi="Arial"/>
          <w:sz w:val="16"/>
          <w:szCs w:val="16"/>
          <w:color w:val="auto"/>
        </w:rPr>
        <w:t>(and Oryx Energy prior to merger), 1988-2004</w:t>
      </w:r>
    </w:p>
    <w:p>
      <w:pPr>
        <w:spacing w:after="0" w:line="48" w:lineRule="exact"/>
        <w:rPr>
          <w:sz w:val="20"/>
          <w:szCs w:val="20"/>
          <w:color w:val="auto"/>
        </w:rPr>
      </w:pPr>
    </w:p>
    <w:p>
      <w:pPr>
        <w:ind w:left="280" w:hanging="128"/>
        <w:spacing w:after="0"/>
        <w:tabs>
          <w:tab w:leader="none" w:pos="280" w:val="left"/>
        </w:tabs>
        <w:numPr>
          <w:ilvl w:val="0"/>
          <w:numId w:val="33"/>
        </w:numPr>
        <w:rPr>
          <w:rFonts w:ascii="Times New Roman" w:cs="Times New Roman" w:eastAsia="Times New Roman" w:hAnsi="Times New Roman"/>
          <w:sz w:val="22"/>
          <w:szCs w:val="22"/>
          <w:color w:val="D9AB28"/>
        </w:rPr>
      </w:pPr>
      <w:r>
        <w:rPr>
          <w:rFonts w:ascii="Arial" w:cs="Arial" w:eastAsia="Arial" w:hAnsi="Arial"/>
          <w:sz w:val="16"/>
          <w:szCs w:val="16"/>
          <w:color w:val="auto"/>
        </w:rPr>
        <w:t>Vice President, Worldwide Exploration</w:t>
      </w:r>
    </w:p>
    <w:p>
      <w:pPr>
        <w:spacing w:after="0" w:line="13"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33"/>
        </w:numPr>
        <w:rPr>
          <w:rFonts w:ascii="Times New Roman" w:cs="Times New Roman" w:eastAsia="Times New Roman" w:hAnsi="Times New Roman"/>
          <w:sz w:val="22"/>
          <w:szCs w:val="22"/>
          <w:color w:val="D9AB28"/>
        </w:rPr>
      </w:pPr>
      <w:r>
        <w:rPr>
          <w:rFonts w:ascii="Arial" w:cs="Arial" w:eastAsia="Arial" w:hAnsi="Arial"/>
          <w:sz w:val="16"/>
          <w:szCs w:val="16"/>
          <w:color w:val="auto"/>
        </w:rPr>
        <w:t>Vice President, North America Exploration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215900</wp:posOffset>
            </wp:positionV>
            <wp:extent cx="61722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0" w:space="660"/>
            <w:col w:w="7660"/>
          </w:cols>
          <w:pgMar w:left="1080" w:top="1104" w:right="1099" w:bottom="100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100"/>
        <w:spacing w:after="0" w:line="326" w:lineRule="auto"/>
        <w:rPr>
          <w:sz w:val="20"/>
          <w:szCs w:val="20"/>
          <w:color w:val="auto"/>
        </w:rPr>
      </w:pPr>
      <w:r>
        <w:rPr>
          <w:rFonts w:ascii="Arial" w:cs="Arial" w:eastAsia="Arial" w:hAnsi="Arial"/>
          <w:sz w:val="16"/>
          <w:szCs w:val="16"/>
          <w:i w:val="1"/>
          <w:iCs w:val="1"/>
          <w:color w:val="auto"/>
        </w:rPr>
        <w:t xml:space="preserve">Chief Executive Officer </w:t>
      </w:r>
      <w:r>
        <w:rPr>
          <w:rFonts w:ascii="Arial" w:cs="Arial" w:eastAsia="Arial" w:hAnsi="Arial"/>
          <w:sz w:val="16"/>
          <w:szCs w:val="16"/>
          <w:b w:val="1"/>
          <w:bCs w:val="1"/>
          <w:color w:val="auto"/>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-1406525</wp:posOffset>
            </wp:positionV>
            <wp:extent cx="1028700" cy="1028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January 2015</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APA Committees: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D6AF00"/>
        </w:rPr>
        <w:t xml:space="preserve">– </w:t>
      </w:r>
      <w:r>
        <w:rPr>
          <w:rFonts w:ascii="Arial" w:cs="Arial" w:eastAsia="Arial" w:hAnsi="Arial"/>
          <w:sz w:val="16"/>
          <w:szCs w:val="16"/>
          <w:color w:val="000000"/>
        </w:rPr>
        <w:t>None</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D6AF00"/>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 J. CHRISTMANN IV</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Reasons for Nomination to Our Board</w:t>
      </w:r>
    </w:p>
    <w:p>
      <w:pPr>
        <w:spacing w:after="0" w:line="79" w:lineRule="exact"/>
        <w:rPr>
          <w:sz w:val="20"/>
          <w:szCs w:val="20"/>
          <w:color w:val="auto"/>
        </w:rPr>
      </w:pPr>
    </w:p>
    <w:p>
      <w:pPr>
        <w:ind w:left="280" w:right="40" w:hanging="128"/>
        <w:spacing w:after="0" w:line="233" w:lineRule="auto"/>
        <w:tabs>
          <w:tab w:leader="none" w:pos="280" w:val="left"/>
        </w:tabs>
        <w:numPr>
          <w:ilvl w:val="0"/>
          <w:numId w:val="36"/>
        </w:numPr>
        <w:rPr>
          <w:rFonts w:ascii="Times New Roman" w:cs="Times New Roman" w:eastAsia="Times New Roman" w:hAnsi="Times New Roman"/>
          <w:sz w:val="22"/>
          <w:szCs w:val="22"/>
          <w:color w:val="D9AB28"/>
        </w:rPr>
      </w:pPr>
      <w:r>
        <w:rPr>
          <w:rFonts w:ascii="Arial" w:cs="Arial" w:eastAsia="Arial" w:hAnsi="Arial"/>
          <w:sz w:val="16"/>
          <w:szCs w:val="16"/>
          <w:color w:val="auto"/>
        </w:rPr>
        <w:t>With more than three decades in the oil and gas industry, including more than 28 years at the Company leading both operational and staff functions and most recently serving as CEO, Mr. Christmann has the proficiency and depth to manage and operate a large-scale oil and gas exploration and production company.</w:t>
      </w:r>
    </w:p>
    <w:p>
      <w:pPr>
        <w:spacing w:after="0" w:line="15" w:lineRule="exact"/>
        <w:rPr>
          <w:rFonts w:ascii="Times New Roman" w:cs="Times New Roman" w:eastAsia="Times New Roman" w:hAnsi="Times New Roman"/>
          <w:sz w:val="22"/>
          <w:szCs w:val="22"/>
          <w:color w:val="D9AB28"/>
        </w:rPr>
      </w:pPr>
    </w:p>
    <w:p>
      <w:pPr>
        <w:ind w:left="280" w:right="180" w:hanging="128"/>
        <w:spacing w:after="0" w:line="233" w:lineRule="auto"/>
        <w:tabs>
          <w:tab w:leader="none" w:pos="280" w:val="left"/>
        </w:tabs>
        <w:numPr>
          <w:ilvl w:val="0"/>
          <w:numId w:val="36"/>
        </w:numPr>
        <w:rPr>
          <w:rFonts w:ascii="Times New Roman" w:cs="Times New Roman" w:eastAsia="Times New Roman" w:hAnsi="Times New Roman"/>
          <w:sz w:val="22"/>
          <w:szCs w:val="22"/>
          <w:color w:val="D9AB28"/>
        </w:rPr>
      </w:pPr>
      <w:r>
        <w:rPr>
          <w:rFonts w:ascii="Arial" w:cs="Arial" w:eastAsia="Arial" w:hAnsi="Arial"/>
          <w:sz w:val="16"/>
          <w:szCs w:val="16"/>
          <w:color w:val="auto"/>
        </w:rPr>
        <w:t>Mr. Christmann’s extensive experience in the oil and gas industry has provided him with an in-depth understanding of successful execution and operational management in the field, an appreciation and talent for value-added M&amp;A activity, and the expertise to oversee the strategic direction of a large, publicly traded company.</w:t>
      </w:r>
    </w:p>
    <w:p>
      <w:pPr>
        <w:spacing w:after="0" w:line="15" w:lineRule="exact"/>
        <w:rPr>
          <w:rFonts w:ascii="Times New Roman" w:cs="Times New Roman" w:eastAsia="Times New Roman" w:hAnsi="Times New Roman"/>
          <w:sz w:val="22"/>
          <w:szCs w:val="22"/>
          <w:color w:val="D9AB28"/>
        </w:rPr>
      </w:pPr>
    </w:p>
    <w:p>
      <w:pPr>
        <w:ind w:left="280" w:right="40" w:hanging="128"/>
        <w:spacing w:after="0" w:line="233" w:lineRule="auto"/>
        <w:tabs>
          <w:tab w:leader="none" w:pos="280" w:val="left"/>
        </w:tabs>
        <w:numPr>
          <w:ilvl w:val="0"/>
          <w:numId w:val="36"/>
        </w:numPr>
        <w:rPr>
          <w:rFonts w:ascii="Times New Roman" w:cs="Times New Roman" w:eastAsia="Times New Roman" w:hAnsi="Times New Roman"/>
          <w:sz w:val="22"/>
          <w:szCs w:val="22"/>
          <w:color w:val="D9AB28"/>
        </w:rPr>
      </w:pPr>
      <w:r>
        <w:rPr>
          <w:rFonts w:ascii="Arial" w:cs="Arial" w:eastAsia="Arial" w:hAnsi="Arial"/>
          <w:sz w:val="16"/>
          <w:szCs w:val="16"/>
          <w:color w:val="auto"/>
        </w:rPr>
        <w:t>His experience, coupled with his thorough knowledge and understanding of the Company’s assets and unique operations, complement Mr. Christmann’s management strengths and enable him to lead the Company through the complexities of day-to-day operations as well as the macroeconomic impact of commodity prices.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Leadership Experience, Service, and Qualifications</w:t>
      </w:r>
    </w:p>
    <w:p>
      <w:pPr>
        <w:spacing w:after="0" w:line="32" w:lineRule="exact"/>
        <w:rPr>
          <w:sz w:val="20"/>
          <w:szCs w:val="20"/>
          <w:color w:val="auto"/>
        </w:rPr>
      </w:pPr>
    </w:p>
    <w:p>
      <w:pPr>
        <w:ind w:left="280" w:hanging="128"/>
        <w:spacing w:after="0"/>
        <w:tabs>
          <w:tab w:leader="none" w:pos="280" w:val="left"/>
        </w:tabs>
        <w:numPr>
          <w:ilvl w:val="0"/>
          <w:numId w:val="37"/>
        </w:numPr>
        <w:rPr>
          <w:rFonts w:ascii="Times New Roman" w:cs="Times New Roman" w:eastAsia="Times New Roman" w:hAnsi="Times New Roman"/>
          <w:sz w:val="22"/>
          <w:szCs w:val="22"/>
          <w:color w:val="D9AB28"/>
        </w:rPr>
      </w:pPr>
      <w:r>
        <w:rPr>
          <w:rFonts w:ascii="Arial" w:cs="Arial" w:eastAsia="Arial" w:hAnsi="Arial"/>
          <w:sz w:val="16"/>
          <w:szCs w:val="16"/>
          <w:color w:val="auto"/>
        </w:rPr>
        <w:t>Board of Visitors, University of Texas MD Anderson Cancer Center</w:t>
      </w:r>
    </w:p>
    <w:p>
      <w:pPr>
        <w:spacing w:after="0" w:line="13"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37"/>
        </w:numPr>
        <w:rPr>
          <w:rFonts w:ascii="Times New Roman" w:cs="Times New Roman" w:eastAsia="Times New Roman" w:hAnsi="Times New Roman"/>
          <w:sz w:val="22"/>
          <w:szCs w:val="22"/>
          <w:color w:val="D9AB28"/>
        </w:rPr>
      </w:pPr>
      <w:r>
        <w:rPr>
          <w:rFonts w:ascii="Arial" w:cs="Arial" w:eastAsia="Arial" w:hAnsi="Arial"/>
          <w:sz w:val="16"/>
          <w:szCs w:val="16"/>
          <w:color w:val="auto"/>
        </w:rPr>
        <w:t>Advisory Board Member, Maguire Energy Institute, SMU Cox School of Business</w:t>
      </w:r>
    </w:p>
    <w:p>
      <w:pPr>
        <w:spacing w:after="0" w:line="28" w:lineRule="exact"/>
        <w:rPr>
          <w:rFonts w:ascii="Times New Roman" w:cs="Times New Roman" w:eastAsia="Times New Roman" w:hAnsi="Times New Roman"/>
          <w:sz w:val="22"/>
          <w:szCs w:val="22"/>
          <w:color w:val="D9AB28"/>
        </w:rPr>
      </w:pPr>
    </w:p>
    <w:p>
      <w:pPr>
        <w:ind w:left="280" w:right="620" w:hanging="128"/>
        <w:spacing w:after="0" w:line="221" w:lineRule="auto"/>
        <w:tabs>
          <w:tab w:leader="none" w:pos="280" w:val="left"/>
        </w:tabs>
        <w:numPr>
          <w:ilvl w:val="0"/>
          <w:numId w:val="37"/>
        </w:numPr>
        <w:rPr>
          <w:rFonts w:ascii="Times New Roman" w:cs="Times New Roman" w:eastAsia="Times New Roman" w:hAnsi="Times New Roman"/>
          <w:sz w:val="22"/>
          <w:szCs w:val="22"/>
          <w:color w:val="D9AB28"/>
        </w:rPr>
      </w:pPr>
      <w:r>
        <w:rPr>
          <w:rFonts w:ascii="Arial" w:cs="Arial" w:eastAsia="Arial" w:hAnsi="Arial"/>
          <w:sz w:val="16"/>
          <w:szCs w:val="16"/>
          <w:color w:val="auto"/>
        </w:rPr>
        <w:t>NACD-sponsored CERT Certificate in Cyber-Risk Oversight from Carnegie Mellon University’s Software Engineering Institute</w:t>
      </w:r>
    </w:p>
    <w:p>
      <w:pPr>
        <w:spacing w:after="0" w:line="18" w:lineRule="exact"/>
        <w:rPr>
          <w:sz w:val="20"/>
          <w:szCs w:val="20"/>
          <w:color w:val="auto"/>
        </w:rPr>
      </w:pPr>
    </w:p>
    <w:p>
      <w:pPr>
        <w:sectPr>
          <w:pgSz w:w="11900" w:h="16838" w:orient="portrait"/>
          <w:cols w:equalWidth="0" w:num="2">
            <w:col w:w="1760" w:space="300"/>
            <w:col w:w="7660"/>
          </w:cols>
          <w:pgMar w:left="1080" w:top="1104" w:right="1099" w:bottom="1008" w:gutter="0" w:footer="0" w:header="0"/>
          <w:type w:val="continuous"/>
        </w:sectPr>
      </w:pPr>
    </w:p>
    <w:p>
      <w:pPr>
        <w:ind w:left="2060"/>
        <w:spacing w:after="0"/>
        <w:rPr>
          <w:sz w:val="20"/>
          <w:szCs w:val="20"/>
          <w:color w:val="auto"/>
        </w:rPr>
      </w:pPr>
      <w:r>
        <w:rPr>
          <w:rFonts w:ascii="Arial" w:cs="Arial" w:eastAsia="Arial" w:hAnsi="Arial"/>
          <w:sz w:val="16"/>
          <w:szCs w:val="16"/>
          <w:b w:val="1"/>
          <w:bCs w:val="1"/>
          <w:i w:val="1"/>
          <w:iCs w:val="1"/>
          <w:color w:val="auto"/>
        </w:rPr>
        <w:t>Career Highlights</w:t>
      </w:r>
    </w:p>
    <w:p>
      <w:pPr>
        <w:spacing w:after="0" w:line="44"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APA Corporation</w:t>
      </w:r>
      <w:r>
        <w:rPr>
          <w:rFonts w:ascii="Arial" w:cs="Arial" w:eastAsia="Arial" w:hAnsi="Arial"/>
          <w:sz w:val="16"/>
          <w:szCs w:val="16"/>
          <w:color w:val="auto"/>
        </w:rPr>
        <w:t>, 1997-present</w:t>
      </w:r>
    </w:p>
    <w:p>
      <w:pPr>
        <w:spacing w:after="0" w:line="34" w:lineRule="exact"/>
        <w:rPr>
          <w:sz w:val="20"/>
          <w:szCs w:val="20"/>
          <w:color w:val="auto"/>
        </w:rPr>
      </w:pPr>
    </w:p>
    <w:p>
      <w:pPr>
        <w:ind w:left="2340" w:hanging="128"/>
        <w:spacing w:after="0"/>
        <w:tabs>
          <w:tab w:leader="none" w:pos="2340" w:val="left"/>
        </w:tabs>
        <w:numPr>
          <w:ilvl w:val="0"/>
          <w:numId w:val="38"/>
        </w:numPr>
        <w:rPr>
          <w:rFonts w:ascii="Times New Roman" w:cs="Times New Roman" w:eastAsia="Times New Roman" w:hAnsi="Times New Roman"/>
          <w:sz w:val="22"/>
          <w:szCs w:val="22"/>
          <w:color w:val="D9AB28"/>
        </w:rPr>
      </w:pPr>
      <w:r>
        <w:rPr>
          <w:rFonts w:ascii="Arial" w:cs="Arial" w:eastAsia="Arial" w:hAnsi="Arial"/>
          <w:sz w:val="16"/>
          <w:szCs w:val="16"/>
          <w:color w:val="auto"/>
        </w:rPr>
        <w:t>Chief Executive Officer, 2024-present</w:t>
      </w:r>
    </w:p>
    <w:p>
      <w:pPr>
        <w:spacing w:after="0" w:line="13" w:lineRule="exact"/>
        <w:rPr>
          <w:rFonts w:ascii="Times New Roman" w:cs="Times New Roman" w:eastAsia="Times New Roman" w:hAnsi="Times New Roman"/>
          <w:sz w:val="22"/>
          <w:szCs w:val="22"/>
          <w:color w:val="D9AB28"/>
        </w:rPr>
      </w:pPr>
    </w:p>
    <w:p>
      <w:pPr>
        <w:ind w:left="2340" w:hanging="128"/>
        <w:spacing w:after="0" w:line="217" w:lineRule="auto"/>
        <w:tabs>
          <w:tab w:leader="none" w:pos="2340" w:val="left"/>
        </w:tabs>
        <w:numPr>
          <w:ilvl w:val="0"/>
          <w:numId w:val="38"/>
        </w:numPr>
        <w:rPr>
          <w:rFonts w:ascii="Times New Roman" w:cs="Times New Roman" w:eastAsia="Times New Roman" w:hAnsi="Times New Roman"/>
          <w:sz w:val="22"/>
          <w:szCs w:val="22"/>
          <w:color w:val="D9AB28"/>
        </w:rPr>
      </w:pPr>
      <w:r>
        <w:rPr>
          <w:rFonts w:ascii="Arial" w:cs="Arial" w:eastAsia="Arial" w:hAnsi="Arial"/>
          <w:sz w:val="16"/>
          <w:szCs w:val="16"/>
          <w:color w:val="auto"/>
        </w:rPr>
        <w:t>Chief Executive Officer and President, 2015-2023</w:t>
      </w:r>
    </w:p>
    <w:p>
      <w:pPr>
        <w:spacing w:after="0" w:line="14" w:lineRule="exact"/>
        <w:rPr>
          <w:rFonts w:ascii="Times New Roman" w:cs="Times New Roman" w:eastAsia="Times New Roman" w:hAnsi="Times New Roman"/>
          <w:sz w:val="22"/>
          <w:szCs w:val="22"/>
          <w:color w:val="D9AB28"/>
        </w:rPr>
      </w:pPr>
    </w:p>
    <w:p>
      <w:pPr>
        <w:ind w:left="2340" w:hanging="128"/>
        <w:spacing w:after="0" w:line="217" w:lineRule="auto"/>
        <w:tabs>
          <w:tab w:leader="none" w:pos="2340" w:val="left"/>
        </w:tabs>
        <w:numPr>
          <w:ilvl w:val="0"/>
          <w:numId w:val="38"/>
        </w:numPr>
        <w:rPr>
          <w:rFonts w:ascii="Times New Roman" w:cs="Times New Roman" w:eastAsia="Times New Roman" w:hAnsi="Times New Roman"/>
          <w:sz w:val="22"/>
          <w:szCs w:val="22"/>
          <w:color w:val="D9AB28"/>
        </w:rPr>
      </w:pPr>
      <w:r>
        <w:rPr>
          <w:rFonts w:ascii="Arial" w:cs="Arial" w:eastAsia="Arial" w:hAnsi="Arial"/>
          <w:sz w:val="16"/>
          <w:szCs w:val="16"/>
          <w:color w:val="auto"/>
        </w:rPr>
        <w:t>Executive Vice President and Chief Operating Officer, North America</w:t>
      </w:r>
    </w:p>
    <w:p>
      <w:pPr>
        <w:spacing w:after="0" w:line="14" w:lineRule="exact"/>
        <w:rPr>
          <w:rFonts w:ascii="Times New Roman" w:cs="Times New Roman" w:eastAsia="Times New Roman" w:hAnsi="Times New Roman"/>
          <w:sz w:val="22"/>
          <w:szCs w:val="22"/>
          <w:color w:val="D9AB28"/>
        </w:rPr>
      </w:pPr>
    </w:p>
    <w:p>
      <w:pPr>
        <w:ind w:left="2340" w:hanging="128"/>
        <w:spacing w:after="0" w:line="217" w:lineRule="auto"/>
        <w:tabs>
          <w:tab w:leader="none" w:pos="2340" w:val="left"/>
        </w:tabs>
        <w:numPr>
          <w:ilvl w:val="0"/>
          <w:numId w:val="38"/>
        </w:numPr>
        <w:rPr>
          <w:rFonts w:ascii="Times New Roman" w:cs="Times New Roman" w:eastAsia="Times New Roman" w:hAnsi="Times New Roman"/>
          <w:sz w:val="22"/>
          <w:szCs w:val="22"/>
          <w:color w:val="D9AB28"/>
        </w:rPr>
      </w:pPr>
      <w:r>
        <w:rPr>
          <w:rFonts w:ascii="Arial" w:cs="Arial" w:eastAsia="Arial" w:hAnsi="Arial"/>
          <w:sz w:val="16"/>
          <w:szCs w:val="16"/>
          <w:color w:val="auto"/>
        </w:rPr>
        <w:t>Region Vice President, Permian Region</w:t>
      </w:r>
    </w:p>
    <w:p>
      <w:pPr>
        <w:spacing w:after="0" w:line="14" w:lineRule="exact"/>
        <w:rPr>
          <w:rFonts w:ascii="Times New Roman" w:cs="Times New Roman" w:eastAsia="Times New Roman" w:hAnsi="Times New Roman"/>
          <w:sz w:val="22"/>
          <w:szCs w:val="22"/>
          <w:color w:val="D9AB28"/>
        </w:rPr>
      </w:pPr>
    </w:p>
    <w:p>
      <w:pPr>
        <w:ind w:left="2340" w:hanging="128"/>
        <w:spacing w:after="0" w:line="217" w:lineRule="auto"/>
        <w:tabs>
          <w:tab w:leader="none" w:pos="2340" w:val="left"/>
        </w:tabs>
        <w:numPr>
          <w:ilvl w:val="0"/>
          <w:numId w:val="38"/>
        </w:numPr>
        <w:rPr>
          <w:rFonts w:ascii="Times New Roman" w:cs="Times New Roman" w:eastAsia="Times New Roman" w:hAnsi="Times New Roman"/>
          <w:sz w:val="22"/>
          <w:szCs w:val="22"/>
          <w:color w:val="D9AB28"/>
        </w:rPr>
      </w:pPr>
      <w:r>
        <w:rPr>
          <w:rFonts w:ascii="Arial" w:cs="Arial" w:eastAsia="Arial" w:hAnsi="Arial"/>
          <w:sz w:val="16"/>
          <w:szCs w:val="16"/>
          <w:color w:val="auto"/>
        </w:rPr>
        <w:t>Vice President, Business Development</w:t>
      </w:r>
    </w:p>
    <w:p>
      <w:pPr>
        <w:spacing w:after="0" w:line="14" w:lineRule="exact"/>
        <w:rPr>
          <w:rFonts w:ascii="Times New Roman" w:cs="Times New Roman" w:eastAsia="Times New Roman" w:hAnsi="Times New Roman"/>
          <w:sz w:val="22"/>
          <w:szCs w:val="22"/>
          <w:color w:val="D9AB28"/>
        </w:rPr>
      </w:pPr>
    </w:p>
    <w:p>
      <w:pPr>
        <w:ind w:left="2340" w:hanging="128"/>
        <w:spacing w:after="0" w:line="217" w:lineRule="auto"/>
        <w:tabs>
          <w:tab w:leader="none" w:pos="2340" w:val="left"/>
        </w:tabs>
        <w:numPr>
          <w:ilvl w:val="0"/>
          <w:numId w:val="38"/>
        </w:numPr>
        <w:rPr>
          <w:rFonts w:ascii="Times New Roman" w:cs="Times New Roman" w:eastAsia="Times New Roman" w:hAnsi="Times New Roman"/>
          <w:sz w:val="22"/>
          <w:szCs w:val="22"/>
          <w:color w:val="D9AB28"/>
        </w:rPr>
      </w:pPr>
      <w:r>
        <w:rPr>
          <w:rFonts w:ascii="Arial" w:cs="Arial" w:eastAsia="Arial" w:hAnsi="Arial"/>
          <w:sz w:val="16"/>
          <w:szCs w:val="16"/>
          <w:color w:val="auto"/>
        </w:rPr>
        <w:t>Production Manager, Gulf Coast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61722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7720" w:type="dxa"/>
        <w:tblCellMar>
          <w:top w:w="0" w:type="dxa"/>
          <w:left w:w="0" w:type="dxa"/>
          <w:bottom w:w="0" w:type="dxa"/>
          <w:right w:w="0" w:type="dxa"/>
        </w:tblCellMar>
      </w:tblPr>
      <w:tr>
        <w:trPr>
          <w:trHeight w:val="223"/>
        </w:trPr>
        <w:tc>
          <w:tcPr>
            <w:tcW w:w="1760" w:type="dxa"/>
            <w:vAlign w:val="bottom"/>
          </w:tcPr>
          <w:p>
            <w:pPr>
              <w:spacing w:after="0"/>
              <w:rPr>
                <w:sz w:val="20"/>
                <w:szCs w:val="20"/>
                <w:color w:val="auto"/>
              </w:rPr>
            </w:pPr>
            <w:r>
              <w:rPr>
                <w:rFonts w:ascii="Arial" w:cs="Arial" w:eastAsia="Arial" w:hAnsi="Arial"/>
                <w:sz w:val="16"/>
                <w:szCs w:val="16"/>
                <w:color w:val="auto"/>
              </w:rPr>
              <w:t>2026 Proxy Statement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540385</wp:posOffset>
            </wp:positionV>
            <wp:extent cx="70377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04" w:right="1099" w:bottom="1008"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800735</wp:posOffset>
            </wp:positionV>
            <wp:extent cx="994410" cy="9944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99441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May 2019</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APA Committees: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CRG&amp;N</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MD&amp;C,</w:t>
      </w:r>
      <w:r>
        <w:rPr>
          <w:rFonts w:ascii="Arial" w:cs="Arial" w:eastAsia="Arial" w:hAnsi="Arial"/>
          <w:sz w:val="16"/>
          <w:szCs w:val="16"/>
          <w:color w:val="D9AB28"/>
        </w:rPr>
        <w:t xml:space="preserve"> </w:t>
      </w:r>
      <w:r>
        <w:rPr>
          <w:rFonts w:ascii="Arial" w:cs="Arial" w:eastAsia="Arial" w:hAnsi="Arial"/>
          <w:sz w:val="16"/>
          <w:szCs w:val="16"/>
          <w:i w:val="1"/>
          <w:iCs w:val="1"/>
          <w:color w:val="000000"/>
        </w:rPr>
        <w:t>Chair</w:t>
      </w:r>
    </w:p>
    <w:p>
      <w:pPr>
        <w:spacing w:after="0" w:line="97"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220" w:hanging="135"/>
        <w:spacing w:after="0" w:line="265" w:lineRule="auto"/>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Donnelley Financial</w:t>
      </w:r>
      <w:r>
        <w:rPr>
          <w:rFonts w:ascii="Arial" w:cs="Arial" w:eastAsia="Arial" w:hAnsi="Arial"/>
          <w:sz w:val="16"/>
          <w:szCs w:val="16"/>
          <w:color w:val="D9AB28"/>
        </w:rPr>
        <w:t xml:space="preserve"> </w:t>
      </w:r>
      <w:r>
        <w:rPr>
          <w:rFonts w:ascii="Arial" w:cs="Arial" w:eastAsia="Arial" w:hAnsi="Arial"/>
          <w:sz w:val="16"/>
          <w:szCs w:val="16"/>
          <w:color w:val="000000"/>
        </w:rPr>
        <w:t>Solutions,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JULIET S.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-184150</wp:posOffset>
            </wp:positionV>
            <wp:extent cx="61722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Reasons for Nomination to Our Board</w:t>
      </w:r>
    </w:p>
    <w:p>
      <w:pPr>
        <w:spacing w:after="0" w:line="79" w:lineRule="exact"/>
        <w:rPr>
          <w:sz w:val="20"/>
          <w:szCs w:val="20"/>
          <w:color w:val="auto"/>
        </w:rPr>
      </w:pPr>
    </w:p>
    <w:p>
      <w:pPr>
        <w:ind w:left="280" w:right="120" w:hanging="128"/>
        <w:spacing w:after="0" w:line="229" w:lineRule="auto"/>
        <w:tabs>
          <w:tab w:leader="none" w:pos="280" w:val="left"/>
        </w:tabs>
        <w:numPr>
          <w:ilvl w:val="0"/>
          <w:numId w:val="41"/>
        </w:numPr>
        <w:rPr>
          <w:rFonts w:ascii="Times New Roman" w:cs="Times New Roman" w:eastAsia="Times New Roman" w:hAnsi="Times New Roman"/>
          <w:sz w:val="22"/>
          <w:szCs w:val="22"/>
          <w:color w:val="D9AB28"/>
        </w:rPr>
      </w:pPr>
      <w:r>
        <w:rPr>
          <w:rFonts w:ascii="Arial" w:cs="Arial" w:eastAsia="Arial" w:hAnsi="Arial"/>
          <w:sz w:val="16"/>
          <w:szCs w:val="16"/>
          <w:color w:val="auto"/>
        </w:rPr>
        <w:t>Ms. Ellis’s extensive experience over three decades in portfolio management, strategy, and risk oversight has helped guide APA toward fulfilling our commitments to maintain a disciplined financial approach and leverage our diversified portfolio of assets.</w:t>
      </w:r>
    </w:p>
    <w:p>
      <w:pPr>
        <w:spacing w:after="0" w:line="15" w:lineRule="exact"/>
        <w:rPr>
          <w:rFonts w:ascii="Times New Roman" w:cs="Times New Roman" w:eastAsia="Times New Roman" w:hAnsi="Times New Roman"/>
          <w:sz w:val="22"/>
          <w:szCs w:val="22"/>
          <w:color w:val="D9AB28"/>
        </w:rPr>
      </w:pPr>
    </w:p>
    <w:p>
      <w:pPr>
        <w:ind w:left="280" w:hanging="128"/>
        <w:spacing w:after="0" w:line="229" w:lineRule="auto"/>
        <w:tabs>
          <w:tab w:leader="none" w:pos="280" w:val="left"/>
        </w:tabs>
        <w:numPr>
          <w:ilvl w:val="0"/>
          <w:numId w:val="41"/>
        </w:numPr>
        <w:rPr>
          <w:rFonts w:ascii="Times New Roman" w:cs="Times New Roman" w:eastAsia="Times New Roman" w:hAnsi="Times New Roman"/>
          <w:sz w:val="22"/>
          <w:szCs w:val="22"/>
          <w:color w:val="D9AB28"/>
        </w:rPr>
      </w:pPr>
      <w:r>
        <w:rPr>
          <w:rFonts w:ascii="Arial" w:cs="Arial" w:eastAsia="Arial" w:hAnsi="Arial"/>
          <w:sz w:val="16"/>
          <w:szCs w:val="16"/>
          <w:color w:val="auto"/>
        </w:rPr>
        <w:t>Ms. Ellis’s deep expertise within the institutional investor community provides her with a unique ability to represent our shareholders and allows the Board to keep apprised of their emerging areas of interest.</w:t>
      </w:r>
    </w:p>
    <w:p>
      <w:pPr>
        <w:spacing w:after="0" w:line="15" w:lineRule="exact"/>
        <w:rPr>
          <w:rFonts w:ascii="Times New Roman" w:cs="Times New Roman" w:eastAsia="Times New Roman" w:hAnsi="Times New Roman"/>
          <w:sz w:val="22"/>
          <w:szCs w:val="22"/>
          <w:color w:val="D9AB28"/>
        </w:rPr>
      </w:pPr>
    </w:p>
    <w:p>
      <w:pPr>
        <w:ind w:left="280" w:right="100" w:hanging="128"/>
        <w:spacing w:after="0" w:line="221" w:lineRule="auto"/>
        <w:tabs>
          <w:tab w:leader="none" w:pos="280" w:val="left"/>
        </w:tabs>
        <w:numPr>
          <w:ilvl w:val="0"/>
          <w:numId w:val="41"/>
        </w:numPr>
        <w:rPr>
          <w:rFonts w:ascii="Times New Roman" w:cs="Times New Roman" w:eastAsia="Times New Roman" w:hAnsi="Times New Roman"/>
          <w:sz w:val="22"/>
          <w:szCs w:val="22"/>
          <w:color w:val="D9AB28"/>
        </w:rPr>
      </w:pPr>
      <w:r>
        <w:rPr>
          <w:rFonts w:ascii="Arial" w:cs="Arial" w:eastAsia="Arial" w:hAnsi="Arial"/>
          <w:sz w:val="16"/>
          <w:szCs w:val="16"/>
          <w:color w:val="auto"/>
        </w:rPr>
        <w:t>As our MD&amp;C Chair, Ms. Ellis has been instrumental in leading a number of enhancements made to our executive compensation practices in an effort to align with our shareholders’ expectations.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Leadership Experience, Service, and Qualifications</w:t>
      </w:r>
    </w:p>
    <w:p>
      <w:pPr>
        <w:spacing w:after="0" w:line="32" w:lineRule="exact"/>
        <w:rPr>
          <w:sz w:val="20"/>
          <w:szCs w:val="20"/>
          <w:color w:val="auto"/>
        </w:rPr>
      </w:pPr>
    </w:p>
    <w:p>
      <w:pPr>
        <w:ind w:left="280" w:hanging="128"/>
        <w:spacing w:after="0"/>
        <w:tabs>
          <w:tab w:leader="none" w:pos="280" w:val="left"/>
        </w:tabs>
        <w:numPr>
          <w:ilvl w:val="0"/>
          <w:numId w:val="42"/>
        </w:numPr>
        <w:rPr>
          <w:rFonts w:ascii="Times New Roman" w:cs="Times New Roman" w:eastAsia="Times New Roman" w:hAnsi="Times New Roman"/>
          <w:sz w:val="22"/>
          <w:szCs w:val="22"/>
          <w:color w:val="D9AB28"/>
        </w:rPr>
      </w:pPr>
      <w:r>
        <w:rPr>
          <w:rFonts w:ascii="Arial" w:cs="Arial" w:eastAsia="Arial" w:hAnsi="Arial"/>
          <w:sz w:val="16"/>
          <w:szCs w:val="16"/>
          <w:color w:val="auto"/>
        </w:rPr>
        <w:t>Board of Directors, Houston Methodist Hospital system</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42"/>
        </w:numPr>
        <w:rPr>
          <w:rFonts w:ascii="Times New Roman" w:cs="Times New Roman" w:eastAsia="Times New Roman" w:hAnsi="Times New Roman"/>
          <w:sz w:val="22"/>
          <w:szCs w:val="22"/>
          <w:color w:val="D9AB28"/>
        </w:rPr>
      </w:pPr>
      <w:r>
        <w:rPr>
          <w:rFonts w:ascii="Arial" w:cs="Arial" w:eastAsia="Arial" w:hAnsi="Arial"/>
          <w:sz w:val="16"/>
          <w:szCs w:val="16"/>
          <w:color w:val="auto"/>
        </w:rPr>
        <w:t>Member, Women Corporate Directors</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42"/>
        </w:numPr>
        <w:rPr>
          <w:rFonts w:ascii="Times New Roman" w:cs="Times New Roman" w:eastAsia="Times New Roman" w:hAnsi="Times New Roman"/>
          <w:sz w:val="22"/>
          <w:szCs w:val="22"/>
          <w:color w:val="D9AB28"/>
        </w:rPr>
      </w:pPr>
      <w:r>
        <w:rPr>
          <w:rFonts w:ascii="Arial" w:cs="Arial" w:eastAsia="Arial" w:hAnsi="Arial"/>
          <w:sz w:val="16"/>
          <w:szCs w:val="16"/>
          <w:color w:val="auto"/>
        </w:rPr>
        <w:t>Chartered Financial Analyst (CFA)</w:t>
      </w:r>
    </w:p>
    <w:p>
      <w:pPr>
        <w:spacing w:after="0" w:line="28" w:lineRule="exact"/>
        <w:rPr>
          <w:rFonts w:ascii="Times New Roman" w:cs="Times New Roman" w:eastAsia="Times New Roman" w:hAnsi="Times New Roman"/>
          <w:sz w:val="22"/>
          <w:szCs w:val="22"/>
          <w:color w:val="D9AB28"/>
        </w:rPr>
      </w:pPr>
    </w:p>
    <w:p>
      <w:pPr>
        <w:ind w:left="280" w:right="480" w:hanging="128"/>
        <w:spacing w:after="0" w:line="221" w:lineRule="auto"/>
        <w:tabs>
          <w:tab w:leader="none" w:pos="280" w:val="left"/>
        </w:tabs>
        <w:numPr>
          <w:ilvl w:val="0"/>
          <w:numId w:val="42"/>
        </w:numPr>
        <w:rPr>
          <w:rFonts w:ascii="Times New Roman" w:cs="Times New Roman" w:eastAsia="Times New Roman" w:hAnsi="Times New Roman"/>
          <w:sz w:val="22"/>
          <w:szCs w:val="22"/>
          <w:color w:val="D9AB28"/>
        </w:rPr>
      </w:pPr>
      <w:r>
        <w:rPr>
          <w:rFonts w:ascii="Arial" w:cs="Arial" w:eastAsia="Arial" w:hAnsi="Arial"/>
          <w:sz w:val="16"/>
          <w:szCs w:val="16"/>
          <w:color w:val="auto"/>
        </w:rPr>
        <w:t>NACD-sponsored CERT Certificate in Cyber-Risk Oversight from Carnegie Mellon University’s Software Engineering Institute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Career Highlights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Invesco, </w:t>
      </w:r>
      <w:r>
        <w:rPr>
          <w:rFonts w:ascii="Arial" w:cs="Arial" w:eastAsia="Arial" w:hAnsi="Arial"/>
          <w:sz w:val="16"/>
          <w:szCs w:val="16"/>
          <w:color w:val="auto"/>
        </w:rPr>
        <w:t>2004-2019</w:t>
      </w:r>
    </w:p>
    <w:p>
      <w:pPr>
        <w:spacing w:after="0" w:line="34" w:lineRule="exact"/>
        <w:rPr>
          <w:sz w:val="20"/>
          <w:szCs w:val="20"/>
          <w:color w:val="auto"/>
        </w:rPr>
      </w:pPr>
    </w:p>
    <w:p>
      <w:pPr>
        <w:ind w:left="280" w:hanging="128"/>
        <w:spacing w:after="0"/>
        <w:tabs>
          <w:tab w:leader="none" w:pos="280" w:val="left"/>
        </w:tabs>
        <w:numPr>
          <w:ilvl w:val="0"/>
          <w:numId w:val="43"/>
        </w:numPr>
        <w:rPr>
          <w:rFonts w:ascii="Times New Roman" w:cs="Times New Roman" w:eastAsia="Times New Roman" w:hAnsi="Times New Roman"/>
          <w:sz w:val="22"/>
          <w:szCs w:val="22"/>
          <w:color w:val="D9AB28"/>
        </w:rPr>
      </w:pPr>
      <w:r>
        <w:rPr>
          <w:rFonts w:ascii="Arial" w:cs="Arial" w:eastAsia="Arial" w:hAnsi="Arial"/>
          <w:sz w:val="16"/>
          <w:szCs w:val="16"/>
          <w:color w:val="auto"/>
        </w:rPr>
        <w:t>Managing Director, Senior Portfolio Manager</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43"/>
        </w:numPr>
        <w:rPr>
          <w:rFonts w:ascii="Times New Roman" w:cs="Times New Roman" w:eastAsia="Times New Roman" w:hAnsi="Times New Roman"/>
          <w:sz w:val="22"/>
          <w:szCs w:val="22"/>
          <w:color w:val="D9AB28"/>
        </w:rPr>
      </w:pPr>
      <w:r>
        <w:rPr>
          <w:rFonts w:ascii="Arial" w:cs="Arial" w:eastAsia="Arial" w:hAnsi="Arial"/>
          <w:sz w:val="16"/>
          <w:szCs w:val="16"/>
          <w:color w:val="auto"/>
        </w:rPr>
        <w:t>Chief Investment Officer, U.S. Growth Equities Investment Management Unit</w:t>
      </w:r>
    </w:p>
    <w:p>
      <w:pPr>
        <w:spacing w:after="0" w:line="28" w:lineRule="exact"/>
        <w:rPr>
          <w:rFonts w:ascii="Times New Roman" w:cs="Times New Roman" w:eastAsia="Times New Roman" w:hAnsi="Times New Roman"/>
          <w:sz w:val="22"/>
          <w:szCs w:val="22"/>
          <w:color w:val="D9AB28"/>
        </w:rPr>
      </w:pPr>
    </w:p>
    <w:p>
      <w:pPr>
        <w:ind w:right="1040" w:firstLine="152"/>
        <w:spacing w:after="0" w:line="255" w:lineRule="auto"/>
        <w:tabs>
          <w:tab w:leader="none" w:pos="285" w:val="left"/>
        </w:tabs>
        <w:numPr>
          <w:ilvl w:val="0"/>
          <w:numId w:val="43"/>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Senior Portfolio Manager, Small Cap Growth Fund and Small Cap Equity Fund </w:t>
      </w:r>
      <w:r>
        <w:rPr>
          <w:rFonts w:ascii="Arial" w:cs="Arial" w:eastAsia="Arial" w:hAnsi="Arial"/>
          <w:sz w:val="16"/>
          <w:szCs w:val="16"/>
          <w:b w:val="1"/>
          <w:bCs w:val="1"/>
          <w:color w:val="auto"/>
        </w:rPr>
        <w:t xml:space="preserve">JPMorgan Chase &amp; Co. </w:t>
      </w:r>
      <w:r>
        <w:rPr>
          <w:rFonts w:ascii="Arial" w:cs="Arial" w:eastAsia="Arial" w:hAnsi="Arial"/>
          <w:sz w:val="16"/>
          <w:szCs w:val="16"/>
          <w:color w:val="auto"/>
        </w:rPr>
        <w:t>(and Fleming Asset Management prior to acquisition), 1987-2004</w:t>
      </w:r>
    </w:p>
    <w:p>
      <w:pPr>
        <w:spacing w:after="0" w:line="10" w:lineRule="exact"/>
        <w:rPr>
          <w:rFonts w:ascii="Times New Roman" w:cs="Times New Roman" w:eastAsia="Times New Roman" w:hAnsi="Times New Roman"/>
          <w:sz w:val="22"/>
          <w:szCs w:val="22"/>
          <w:color w:val="D9AB28"/>
        </w:rPr>
      </w:pPr>
    </w:p>
    <w:p>
      <w:pPr>
        <w:ind w:left="280" w:hanging="128"/>
        <w:spacing w:after="0"/>
        <w:tabs>
          <w:tab w:leader="none" w:pos="280" w:val="left"/>
        </w:tabs>
        <w:numPr>
          <w:ilvl w:val="0"/>
          <w:numId w:val="43"/>
        </w:numPr>
        <w:rPr>
          <w:rFonts w:ascii="Times New Roman" w:cs="Times New Roman" w:eastAsia="Times New Roman" w:hAnsi="Times New Roman"/>
          <w:sz w:val="22"/>
          <w:szCs w:val="22"/>
          <w:color w:val="D9AB28"/>
        </w:rPr>
      </w:pPr>
      <w:r>
        <w:rPr>
          <w:rFonts w:ascii="Arial" w:cs="Arial" w:eastAsia="Arial" w:hAnsi="Arial"/>
          <w:sz w:val="16"/>
          <w:szCs w:val="16"/>
          <w:color w:val="auto"/>
        </w:rPr>
        <w:t>Senior Portfolio Manager</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43"/>
        </w:numPr>
        <w:rPr>
          <w:rFonts w:ascii="Times New Roman" w:cs="Times New Roman" w:eastAsia="Times New Roman" w:hAnsi="Times New Roman"/>
          <w:sz w:val="22"/>
          <w:szCs w:val="22"/>
          <w:color w:val="D9AB28"/>
        </w:rPr>
      </w:pPr>
      <w:r>
        <w:rPr>
          <w:rFonts w:ascii="Arial" w:cs="Arial" w:eastAsia="Arial" w:hAnsi="Arial"/>
          <w:sz w:val="16"/>
          <w:szCs w:val="16"/>
          <w:color w:val="auto"/>
        </w:rPr>
        <w:t>Managing Director</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43"/>
        </w:numPr>
        <w:rPr>
          <w:rFonts w:ascii="Times New Roman" w:cs="Times New Roman" w:eastAsia="Times New Roman" w:hAnsi="Times New Roman"/>
          <w:sz w:val="22"/>
          <w:szCs w:val="22"/>
          <w:color w:val="D9AB28"/>
        </w:rPr>
      </w:pPr>
      <w:r>
        <w:rPr>
          <w:rFonts w:ascii="Arial" w:cs="Arial" w:eastAsia="Arial" w:hAnsi="Arial"/>
          <w:sz w:val="16"/>
          <w:szCs w:val="16"/>
          <w:color w:val="auto"/>
        </w:rPr>
        <w:t>Equity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215900</wp:posOffset>
            </wp:positionV>
            <wp:extent cx="61722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440"/>
            <w:col w:w="7520"/>
          </w:cols>
          <w:pgMar w:left="1080" w:top="1246"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-1170305</wp:posOffset>
            </wp:positionV>
            <wp:extent cx="994410" cy="9944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94410" cy="99441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October 2024</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APA Committees: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Audit,</w:t>
      </w:r>
      <w:r>
        <w:rPr>
          <w:rFonts w:ascii="Arial" w:cs="Arial" w:eastAsia="Arial" w:hAnsi="Arial"/>
          <w:sz w:val="16"/>
          <w:szCs w:val="16"/>
          <w:color w:val="D9AB28"/>
        </w:rPr>
        <w:t xml:space="preserve"> </w:t>
      </w:r>
      <w:r>
        <w:rPr>
          <w:rFonts w:ascii="Arial" w:cs="Arial" w:eastAsia="Arial" w:hAnsi="Arial"/>
          <w:sz w:val="16"/>
          <w:szCs w:val="16"/>
          <w:i w:val="1"/>
          <w:iCs w:val="1"/>
          <w:color w:val="000000"/>
        </w:rPr>
        <w:t>Chair</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Cybersecurity</w:t>
      </w:r>
    </w:p>
    <w:p>
      <w:pPr>
        <w:spacing w:after="0" w:line="97"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KENNETH M. FISHER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Reasons for Nomination to Our Board</w:t>
      </w:r>
    </w:p>
    <w:p>
      <w:pPr>
        <w:spacing w:after="0" w:line="79" w:lineRule="exact"/>
        <w:rPr>
          <w:sz w:val="20"/>
          <w:szCs w:val="20"/>
          <w:color w:val="auto"/>
        </w:rPr>
      </w:pPr>
    </w:p>
    <w:p>
      <w:pPr>
        <w:ind w:left="280" w:right="20" w:hanging="128"/>
        <w:spacing w:after="0" w:line="221" w:lineRule="auto"/>
        <w:tabs>
          <w:tab w:leader="none" w:pos="280" w:val="left"/>
        </w:tabs>
        <w:numPr>
          <w:ilvl w:val="0"/>
          <w:numId w:val="46"/>
        </w:numPr>
        <w:rPr>
          <w:rFonts w:ascii="Times New Roman" w:cs="Times New Roman" w:eastAsia="Times New Roman" w:hAnsi="Times New Roman"/>
          <w:sz w:val="22"/>
          <w:szCs w:val="22"/>
          <w:color w:val="D9AB28"/>
        </w:rPr>
      </w:pPr>
      <w:r>
        <w:rPr>
          <w:rFonts w:ascii="Arial" w:cs="Arial" w:eastAsia="Arial" w:hAnsi="Arial"/>
          <w:sz w:val="16"/>
          <w:szCs w:val="16"/>
          <w:color w:val="auto"/>
        </w:rPr>
        <w:t>Mr. Fisher brings with him extensive financial and leadership experience across the oil and gas value chain.</w:t>
      </w:r>
    </w:p>
    <w:p>
      <w:pPr>
        <w:spacing w:after="0" w:line="16" w:lineRule="exact"/>
        <w:rPr>
          <w:rFonts w:ascii="Times New Roman" w:cs="Times New Roman" w:eastAsia="Times New Roman" w:hAnsi="Times New Roman"/>
          <w:sz w:val="22"/>
          <w:szCs w:val="22"/>
          <w:color w:val="D9AB28"/>
        </w:rPr>
      </w:pPr>
    </w:p>
    <w:p>
      <w:pPr>
        <w:ind w:left="280" w:right="360" w:hanging="128"/>
        <w:spacing w:after="0" w:line="229" w:lineRule="auto"/>
        <w:tabs>
          <w:tab w:leader="none" w:pos="280" w:val="left"/>
        </w:tabs>
        <w:numPr>
          <w:ilvl w:val="0"/>
          <w:numId w:val="46"/>
        </w:numPr>
        <w:rPr>
          <w:rFonts w:ascii="Times New Roman" w:cs="Times New Roman" w:eastAsia="Times New Roman" w:hAnsi="Times New Roman"/>
          <w:sz w:val="22"/>
          <w:szCs w:val="22"/>
          <w:color w:val="D9AB28"/>
        </w:rPr>
      </w:pPr>
      <w:r>
        <w:rPr>
          <w:rFonts w:ascii="Arial" w:cs="Arial" w:eastAsia="Arial" w:hAnsi="Arial"/>
          <w:sz w:val="16"/>
          <w:szCs w:val="16"/>
          <w:color w:val="auto"/>
        </w:rPr>
        <w:t>Mr. Fisher’s experience on public company boards and as the chair of the audit committee at ChampionX prior to its acquisition by SLB enhances the board’s risk management practices and provides insight into emerging best practices.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Leadership Experience, Service, and Qualifications</w:t>
      </w:r>
    </w:p>
    <w:p>
      <w:pPr>
        <w:spacing w:after="0" w:line="32" w:lineRule="exact"/>
        <w:rPr>
          <w:sz w:val="20"/>
          <w:szCs w:val="20"/>
          <w:color w:val="auto"/>
        </w:rPr>
      </w:pPr>
    </w:p>
    <w:p>
      <w:pPr>
        <w:ind w:left="280" w:hanging="128"/>
        <w:spacing w:after="0"/>
        <w:tabs>
          <w:tab w:leader="none" w:pos="280" w:val="left"/>
        </w:tabs>
        <w:numPr>
          <w:ilvl w:val="0"/>
          <w:numId w:val="47"/>
        </w:numPr>
        <w:rPr>
          <w:rFonts w:ascii="Times New Roman" w:cs="Times New Roman" w:eastAsia="Times New Roman" w:hAnsi="Times New Roman"/>
          <w:sz w:val="22"/>
          <w:szCs w:val="22"/>
          <w:color w:val="D9AB28"/>
        </w:rPr>
      </w:pPr>
      <w:r>
        <w:rPr>
          <w:rFonts w:ascii="Arial" w:cs="Arial" w:eastAsia="Arial" w:hAnsi="Arial"/>
          <w:sz w:val="16"/>
          <w:szCs w:val="16"/>
          <w:color w:val="auto"/>
        </w:rPr>
        <w:t>Former board member and chair of the Audit Committee for ChampionX</w:t>
      </w:r>
    </w:p>
    <w:p>
      <w:pPr>
        <w:spacing w:after="0" w:line="13"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47"/>
        </w:numPr>
        <w:rPr>
          <w:rFonts w:ascii="Times New Roman" w:cs="Times New Roman" w:eastAsia="Times New Roman" w:hAnsi="Times New Roman"/>
          <w:sz w:val="22"/>
          <w:szCs w:val="22"/>
          <w:color w:val="D9AB28"/>
        </w:rPr>
      </w:pPr>
      <w:r>
        <w:rPr>
          <w:rFonts w:ascii="Arial" w:cs="Arial" w:eastAsia="Arial" w:hAnsi="Arial"/>
          <w:sz w:val="16"/>
          <w:szCs w:val="16"/>
          <w:color w:val="auto"/>
        </w:rPr>
        <w:t>Former chair of the board of directors of Noble Midstream Partners</w:t>
      </w:r>
    </w:p>
    <w:p>
      <w:pPr>
        <w:spacing w:after="0" w:line="28" w:lineRule="exact"/>
        <w:rPr>
          <w:rFonts w:ascii="Times New Roman" w:cs="Times New Roman" w:eastAsia="Times New Roman" w:hAnsi="Times New Roman"/>
          <w:sz w:val="22"/>
          <w:szCs w:val="22"/>
          <w:color w:val="D9AB28"/>
        </w:rPr>
      </w:pPr>
    </w:p>
    <w:p>
      <w:pPr>
        <w:ind w:left="280" w:right="480" w:hanging="128"/>
        <w:spacing w:after="0" w:line="221" w:lineRule="auto"/>
        <w:tabs>
          <w:tab w:leader="none" w:pos="280" w:val="left"/>
        </w:tabs>
        <w:numPr>
          <w:ilvl w:val="0"/>
          <w:numId w:val="47"/>
        </w:numPr>
        <w:rPr>
          <w:rFonts w:ascii="Times New Roman" w:cs="Times New Roman" w:eastAsia="Times New Roman" w:hAnsi="Times New Roman"/>
          <w:sz w:val="22"/>
          <w:szCs w:val="22"/>
          <w:color w:val="D9AB28"/>
        </w:rPr>
      </w:pPr>
      <w:r>
        <w:rPr>
          <w:rFonts w:ascii="Arial" w:cs="Arial" w:eastAsia="Arial" w:hAnsi="Arial"/>
          <w:sz w:val="16"/>
          <w:szCs w:val="16"/>
          <w:color w:val="auto"/>
        </w:rPr>
        <w:t>NACD-sponsored CERT Certificate in Cyber-Risk Oversight from Carnegie Mellon University’s Software Engineering Institute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Career Highlights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ChampionX</w:t>
      </w:r>
      <w:r>
        <w:rPr>
          <w:rFonts w:ascii="Arial" w:cs="Arial" w:eastAsia="Arial" w:hAnsi="Arial"/>
          <w:sz w:val="16"/>
          <w:szCs w:val="16"/>
          <w:color w:val="auto"/>
        </w:rPr>
        <w:t>, 2021-2025</w:t>
      </w:r>
    </w:p>
    <w:p>
      <w:pPr>
        <w:spacing w:after="0" w:line="73" w:lineRule="exact"/>
        <w:rPr>
          <w:sz w:val="20"/>
          <w:szCs w:val="20"/>
          <w:color w:val="auto"/>
        </w:rPr>
      </w:pPr>
    </w:p>
    <w:p>
      <w:pPr>
        <w:ind w:right="3500" w:firstLine="152"/>
        <w:spacing w:after="0" w:line="255" w:lineRule="auto"/>
        <w:tabs>
          <w:tab w:leader="none" w:pos="285" w:val="left"/>
        </w:tabs>
        <w:numPr>
          <w:ilvl w:val="0"/>
          <w:numId w:val="48"/>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Executive Vice President and Chief Financial Officer </w:t>
      </w:r>
      <w:r>
        <w:rPr>
          <w:rFonts w:ascii="Arial" w:cs="Arial" w:eastAsia="Arial" w:hAnsi="Arial"/>
          <w:sz w:val="16"/>
          <w:szCs w:val="16"/>
          <w:b w:val="1"/>
          <w:bCs w:val="1"/>
          <w:color w:val="auto"/>
        </w:rPr>
        <w:t>Noble Energy, Inc.</w:t>
      </w:r>
      <w:r>
        <w:rPr>
          <w:rFonts w:ascii="Arial" w:cs="Arial" w:eastAsia="Arial" w:hAnsi="Arial"/>
          <w:sz w:val="16"/>
          <w:szCs w:val="16"/>
          <w:color w:val="auto"/>
        </w:rPr>
        <w:t>, 2009-2020</w:t>
      </w:r>
    </w:p>
    <w:p>
      <w:pPr>
        <w:spacing w:after="0" w:line="10" w:lineRule="exact"/>
        <w:rPr>
          <w:rFonts w:ascii="Times New Roman" w:cs="Times New Roman" w:eastAsia="Times New Roman" w:hAnsi="Times New Roman"/>
          <w:sz w:val="22"/>
          <w:szCs w:val="22"/>
          <w:color w:val="D9AB28"/>
        </w:rPr>
      </w:pPr>
    </w:p>
    <w:p>
      <w:pPr>
        <w:ind w:left="280" w:hanging="128"/>
        <w:spacing w:after="0"/>
        <w:tabs>
          <w:tab w:leader="none" w:pos="280" w:val="left"/>
        </w:tabs>
        <w:numPr>
          <w:ilvl w:val="0"/>
          <w:numId w:val="48"/>
        </w:numPr>
        <w:rPr>
          <w:rFonts w:ascii="Times New Roman" w:cs="Times New Roman" w:eastAsia="Times New Roman" w:hAnsi="Times New Roman"/>
          <w:sz w:val="22"/>
          <w:szCs w:val="22"/>
          <w:color w:val="D9AB28"/>
        </w:rPr>
      </w:pPr>
      <w:r>
        <w:rPr>
          <w:rFonts w:ascii="Arial" w:cs="Arial" w:eastAsia="Arial" w:hAnsi="Arial"/>
          <w:sz w:val="16"/>
          <w:szCs w:val="16"/>
          <w:color w:val="auto"/>
        </w:rPr>
        <w:t>Executive Vice President and Chief Financial Officer</w:t>
      </w:r>
    </w:p>
    <w:p>
      <w:pPr>
        <w:spacing w:after="0" w:line="28" w:lineRule="exact"/>
        <w:rPr>
          <w:rFonts w:ascii="Times New Roman" w:cs="Times New Roman" w:eastAsia="Times New Roman" w:hAnsi="Times New Roman"/>
          <w:sz w:val="22"/>
          <w:szCs w:val="22"/>
          <w:color w:val="D9AB28"/>
        </w:rPr>
      </w:pPr>
    </w:p>
    <w:p>
      <w:pPr>
        <w:ind w:right="3720" w:firstLine="152"/>
        <w:spacing w:after="0" w:line="248" w:lineRule="auto"/>
        <w:tabs>
          <w:tab w:leader="none" w:pos="285" w:val="left"/>
        </w:tabs>
        <w:numPr>
          <w:ilvl w:val="0"/>
          <w:numId w:val="48"/>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Senior Vice President and Chief Financial Officer </w:t>
      </w:r>
      <w:r>
        <w:rPr>
          <w:rFonts w:ascii="Arial" w:cs="Arial" w:eastAsia="Arial" w:hAnsi="Arial"/>
          <w:sz w:val="16"/>
          <w:szCs w:val="16"/>
          <w:b w:val="1"/>
          <w:bCs w:val="1"/>
          <w:color w:val="auto"/>
        </w:rPr>
        <w:t>Shell plc</w:t>
      </w:r>
      <w:r>
        <w:rPr>
          <w:rFonts w:ascii="Arial" w:cs="Arial" w:eastAsia="Arial" w:hAnsi="Arial"/>
          <w:sz w:val="16"/>
          <w:szCs w:val="16"/>
          <w:color w:val="auto"/>
        </w:rPr>
        <w:t>, 2002-2009</w:t>
      </w:r>
    </w:p>
    <w:p>
      <w:pPr>
        <w:spacing w:after="0" w:line="9" w:lineRule="exact"/>
        <w:rPr>
          <w:rFonts w:ascii="Times New Roman" w:cs="Times New Roman" w:eastAsia="Times New Roman" w:hAnsi="Times New Roman"/>
          <w:sz w:val="22"/>
          <w:szCs w:val="22"/>
          <w:color w:val="D9AB28"/>
        </w:rPr>
      </w:pPr>
    </w:p>
    <w:p>
      <w:pPr>
        <w:ind w:left="280" w:hanging="128"/>
        <w:spacing w:after="0"/>
        <w:tabs>
          <w:tab w:leader="none" w:pos="280" w:val="left"/>
        </w:tabs>
        <w:numPr>
          <w:ilvl w:val="0"/>
          <w:numId w:val="48"/>
        </w:numPr>
        <w:rPr>
          <w:rFonts w:ascii="Times New Roman" w:cs="Times New Roman" w:eastAsia="Times New Roman" w:hAnsi="Times New Roman"/>
          <w:sz w:val="22"/>
          <w:szCs w:val="22"/>
          <w:color w:val="D9AB28"/>
        </w:rPr>
      </w:pPr>
      <w:r>
        <w:rPr>
          <w:rFonts w:ascii="Arial" w:cs="Arial" w:eastAsia="Arial" w:hAnsi="Arial"/>
          <w:sz w:val="16"/>
          <w:szCs w:val="16"/>
          <w:color w:val="auto"/>
        </w:rPr>
        <w:t>Executive Vice President, Finance, for Upstream Americas</w:t>
      </w:r>
    </w:p>
    <w:p>
      <w:pPr>
        <w:spacing w:after="0" w:line="13"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48"/>
        </w:numPr>
        <w:rPr>
          <w:rFonts w:ascii="Times New Roman" w:cs="Times New Roman" w:eastAsia="Times New Roman" w:hAnsi="Times New Roman"/>
          <w:sz w:val="22"/>
          <w:szCs w:val="22"/>
          <w:color w:val="D9AB28"/>
        </w:rPr>
      </w:pPr>
      <w:r>
        <w:rPr>
          <w:rFonts w:ascii="Arial" w:cs="Arial" w:eastAsia="Arial" w:hAnsi="Arial"/>
          <w:sz w:val="16"/>
          <w:szCs w:val="16"/>
          <w:color w:val="auto"/>
        </w:rPr>
        <w:t>Group Director of Strategy and Business Development</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48"/>
        </w:numPr>
        <w:rPr>
          <w:rFonts w:ascii="Times New Roman" w:cs="Times New Roman" w:eastAsia="Times New Roman" w:hAnsi="Times New Roman"/>
          <w:sz w:val="22"/>
          <w:szCs w:val="22"/>
          <w:color w:val="D9AB28"/>
        </w:rPr>
      </w:pPr>
      <w:r>
        <w:rPr>
          <w:rFonts w:ascii="Arial" w:cs="Arial" w:eastAsia="Arial" w:hAnsi="Arial"/>
          <w:sz w:val="16"/>
          <w:szCs w:val="16"/>
          <w:color w:val="auto"/>
        </w:rPr>
        <w:t>Executive Vice President, Strategy and Portfolio for the Global Downstream Business</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48"/>
        </w:numPr>
        <w:rPr>
          <w:rFonts w:ascii="Times New Roman" w:cs="Times New Roman" w:eastAsia="Times New Roman" w:hAnsi="Times New Roman"/>
          <w:sz w:val="22"/>
          <w:szCs w:val="22"/>
          <w:color w:val="D9AB28"/>
        </w:rPr>
      </w:pPr>
      <w:r>
        <w:rPr>
          <w:rFonts w:ascii="Arial" w:cs="Arial" w:eastAsia="Arial" w:hAnsi="Arial"/>
          <w:sz w:val="16"/>
          <w:szCs w:val="16"/>
          <w:color w:val="auto"/>
        </w:rPr>
        <w:t>Chief Financial Officer for Shell Oil Products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69850</wp:posOffset>
            </wp:positionV>
            <wp:extent cx="61722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0" w:space="660"/>
            <w:col w:w="7520"/>
          </w:cols>
          <w:pgMar w:left="1080" w:top="1246" w:right="12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80"/>
          </w:cols>
          <w:pgMar w:left="1080" w:top="1246" w:right="123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800735</wp:posOffset>
            </wp:positionV>
            <wp:extent cx="994410" cy="9944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99441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February 2022</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APA Committees:</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Cybersecurity,</w:t>
      </w:r>
      <w:r>
        <w:rPr>
          <w:rFonts w:ascii="Arial" w:cs="Arial" w:eastAsia="Arial" w:hAnsi="Arial"/>
          <w:sz w:val="16"/>
          <w:szCs w:val="16"/>
          <w:color w:val="D9AB28"/>
        </w:rPr>
        <w:t xml:space="preserve"> </w:t>
      </w:r>
      <w:r>
        <w:rPr>
          <w:rFonts w:ascii="Arial" w:cs="Arial" w:eastAsia="Arial" w:hAnsi="Arial"/>
          <w:sz w:val="16"/>
          <w:szCs w:val="16"/>
          <w:i w:val="1"/>
          <w:iCs w:val="1"/>
          <w:color w:val="000000"/>
        </w:rPr>
        <w:t>Chair</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MD&amp;C</w:t>
      </w:r>
    </w:p>
    <w:p>
      <w:pPr>
        <w:spacing w:after="0" w:line="101" w:lineRule="exact"/>
        <w:rPr>
          <w:sz w:val="20"/>
          <w:szCs w:val="20"/>
          <w:color w:val="auto"/>
        </w:rPr>
      </w:pPr>
    </w:p>
    <w:p>
      <w:pPr>
        <w:ind w:left="660"/>
        <w:spacing w:after="0" w:line="265"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880" w:right="220" w:hanging="135"/>
        <w:spacing w:after="0" w:line="252" w:lineRule="auto"/>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General Dynamics</w:t>
      </w:r>
      <w:r>
        <w:rPr>
          <w:rFonts w:ascii="Arial" w:cs="Arial" w:eastAsia="Arial" w:hAnsi="Arial"/>
          <w:sz w:val="16"/>
          <w:szCs w:val="16"/>
          <w:color w:val="D9AB28"/>
        </w:rPr>
        <w:t xml:space="preserve"> </w:t>
      </w:r>
      <w:r>
        <w:rPr>
          <w:rFonts w:ascii="Arial" w:cs="Arial" w:eastAsia="Arial" w:hAnsi="Arial"/>
          <w:sz w:val="16"/>
          <w:szCs w:val="16"/>
          <w:color w:val="000000"/>
        </w:rPr>
        <w:t>Corporation</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UL Solutions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xml:space="preserve">Lt. Gen. CHARLES W. HOOPER </w:t>
      </w:r>
      <w:r>
        <w:rPr>
          <w:rFonts w:ascii="Arial" w:cs="Arial" w:eastAsia="Arial" w:hAnsi="Arial"/>
          <w:sz w:val="16"/>
          <w:szCs w:val="16"/>
          <w:color w:val="auto"/>
        </w:rPr>
        <w:t>(U.S. Army, Retired)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-184150</wp:posOffset>
            </wp:positionV>
            <wp:extent cx="61722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Reasons for Nomination to Our Board</w:t>
      </w:r>
    </w:p>
    <w:p>
      <w:pPr>
        <w:spacing w:after="0" w:line="79" w:lineRule="exact"/>
        <w:rPr>
          <w:sz w:val="20"/>
          <w:szCs w:val="20"/>
          <w:color w:val="auto"/>
        </w:rPr>
      </w:pPr>
    </w:p>
    <w:p>
      <w:pPr>
        <w:ind w:left="280" w:right="720" w:hanging="128"/>
        <w:spacing w:after="0" w:line="233" w:lineRule="auto"/>
        <w:tabs>
          <w:tab w:leader="none" w:pos="280" w:val="left"/>
        </w:tabs>
        <w:numPr>
          <w:ilvl w:val="0"/>
          <w:numId w:val="51"/>
        </w:numPr>
        <w:rPr>
          <w:rFonts w:ascii="Times New Roman" w:cs="Times New Roman" w:eastAsia="Times New Roman" w:hAnsi="Times New Roman"/>
          <w:sz w:val="22"/>
          <w:szCs w:val="22"/>
          <w:color w:val="D9AB28"/>
        </w:rPr>
      </w:pPr>
      <w:r>
        <w:rPr>
          <w:rFonts w:ascii="Arial" w:cs="Arial" w:eastAsia="Arial" w:hAnsi="Arial"/>
          <w:sz w:val="16"/>
          <w:szCs w:val="16"/>
          <w:color w:val="auto"/>
        </w:rPr>
        <w:t>Lt. Gen. Hooper’s extensive experience with executive and analytical roles, foreign relations, cybersecurity, and international assignments, including service in Egypt, which is an area of significant operations for the Company, brings valuable perspectives that are critical to our Board’s ability to oversee our international portfolio development strategy.</w:t>
      </w:r>
    </w:p>
    <w:p>
      <w:pPr>
        <w:spacing w:after="0" w:line="15" w:lineRule="exact"/>
        <w:rPr>
          <w:rFonts w:ascii="Times New Roman" w:cs="Times New Roman" w:eastAsia="Times New Roman" w:hAnsi="Times New Roman"/>
          <w:sz w:val="22"/>
          <w:szCs w:val="22"/>
          <w:color w:val="D9AB28"/>
        </w:rPr>
      </w:pPr>
    </w:p>
    <w:p>
      <w:pPr>
        <w:ind w:left="280" w:right="760" w:hanging="128"/>
        <w:spacing w:after="0" w:line="233" w:lineRule="auto"/>
        <w:tabs>
          <w:tab w:leader="none" w:pos="280" w:val="left"/>
        </w:tabs>
        <w:numPr>
          <w:ilvl w:val="0"/>
          <w:numId w:val="51"/>
        </w:numPr>
        <w:rPr>
          <w:rFonts w:ascii="Times New Roman" w:cs="Times New Roman" w:eastAsia="Times New Roman" w:hAnsi="Times New Roman"/>
          <w:sz w:val="22"/>
          <w:szCs w:val="22"/>
          <w:color w:val="D9AB28"/>
        </w:rPr>
      </w:pPr>
      <w:r>
        <w:rPr>
          <w:rFonts w:ascii="Arial" w:cs="Arial" w:eastAsia="Arial" w:hAnsi="Arial"/>
          <w:sz w:val="16"/>
          <w:szCs w:val="16"/>
          <w:color w:val="auto"/>
        </w:rPr>
        <w:t>His service spanning more than four decades in the U.S. Army has translated to many valuable learnings for our Board, particularly in regard to risk management and critical decision making, as well as navigating the ongoing macroeconomic and geopolitical challenges that APA faces around the world.</w:t>
      </w:r>
    </w:p>
    <w:p>
      <w:pPr>
        <w:ind w:left="280" w:hanging="128"/>
        <w:spacing w:after="0" w:line="208" w:lineRule="auto"/>
        <w:tabs>
          <w:tab w:leader="none" w:pos="280" w:val="left"/>
        </w:tabs>
        <w:numPr>
          <w:ilvl w:val="0"/>
          <w:numId w:val="51"/>
        </w:numPr>
        <w:rPr>
          <w:rFonts w:ascii="Times New Roman" w:cs="Times New Roman" w:eastAsia="Times New Roman" w:hAnsi="Times New Roman"/>
          <w:sz w:val="22"/>
          <w:szCs w:val="22"/>
          <w:color w:val="D9AB28"/>
        </w:rPr>
      </w:pPr>
      <w:r>
        <w:rPr>
          <w:rFonts w:ascii="Arial" w:cs="Arial" w:eastAsia="Arial" w:hAnsi="Arial"/>
          <w:sz w:val="16"/>
          <w:szCs w:val="16"/>
          <w:color w:val="auto"/>
        </w:rPr>
        <w:t>Lt. Gen. Hooper has vast management experience. In his role as the U.S. Department of Defense</w:t>
      </w:r>
    </w:p>
    <w:p>
      <w:pPr>
        <w:spacing w:after="0" w:line="1" w:lineRule="exact"/>
        <w:rPr>
          <w:sz w:val="20"/>
          <w:szCs w:val="20"/>
          <w:color w:val="auto"/>
        </w:rPr>
      </w:pPr>
    </w:p>
    <w:p>
      <w:pPr>
        <w:jc w:val="both"/>
        <w:ind w:left="280" w:right="1160"/>
        <w:spacing w:after="0" w:line="246" w:lineRule="auto"/>
        <w:rPr>
          <w:sz w:val="20"/>
          <w:szCs w:val="20"/>
          <w:color w:val="auto"/>
        </w:rPr>
      </w:pPr>
      <w:r>
        <w:rPr>
          <w:rFonts w:ascii="Arial" w:cs="Arial" w:eastAsia="Arial" w:hAnsi="Arial"/>
          <w:sz w:val="16"/>
          <w:szCs w:val="16"/>
          <w:color w:val="auto"/>
        </w:rPr>
        <w:t>expert on security assistance funding and U.S. foreign military sales, he had oversight of 20,000 people globally and over $50 billion in annual weapons sales. This experience brings a valuable perspective on managerial oversight to our Board.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Leadership Experience, Service, and Qualifications</w:t>
      </w:r>
    </w:p>
    <w:p>
      <w:pPr>
        <w:spacing w:after="0" w:line="32" w:lineRule="exact"/>
        <w:rPr>
          <w:sz w:val="20"/>
          <w:szCs w:val="20"/>
          <w:color w:val="auto"/>
        </w:rPr>
      </w:pPr>
    </w:p>
    <w:p>
      <w:pPr>
        <w:ind w:left="280" w:hanging="128"/>
        <w:spacing w:after="0"/>
        <w:tabs>
          <w:tab w:leader="none" w:pos="280" w:val="left"/>
        </w:tabs>
        <w:numPr>
          <w:ilvl w:val="0"/>
          <w:numId w:val="52"/>
        </w:numPr>
        <w:rPr>
          <w:rFonts w:ascii="Times New Roman" w:cs="Times New Roman" w:eastAsia="Times New Roman" w:hAnsi="Times New Roman"/>
          <w:sz w:val="22"/>
          <w:szCs w:val="22"/>
          <w:color w:val="D9AB28"/>
        </w:rPr>
      </w:pPr>
      <w:r>
        <w:rPr>
          <w:rFonts w:ascii="Arial" w:cs="Arial" w:eastAsia="Arial" w:hAnsi="Arial"/>
          <w:sz w:val="16"/>
          <w:szCs w:val="16"/>
          <w:color w:val="auto"/>
        </w:rPr>
        <w:t>Member, Council on Foreign Relations</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52"/>
        </w:numPr>
        <w:rPr>
          <w:rFonts w:ascii="Times New Roman" w:cs="Times New Roman" w:eastAsia="Times New Roman" w:hAnsi="Times New Roman"/>
          <w:sz w:val="22"/>
          <w:szCs w:val="22"/>
          <w:color w:val="D9AB28"/>
        </w:rPr>
      </w:pPr>
      <w:r>
        <w:rPr>
          <w:rFonts w:ascii="Arial" w:cs="Arial" w:eastAsia="Arial" w:hAnsi="Arial"/>
          <w:sz w:val="16"/>
          <w:szCs w:val="16"/>
          <w:color w:val="auto"/>
        </w:rPr>
        <w:t>Nonresident Scholar, Atlantic Council; Harvard University Belfer Center</w:t>
      </w:r>
    </w:p>
    <w:p>
      <w:pPr>
        <w:spacing w:after="0" w:line="28" w:lineRule="exact"/>
        <w:rPr>
          <w:rFonts w:ascii="Times New Roman" w:cs="Times New Roman" w:eastAsia="Times New Roman" w:hAnsi="Times New Roman"/>
          <w:sz w:val="22"/>
          <w:szCs w:val="22"/>
          <w:color w:val="D9AB28"/>
        </w:rPr>
      </w:pPr>
    </w:p>
    <w:p>
      <w:pPr>
        <w:ind w:left="280" w:right="1280" w:hanging="128"/>
        <w:spacing w:after="0" w:line="221" w:lineRule="auto"/>
        <w:tabs>
          <w:tab w:leader="none" w:pos="280" w:val="left"/>
        </w:tabs>
        <w:numPr>
          <w:ilvl w:val="0"/>
          <w:numId w:val="52"/>
        </w:numPr>
        <w:rPr>
          <w:rFonts w:ascii="Times New Roman" w:cs="Times New Roman" w:eastAsia="Times New Roman" w:hAnsi="Times New Roman"/>
          <w:sz w:val="22"/>
          <w:szCs w:val="22"/>
          <w:color w:val="D9AB28"/>
        </w:rPr>
      </w:pPr>
      <w:r>
        <w:rPr>
          <w:rFonts w:ascii="Arial" w:cs="Arial" w:eastAsia="Arial" w:hAnsi="Arial"/>
          <w:sz w:val="16"/>
          <w:szCs w:val="16"/>
          <w:color w:val="auto"/>
        </w:rPr>
        <w:t>NACD-sponsored CERT Certificate in Cyber-Risk Oversight from Carnegie Mellon University’s Software Engineering Institute</w:t>
      </w:r>
    </w:p>
    <w:p>
      <w:pPr>
        <w:spacing w:after="0" w:line="1"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52"/>
        </w:numPr>
        <w:rPr>
          <w:rFonts w:ascii="Times New Roman" w:cs="Times New Roman" w:eastAsia="Times New Roman" w:hAnsi="Times New Roman"/>
          <w:sz w:val="22"/>
          <w:szCs w:val="22"/>
          <w:color w:val="D9AB28"/>
        </w:rPr>
      </w:pPr>
      <w:r>
        <w:rPr>
          <w:rFonts w:ascii="Arial" w:cs="Arial" w:eastAsia="Arial" w:hAnsi="Arial"/>
          <w:sz w:val="16"/>
          <w:szCs w:val="16"/>
          <w:color w:val="auto"/>
        </w:rPr>
        <w:t>Additional Board Memberships: Two Six Technologies, Inc.; Civilian Marksmanship Program</w:t>
      </w:r>
    </w:p>
    <w:p>
      <w:pPr>
        <w:spacing w:after="0" w:line="17" w:lineRule="exact"/>
        <w:rPr>
          <w:rFonts w:ascii="Times New Roman" w:cs="Times New Roman" w:eastAsia="Times New Roman" w:hAnsi="Times New Roman"/>
          <w:sz w:val="22"/>
          <w:szCs w:val="22"/>
          <w:color w:val="D9AB28"/>
        </w:rPr>
      </w:pPr>
    </w:p>
    <w:p>
      <w:pPr>
        <w:spacing w:after="0"/>
        <w:rPr>
          <w:rFonts w:ascii="Times New Roman" w:cs="Times New Roman" w:eastAsia="Times New Roman" w:hAnsi="Times New Roman"/>
          <w:sz w:val="22"/>
          <w:szCs w:val="22"/>
          <w:color w:val="D9AB28"/>
        </w:rPr>
      </w:pPr>
      <w:r>
        <w:rPr>
          <w:rFonts w:ascii="Arial" w:cs="Arial" w:eastAsia="Arial" w:hAnsi="Arial"/>
          <w:sz w:val="16"/>
          <w:szCs w:val="16"/>
          <w:b w:val="1"/>
          <w:bCs w:val="1"/>
          <w:i w:val="1"/>
          <w:iCs w:val="1"/>
          <w:color w:val="auto"/>
        </w:rPr>
        <w:t>Career Highlights</w:t>
      </w:r>
    </w:p>
    <w:p>
      <w:pPr>
        <w:spacing w:after="0" w:line="43" w:lineRule="exact"/>
        <w:rPr>
          <w:rFonts w:ascii="Times New Roman" w:cs="Times New Roman" w:eastAsia="Times New Roman" w:hAnsi="Times New Roman"/>
          <w:sz w:val="22"/>
          <w:szCs w:val="22"/>
          <w:color w:val="D9AB28"/>
        </w:rPr>
      </w:pPr>
    </w:p>
    <w:p>
      <w:pPr>
        <w:spacing w:after="0"/>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The Cohen Group</w:t>
      </w:r>
      <w:r>
        <w:rPr>
          <w:rFonts w:ascii="Arial" w:cs="Arial" w:eastAsia="Arial" w:hAnsi="Arial"/>
          <w:sz w:val="16"/>
          <w:szCs w:val="16"/>
          <w:color w:val="auto"/>
        </w:rPr>
        <w:t>, 2020-present</w:t>
      </w:r>
    </w:p>
    <w:p>
      <w:pPr>
        <w:spacing w:after="0" w:line="38" w:lineRule="exact"/>
        <w:rPr>
          <w:rFonts w:ascii="Times New Roman" w:cs="Times New Roman" w:eastAsia="Times New Roman" w:hAnsi="Times New Roman"/>
          <w:sz w:val="22"/>
          <w:szCs w:val="22"/>
          <w:color w:val="D9AB28"/>
        </w:rPr>
      </w:pPr>
    </w:p>
    <w:p>
      <w:pPr>
        <w:ind w:left="280" w:hanging="128"/>
        <w:spacing w:after="0" w:line="210" w:lineRule="auto"/>
        <w:tabs>
          <w:tab w:leader="none" w:pos="280" w:val="left"/>
        </w:tabs>
        <w:numPr>
          <w:ilvl w:val="0"/>
          <w:numId w:val="52"/>
        </w:numPr>
        <w:rPr>
          <w:rFonts w:ascii="Times New Roman" w:cs="Times New Roman" w:eastAsia="Times New Roman" w:hAnsi="Times New Roman"/>
          <w:sz w:val="22"/>
          <w:szCs w:val="22"/>
          <w:color w:val="D9AB28"/>
        </w:rPr>
      </w:pPr>
      <w:r>
        <w:rPr>
          <w:rFonts w:ascii="Arial" w:cs="Arial" w:eastAsia="Arial" w:hAnsi="Arial"/>
          <w:sz w:val="16"/>
          <w:szCs w:val="16"/>
          <w:color w:val="auto"/>
        </w:rPr>
        <w:t>Senior Counselor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Army</w:t>
      </w:r>
      <w:r>
        <w:rPr>
          <w:rFonts w:ascii="Arial" w:cs="Arial" w:eastAsia="Arial" w:hAnsi="Arial"/>
          <w:sz w:val="16"/>
          <w:szCs w:val="16"/>
          <w:color w:val="auto"/>
        </w:rPr>
        <w:t>, 1979-2020</w:t>
      </w:r>
    </w:p>
    <w:p>
      <w:pPr>
        <w:spacing w:after="0" w:line="34" w:lineRule="exact"/>
        <w:rPr>
          <w:sz w:val="20"/>
          <w:szCs w:val="20"/>
          <w:color w:val="auto"/>
        </w:rPr>
      </w:pPr>
    </w:p>
    <w:p>
      <w:pPr>
        <w:ind w:left="280" w:hanging="128"/>
        <w:spacing w:after="0"/>
        <w:tabs>
          <w:tab w:leader="none" w:pos="280" w:val="left"/>
        </w:tabs>
        <w:numPr>
          <w:ilvl w:val="0"/>
          <w:numId w:val="53"/>
        </w:numPr>
        <w:rPr>
          <w:rFonts w:ascii="Times New Roman" w:cs="Times New Roman" w:eastAsia="Times New Roman" w:hAnsi="Times New Roman"/>
          <w:sz w:val="22"/>
          <w:szCs w:val="22"/>
          <w:color w:val="D9AB28"/>
        </w:rPr>
      </w:pPr>
      <w:r>
        <w:rPr>
          <w:rFonts w:ascii="Arial" w:cs="Arial" w:eastAsia="Arial" w:hAnsi="Arial"/>
          <w:sz w:val="16"/>
          <w:szCs w:val="16"/>
          <w:color w:val="auto"/>
        </w:rPr>
        <w:t>Director of the Defense Security Cooperation Agency</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53"/>
        </w:numPr>
        <w:rPr>
          <w:rFonts w:ascii="Times New Roman" w:cs="Times New Roman" w:eastAsia="Times New Roman" w:hAnsi="Times New Roman"/>
          <w:sz w:val="22"/>
          <w:szCs w:val="22"/>
          <w:color w:val="D9AB28"/>
        </w:rPr>
      </w:pPr>
      <w:r>
        <w:rPr>
          <w:rFonts w:ascii="Arial" w:cs="Arial" w:eastAsia="Arial" w:hAnsi="Arial"/>
          <w:sz w:val="16"/>
          <w:szCs w:val="16"/>
          <w:color w:val="auto"/>
        </w:rPr>
        <w:t>Chief of the Office of Military Cooperation, U.S. Embassy, Cairo, Egypt</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53"/>
        </w:numPr>
        <w:rPr>
          <w:rFonts w:ascii="Times New Roman" w:cs="Times New Roman" w:eastAsia="Times New Roman" w:hAnsi="Times New Roman"/>
          <w:sz w:val="22"/>
          <w:szCs w:val="22"/>
          <w:color w:val="D9AB28"/>
        </w:rPr>
      </w:pPr>
      <w:r>
        <w:rPr>
          <w:rFonts w:ascii="Arial" w:cs="Arial" w:eastAsia="Arial" w:hAnsi="Arial"/>
          <w:sz w:val="16"/>
          <w:szCs w:val="16"/>
          <w:color w:val="auto"/>
        </w:rPr>
        <w:t>Command and Staff Assignments, 25th Infantry and 82nd Airborne Divisions</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53"/>
        </w:numPr>
        <w:rPr>
          <w:rFonts w:ascii="Times New Roman" w:cs="Times New Roman" w:eastAsia="Times New Roman" w:hAnsi="Times New Roman"/>
          <w:sz w:val="22"/>
          <w:szCs w:val="22"/>
          <w:color w:val="D9AB28"/>
        </w:rPr>
      </w:pPr>
      <w:r>
        <w:rPr>
          <w:rFonts w:ascii="Arial" w:cs="Arial" w:eastAsia="Arial" w:hAnsi="Arial"/>
          <w:sz w:val="16"/>
          <w:szCs w:val="16"/>
          <w:color w:val="auto"/>
        </w:rPr>
        <w:t>U.S. Defense Attaché to the People’s Republic of China</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53"/>
        </w:numPr>
        <w:rPr>
          <w:rFonts w:ascii="Times New Roman" w:cs="Times New Roman" w:eastAsia="Times New Roman" w:hAnsi="Times New Roman"/>
          <w:sz w:val="22"/>
          <w:szCs w:val="22"/>
          <w:color w:val="D9AB28"/>
        </w:rPr>
      </w:pPr>
      <w:r>
        <w:rPr>
          <w:rFonts w:ascii="Arial" w:cs="Arial" w:eastAsia="Arial" w:hAnsi="Arial"/>
          <w:sz w:val="16"/>
          <w:szCs w:val="16"/>
          <w:color w:val="auto"/>
        </w:rPr>
        <w:t>Chief Strategist and Planner, U.S. Africa Command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224155</wp:posOffset>
            </wp:positionV>
            <wp:extent cx="61722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300"/>
            <w:col w:w="8320"/>
          </w:cols>
          <w:pgMar w:left="420" w:top="1246" w:right="439"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-1170305</wp:posOffset>
            </wp:positionV>
            <wp:extent cx="994410" cy="9944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94410" cy="994410"/>
                    </a:xfrm>
                    <a:prstGeom prst="rect">
                      <a:avLst/>
                    </a:prstGeom>
                    <a:noFill/>
                  </pic:spPr>
                </pic:pic>
              </a:graphicData>
            </a:graphic>
          </wp:anchor>
        </w:drawing>
      </w:r>
    </w:p>
    <w:p>
      <w:pPr>
        <w:spacing w:after="0" w:line="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February 2011</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APA Committees:</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Audit</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Cybersecurity</w:t>
      </w:r>
    </w:p>
    <w:p>
      <w:pPr>
        <w:spacing w:after="0" w:line="101" w:lineRule="exact"/>
        <w:rPr>
          <w:sz w:val="20"/>
          <w:szCs w:val="20"/>
          <w:color w:val="auto"/>
        </w:rPr>
      </w:pPr>
    </w:p>
    <w:p>
      <w:pPr>
        <w:ind w:left="660"/>
        <w:spacing w:after="0" w:line="265"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880" w:right="700" w:hanging="135"/>
        <w:spacing w:after="0" w:line="265" w:lineRule="auto"/>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South Bow</w:t>
      </w:r>
      <w:r>
        <w:rPr>
          <w:rFonts w:ascii="Arial" w:cs="Arial" w:eastAsia="Arial" w:hAnsi="Arial"/>
          <w:sz w:val="16"/>
          <w:szCs w:val="16"/>
          <w:color w:val="D9AB28"/>
        </w:rPr>
        <w:t xml:space="preserve"> </w:t>
      </w:r>
      <w:r>
        <w:rPr>
          <w:rFonts w:ascii="Arial" w:cs="Arial" w:eastAsia="Arial" w:hAnsi="Arial"/>
          <w:sz w:val="16"/>
          <w:szCs w:val="16"/>
          <w:color w:val="000000"/>
        </w:rPr>
        <w:t>Corporation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CHANSOO JOUNG</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Reasons for Nomination to Our Board</w:t>
      </w:r>
    </w:p>
    <w:p>
      <w:pPr>
        <w:spacing w:after="0" w:line="79" w:lineRule="exact"/>
        <w:rPr>
          <w:sz w:val="20"/>
          <w:szCs w:val="20"/>
          <w:color w:val="auto"/>
        </w:rPr>
      </w:pPr>
    </w:p>
    <w:p>
      <w:pPr>
        <w:ind w:left="280" w:right="760" w:hanging="128"/>
        <w:spacing w:after="0" w:line="235" w:lineRule="auto"/>
        <w:tabs>
          <w:tab w:leader="none" w:pos="280" w:val="left"/>
        </w:tabs>
        <w:numPr>
          <w:ilvl w:val="0"/>
          <w:numId w:val="56"/>
        </w:numPr>
        <w:rPr>
          <w:rFonts w:ascii="Times New Roman" w:cs="Times New Roman" w:eastAsia="Times New Roman" w:hAnsi="Times New Roman"/>
          <w:sz w:val="22"/>
          <w:szCs w:val="22"/>
          <w:color w:val="D9AB28"/>
        </w:rPr>
      </w:pPr>
      <w:r>
        <w:rPr>
          <w:rFonts w:ascii="Arial" w:cs="Arial" w:eastAsia="Arial" w:hAnsi="Arial"/>
          <w:sz w:val="16"/>
          <w:szCs w:val="16"/>
          <w:color w:val="auto"/>
        </w:rPr>
        <w:t>Mr. Joung has spent the majority of his career in the finance industry working with energy companies. Through his experiences in private equity and as an investment banker, Mr. Joung has gained a rare level of expertise with energy companies, the energy industry, and energy-related capital markets and M&amp;A activity, which greatly enhances the business and strategy capabilities of the Board. He additionally has developed skills in the identification, assessment, and management of risk.</w:t>
      </w:r>
    </w:p>
    <w:p>
      <w:pPr>
        <w:spacing w:after="0" w:line="17" w:lineRule="exact"/>
        <w:rPr>
          <w:rFonts w:ascii="Times New Roman" w:cs="Times New Roman" w:eastAsia="Times New Roman" w:hAnsi="Times New Roman"/>
          <w:sz w:val="22"/>
          <w:szCs w:val="22"/>
          <w:color w:val="D9AB28"/>
        </w:rPr>
      </w:pPr>
    </w:p>
    <w:p>
      <w:pPr>
        <w:ind w:left="280" w:right="800" w:hanging="128"/>
        <w:spacing w:after="0" w:line="235" w:lineRule="auto"/>
        <w:tabs>
          <w:tab w:leader="none" w:pos="280" w:val="left"/>
        </w:tabs>
        <w:numPr>
          <w:ilvl w:val="0"/>
          <w:numId w:val="56"/>
        </w:numPr>
        <w:rPr>
          <w:rFonts w:ascii="Times New Roman" w:cs="Times New Roman" w:eastAsia="Times New Roman" w:hAnsi="Times New Roman"/>
          <w:sz w:val="22"/>
          <w:szCs w:val="22"/>
          <w:color w:val="D9AB28"/>
        </w:rPr>
      </w:pPr>
      <w:r>
        <w:rPr>
          <w:rFonts w:ascii="Arial" w:cs="Arial" w:eastAsia="Arial" w:hAnsi="Arial"/>
          <w:sz w:val="16"/>
          <w:szCs w:val="16"/>
          <w:color w:val="auto"/>
        </w:rPr>
        <w:t>During his time at Warburg Pincus, Mr. Joung was responsible for a number of the firm’s investments across conventional energy, including E&amp;P, gas gathering and transportation, and electricity generation. He also coordinated the firm’s renewables activities, including wind, solar, biofuels, and grid storage, which have translated to valuable learnings for the Board as we continue to drive APA’s environmental initiatives forward.</w:t>
      </w:r>
    </w:p>
    <w:p>
      <w:pPr>
        <w:spacing w:after="0" w:line="17" w:lineRule="exact"/>
        <w:rPr>
          <w:rFonts w:ascii="Times New Roman" w:cs="Times New Roman" w:eastAsia="Times New Roman" w:hAnsi="Times New Roman"/>
          <w:sz w:val="22"/>
          <w:szCs w:val="22"/>
          <w:color w:val="D9AB28"/>
        </w:rPr>
      </w:pPr>
    </w:p>
    <w:p>
      <w:pPr>
        <w:ind w:left="280" w:right="940" w:hanging="128"/>
        <w:spacing w:after="0" w:line="229" w:lineRule="auto"/>
        <w:tabs>
          <w:tab w:leader="none" w:pos="280" w:val="left"/>
        </w:tabs>
        <w:numPr>
          <w:ilvl w:val="0"/>
          <w:numId w:val="56"/>
        </w:numPr>
        <w:rPr>
          <w:rFonts w:ascii="Times New Roman" w:cs="Times New Roman" w:eastAsia="Times New Roman" w:hAnsi="Times New Roman"/>
          <w:sz w:val="22"/>
          <w:szCs w:val="22"/>
          <w:color w:val="D9AB28"/>
        </w:rPr>
      </w:pPr>
      <w:r>
        <w:rPr>
          <w:rFonts w:ascii="Arial" w:cs="Arial" w:eastAsia="Arial" w:hAnsi="Arial"/>
          <w:sz w:val="16"/>
          <w:szCs w:val="16"/>
          <w:color w:val="auto"/>
        </w:rPr>
        <w:t>Mr. Joung is deeply passionate about our Company’s recruiting efforts and has specific expertise in diverse recruitment and development, which has been instrumental in the Board’s oversight of the Company’s workforce and D&amp;I initiatives.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Leadership Experience, Service, and Qualifications</w:t>
      </w:r>
    </w:p>
    <w:p>
      <w:pPr>
        <w:spacing w:after="0" w:line="32" w:lineRule="exact"/>
        <w:rPr>
          <w:sz w:val="20"/>
          <w:szCs w:val="20"/>
          <w:color w:val="auto"/>
        </w:rPr>
      </w:pPr>
    </w:p>
    <w:p>
      <w:pPr>
        <w:ind w:left="280" w:hanging="128"/>
        <w:spacing w:after="0"/>
        <w:tabs>
          <w:tab w:leader="none" w:pos="280" w:val="left"/>
        </w:tabs>
        <w:numPr>
          <w:ilvl w:val="0"/>
          <w:numId w:val="57"/>
        </w:numPr>
        <w:rPr>
          <w:rFonts w:ascii="Times New Roman" w:cs="Times New Roman" w:eastAsia="Times New Roman" w:hAnsi="Times New Roman"/>
          <w:sz w:val="22"/>
          <w:szCs w:val="22"/>
          <w:color w:val="D9AB28"/>
        </w:rPr>
      </w:pPr>
      <w:r>
        <w:rPr>
          <w:rFonts w:ascii="Arial" w:cs="Arial" w:eastAsia="Arial" w:hAnsi="Arial"/>
          <w:sz w:val="16"/>
          <w:szCs w:val="16"/>
          <w:color w:val="auto"/>
        </w:rPr>
        <w:t>Former Director, Targa Resources Partners/Targa Corporation and Magellan Midstream Partners, L.P.</w:t>
      </w:r>
    </w:p>
    <w:p>
      <w:pPr>
        <w:spacing w:after="0" w:line="28" w:lineRule="exact"/>
        <w:rPr>
          <w:rFonts w:ascii="Times New Roman" w:cs="Times New Roman" w:eastAsia="Times New Roman" w:hAnsi="Times New Roman"/>
          <w:sz w:val="22"/>
          <w:szCs w:val="22"/>
          <w:color w:val="D9AB28"/>
        </w:rPr>
      </w:pPr>
    </w:p>
    <w:p>
      <w:pPr>
        <w:ind w:left="280" w:right="1280" w:hanging="128"/>
        <w:spacing w:after="0" w:line="221" w:lineRule="auto"/>
        <w:tabs>
          <w:tab w:leader="none" w:pos="280" w:val="left"/>
        </w:tabs>
        <w:numPr>
          <w:ilvl w:val="0"/>
          <w:numId w:val="57"/>
        </w:numPr>
        <w:rPr>
          <w:rFonts w:ascii="Times New Roman" w:cs="Times New Roman" w:eastAsia="Times New Roman" w:hAnsi="Times New Roman"/>
          <w:sz w:val="22"/>
          <w:szCs w:val="22"/>
          <w:color w:val="D9AB28"/>
        </w:rPr>
      </w:pPr>
      <w:r>
        <w:rPr>
          <w:rFonts w:ascii="Arial" w:cs="Arial" w:eastAsia="Arial" w:hAnsi="Arial"/>
          <w:sz w:val="16"/>
          <w:szCs w:val="16"/>
          <w:color w:val="auto"/>
        </w:rPr>
        <w:t>NACD-sponsored CERT Certificate in Cyber-Risk Oversight from Carnegie Mellon University’s Software Engineering Institute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Career Highlights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Warburg Pincus</w:t>
      </w:r>
      <w:r>
        <w:rPr>
          <w:rFonts w:ascii="Arial" w:cs="Arial" w:eastAsia="Arial" w:hAnsi="Arial"/>
          <w:sz w:val="16"/>
          <w:szCs w:val="16"/>
          <w:color w:val="auto"/>
        </w:rPr>
        <w:t>, 2005-2015</w:t>
      </w:r>
    </w:p>
    <w:p>
      <w:pPr>
        <w:spacing w:after="0" w:line="34" w:lineRule="exact"/>
        <w:rPr>
          <w:sz w:val="20"/>
          <w:szCs w:val="20"/>
          <w:color w:val="auto"/>
        </w:rPr>
      </w:pPr>
    </w:p>
    <w:p>
      <w:pPr>
        <w:ind w:left="280" w:hanging="128"/>
        <w:spacing w:after="0"/>
        <w:tabs>
          <w:tab w:leader="none" w:pos="280" w:val="left"/>
        </w:tabs>
        <w:numPr>
          <w:ilvl w:val="0"/>
          <w:numId w:val="58"/>
        </w:numPr>
        <w:rPr>
          <w:rFonts w:ascii="Times New Roman" w:cs="Times New Roman" w:eastAsia="Times New Roman" w:hAnsi="Times New Roman"/>
          <w:sz w:val="22"/>
          <w:szCs w:val="22"/>
          <w:color w:val="D9AB28"/>
        </w:rPr>
      </w:pPr>
      <w:r>
        <w:rPr>
          <w:rFonts w:ascii="Arial" w:cs="Arial" w:eastAsia="Arial" w:hAnsi="Arial"/>
          <w:sz w:val="16"/>
          <w:szCs w:val="16"/>
          <w:color w:val="auto"/>
        </w:rPr>
        <w:t>Partner</w:t>
      </w:r>
    </w:p>
    <w:p>
      <w:pPr>
        <w:spacing w:after="0" w:line="28" w:lineRule="exact"/>
        <w:rPr>
          <w:rFonts w:ascii="Times New Roman" w:cs="Times New Roman" w:eastAsia="Times New Roman" w:hAnsi="Times New Roman"/>
          <w:sz w:val="22"/>
          <w:szCs w:val="22"/>
          <w:color w:val="D9AB28"/>
        </w:rPr>
      </w:pPr>
    </w:p>
    <w:p>
      <w:pPr>
        <w:ind w:right="6240" w:firstLine="152"/>
        <w:spacing w:after="0" w:line="255" w:lineRule="auto"/>
        <w:tabs>
          <w:tab w:leader="none" w:pos="285" w:val="left"/>
        </w:tabs>
        <w:numPr>
          <w:ilvl w:val="0"/>
          <w:numId w:val="58"/>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Senior Advisor </w:t>
      </w:r>
      <w:r>
        <w:rPr>
          <w:rFonts w:ascii="Arial" w:cs="Arial" w:eastAsia="Arial" w:hAnsi="Arial"/>
          <w:sz w:val="16"/>
          <w:szCs w:val="16"/>
          <w:b w:val="1"/>
          <w:bCs w:val="1"/>
          <w:color w:val="auto"/>
        </w:rPr>
        <w:t>Goldman Sachs</w:t>
      </w:r>
      <w:r>
        <w:rPr>
          <w:rFonts w:ascii="Arial" w:cs="Arial" w:eastAsia="Arial" w:hAnsi="Arial"/>
          <w:sz w:val="16"/>
          <w:szCs w:val="16"/>
          <w:color w:val="auto"/>
        </w:rPr>
        <w:t>, 1987-2004</w:t>
      </w:r>
    </w:p>
    <w:p>
      <w:pPr>
        <w:spacing w:after="0" w:line="10" w:lineRule="exact"/>
        <w:rPr>
          <w:rFonts w:ascii="Times New Roman" w:cs="Times New Roman" w:eastAsia="Times New Roman" w:hAnsi="Times New Roman"/>
          <w:sz w:val="22"/>
          <w:szCs w:val="22"/>
          <w:color w:val="D9AB28"/>
        </w:rPr>
      </w:pPr>
    </w:p>
    <w:p>
      <w:pPr>
        <w:ind w:left="280" w:hanging="128"/>
        <w:spacing w:after="0"/>
        <w:tabs>
          <w:tab w:leader="none" w:pos="280" w:val="left"/>
        </w:tabs>
        <w:numPr>
          <w:ilvl w:val="0"/>
          <w:numId w:val="58"/>
        </w:numPr>
        <w:rPr>
          <w:rFonts w:ascii="Times New Roman" w:cs="Times New Roman" w:eastAsia="Times New Roman" w:hAnsi="Times New Roman"/>
          <w:sz w:val="22"/>
          <w:szCs w:val="22"/>
          <w:color w:val="D9AB28"/>
        </w:rPr>
      </w:pPr>
      <w:r>
        <w:rPr>
          <w:rFonts w:ascii="Arial" w:cs="Arial" w:eastAsia="Arial" w:hAnsi="Arial"/>
          <w:sz w:val="16"/>
          <w:szCs w:val="16"/>
          <w:color w:val="auto"/>
        </w:rPr>
        <w:t>Head, Americas Natural Resources Group, Investment Banking Division</w:t>
      </w:r>
    </w:p>
    <w:p>
      <w:pPr>
        <w:spacing w:after="0" w:line="13"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58"/>
        </w:numPr>
        <w:rPr>
          <w:rFonts w:ascii="Times New Roman" w:cs="Times New Roman" w:eastAsia="Times New Roman" w:hAnsi="Times New Roman"/>
          <w:sz w:val="22"/>
          <w:szCs w:val="22"/>
          <w:color w:val="D9AB28"/>
        </w:rPr>
      </w:pPr>
      <w:r>
        <w:rPr>
          <w:rFonts w:ascii="Arial" w:cs="Arial" w:eastAsia="Arial" w:hAnsi="Arial"/>
          <w:sz w:val="16"/>
          <w:szCs w:val="16"/>
          <w:color w:val="auto"/>
        </w:rPr>
        <w:t>Co-Head, Recruiting, Investment Banking Division</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58"/>
        </w:numPr>
        <w:rPr>
          <w:rFonts w:ascii="Times New Roman" w:cs="Times New Roman" w:eastAsia="Times New Roman" w:hAnsi="Times New Roman"/>
          <w:sz w:val="22"/>
          <w:szCs w:val="22"/>
          <w:color w:val="D9AB28"/>
        </w:rPr>
      </w:pPr>
      <w:r>
        <w:rPr>
          <w:rFonts w:ascii="Arial" w:cs="Arial" w:eastAsia="Arial" w:hAnsi="Arial"/>
          <w:sz w:val="16"/>
          <w:szCs w:val="16"/>
          <w:color w:val="auto"/>
        </w:rPr>
        <w:t>Co-Head, Women’s and Diversity Recruitment and Development, Investment Banking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69850</wp:posOffset>
            </wp:positionV>
            <wp:extent cx="61722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300"/>
            <w:col w:w="8320"/>
          </w:cols>
          <w:pgMar w:left="420" w:top="1246" w:right="439" w:bottom="46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11</w:t>
            </w:r>
          </w:p>
        </w:tc>
      </w:tr>
      <w:tr>
        <w:trPr>
          <w:trHeight w:val="878"/>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46" w:right="439" w:bottom="46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800735</wp:posOffset>
            </wp:positionV>
            <wp:extent cx="994410" cy="9944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99441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i w:val="1"/>
          <w:iCs w:val="1"/>
          <w:color w:val="auto"/>
        </w:rPr>
        <w:t>Non-Executive Chair of the Board since September 1, 2022</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February 2021</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APA Committees: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D6AF00"/>
        </w:rPr>
        <w:t xml:space="preserve">– </w:t>
      </w:r>
      <w:r>
        <w:rPr>
          <w:rFonts w:ascii="Arial" w:cs="Arial" w:eastAsia="Arial" w:hAnsi="Arial"/>
          <w:sz w:val="16"/>
          <w:szCs w:val="16"/>
          <w:color w:val="000000"/>
        </w:rPr>
        <w:t>None</w:t>
      </w:r>
    </w:p>
    <w:p>
      <w:pPr>
        <w:spacing w:after="0" w:line="97"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D6AF00"/>
        </w:rPr>
        <w:t xml:space="preserve">– </w:t>
      </w:r>
      <w:r>
        <w:rPr>
          <w:rFonts w:ascii="Arial" w:cs="Arial" w:eastAsia="Arial" w:hAnsi="Arial"/>
          <w:sz w:val="16"/>
          <w:szCs w:val="16"/>
          <w:color w:val="000000"/>
        </w:rPr>
        <w:t>CRH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H. LAMAR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-184150</wp:posOffset>
            </wp:positionV>
            <wp:extent cx="61722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Reasons for Nomination to Our Board</w:t>
      </w:r>
    </w:p>
    <w:p>
      <w:pPr>
        <w:spacing w:after="0" w:line="79" w:lineRule="exact"/>
        <w:rPr>
          <w:sz w:val="20"/>
          <w:szCs w:val="20"/>
          <w:color w:val="auto"/>
        </w:rPr>
      </w:pPr>
    </w:p>
    <w:p>
      <w:pPr>
        <w:ind w:left="280" w:right="40" w:hanging="128"/>
        <w:spacing w:after="0" w:line="229" w:lineRule="auto"/>
        <w:tabs>
          <w:tab w:leader="none" w:pos="280" w:val="left"/>
        </w:tabs>
        <w:numPr>
          <w:ilvl w:val="0"/>
          <w:numId w:val="61"/>
        </w:numPr>
        <w:rPr>
          <w:rFonts w:ascii="Times New Roman" w:cs="Times New Roman" w:eastAsia="Times New Roman" w:hAnsi="Times New Roman"/>
          <w:sz w:val="22"/>
          <w:szCs w:val="22"/>
          <w:color w:val="D9AB28"/>
        </w:rPr>
      </w:pPr>
      <w:r>
        <w:rPr>
          <w:rFonts w:ascii="Arial" w:cs="Arial" w:eastAsia="Arial" w:hAnsi="Arial"/>
          <w:sz w:val="16"/>
          <w:szCs w:val="16"/>
          <w:color w:val="auto"/>
        </w:rPr>
        <w:t>Mr. McKay spent his entire career at a major international oil and gas company. His extensive experience and global perspective assist the Board in the assessment and management of risks faced by natural gas and oil companies.</w:t>
      </w:r>
    </w:p>
    <w:p>
      <w:pPr>
        <w:spacing w:after="0" w:line="15" w:lineRule="exact"/>
        <w:rPr>
          <w:rFonts w:ascii="Times New Roman" w:cs="Times New Roman" w:eastAsia="Times New Roman" w:hAnsi="Times New Roman"/>
          <w:sz w:val="22"/>
          <w:szCs w:val="22"/>
          <w:color w:val="D9AB28"/>
        </w:rPr>
      </w:pPr>
    </w:p>
    <w:p>
      <w:pPr>
        <w:ind w:left="280" w:right="80" w:hanging="128"/>
        <w:spacing w:after="0" w:line="233" w:lineRule="auto"/>
        <w:tabs>
          <w:tab w:leader="none" w:pos="280" w:val="left"/>
        </w:tabs>
        <w:numPr>
          <w:ilvl w:val="0"/>
          <w:numId w:val="61"/>
        </w:numPr>
        <w:rPr>
          <w:rFonts w:ascii="Times New Roman" w:cs="Times New Roman" w:eastAsia="Times New Roman" w:hAnsi="Times New Roman"/>
          <w:sz w:val="22"/>
          <w:szCs w:val="22"/>
          <w:color w:val="D9AB28"/>
        </w:rPr>
      </w:pPr>
      <w:r>
        <w:rPr>
          <w:rFonts w:ascii="Arial" w:cs="Arial" w:eastAsia="Arial" w:hAnsi="Arial"/>
          <w:sz w:val="16"/>
          <w:szCs w:val="16"/>
          <w:color w:val="auto"/>
        </w:rPr>
        <w:t>Mr. McKay’s deep level of industry expertise has been critical to the Board’s ability to oversee APA’s complex capital investment and portfolio-related initiatives, including safe and on-budget maintenance turnarounds, modernization efforts, advancement of exploration and appraisal programs, and streamlining of portfolio assets.</w:t>
      </w:r>
    </w:p>
    <w:p>
      <w:pPr>
        <w:spacing w:after="0" w:line="15" w:lineRule="exact"/>
        <w:rPr>
          <w:rFonts w:ascii="Times New Roman" w:cs="Times New Roman" w:eastAsia="Times New Roman" w:hAnsi="Times New Roman"/>
          <w:sz w:val="22"/>
          <w:szCs w:val="22"/>
          <w:color w:val="D9AB28"/>
        </w:rPr>
      </w:pPr>
    </w:p>
    <w:p>
      <w:pPr>
        <w:ind w:left="280" w:right="20" w:hanging="128"/>
        <w:spacing w:after="0" w:line="229" w:lineRule="auto"/>
        <w:tabs>
          <w:tab w:leader="none" w:pos="280" w:val="left"/>
        </w:tabs>
        <w:numPr>
          <w:ilvl w:val="0"/>
          <w:numId w:val="61"/>
        </w:numPr>
        <w:rPr>
          <w:rFonts w:ascii="Times New Roman" w:cs="Times New Roman" w:eastAsia="Times New Roman" w:hAnsi="Times New Roman"/>
          <w:sz w:val="22"/>
          <w:szCs w:val="22"/>
          <w:color w:val="D9AB28"/>
        </w:rPr>
      </w:pPr>
      <w:r>
        <w:rPr>
          <w:rFonts w:ascii="Arial" w:cs="Arial" w:eastAsia="Arial" w:hAnsi="Arial"/>
          <w:sz w:val="16"/>
          <w:szCs w:val="16"/>
          <w:color w:val="auto"/>
        </w:rPr>
        <w:t>His experience as Chair of our Board includes time spent working closely with the rest of the Board, the management team, and our stakeholders. In particular, he is heavily involved in APA’s shareholder engagement and sustainability efforts.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Qualifications</w:t>
      </w:r>
    </w:p>
    <w:p>
      <w:pPr>
        <w:spacing w:after="0" w:line="71" w:lineRule="exact"/>
        <w:rPr>
          <w:sz w:val="20"/>
          <w:szCs w:val="20"/>
          <w:color w:val="auto"/>
        </w:rPr>
      </w:pPr>
    </w:p>
    <w:p>
      <w:pPr>
        <w:ind w:left="280" w:right="600" w:hanging="128"/>
        <w:spacing w:after="0" w:line="221" w:lineRule="auto"/>
        <w:tabs>
          <w:tab w:leader="none" w:pos="280" w:val="left"/>
        </w:tabs>
        <w:numPr>
          <w:ilvl w:val="0"/>
          <w:numId w:val="62"/>
        </w:numPr>
        <w:rPr>
          <w:rFonts w:ascii="Times New Roman" w:cs="Times New Roman" w:eastAsia="Times New Roman" w:hAnsi="Times New Roman"/>
          <w:sz w:val="22"/>
          <w:szCs w:val="22"/>
          <w:color w:val="D9AB28"/>
        </w:rPr>
      </w:pPr>
      <w:r>
        <w:rPr>
          <w:rFonts w:ascii="Arial" w:cs="Arial" w:eastAsia="Arial" w:hAnsi="Arial"/>
          <w:sz w:val="16"/>
          <w:szCs w:val="16"/>
          <w:color w:val="auto"/>
        </w:rPr>
        <w:t>NACD-sponsored CERT Certificate in Cyber-Risk Oversight from Carnegie Mellon University’s Software Engineering Institute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Career Highlights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BP p.l.c. </w:t>
      </w:r>
      <w:r>
        <w:rPr>
          <w:rFonts w:ascii="Arial" w:cs="Arial" w:eastAsia="Arial" w:hAnsi="Arial"/>
          <w:sz w:val="16"/>
          <w:szCs w:val="16"/>
          <w:color w:val="auto"/>
        </w:rPr>
        <w:t>(and Amoco prior to acquisition), 1980-2020</w:t>
      </w:r>
    </w:p>
    <w:p>
      <w:pPr>
        <w:spacing w:after="0" w:line="34" w:lineRule="exact"/>
        <w:rPr>
          <w:sz w:val="20"/>
          <w:szCs w:val="20"/>
          <w:color w:val="auto"/>
        </w:rPr>
      </w:pPr>
    </w:p>
    <w:p>
      <w:pPr>
        <w:ind w:left="280" w:hanging="128"/>
        <w:spacing w:after="0"/>
        <w:tabs>
          <w:tab w:leader="none" w:pos="280" w:val="left"/>
        </w:tabs>
        <w:numPr>
          <w:ilvl w:val="0"/>
          <w:numId w:val="63"/>
        </w:numPr>
        <w:rPr>
          <w:rFonts w:ascii="Times New Roman" w:cs="Times New Roman" w:eastAsia="Times New Roman" w:hAnsi="Times New Roman"/>
          <w:sz w:val="22"/>
          <w:szCs w:val="22"/>
          <w:color w:val="D9AB28"/>
        </w:rPr>
      </w:pPr>
      <w:r>
        <w:rPr>
          <w:rFonts w:ascii="Arial" w:cs="Arial" w:eastAsia="Arial" w:hAnsi="Arial"/>
          <w:sz w:val="16"/>
          <w:szCs w:val="16"/>
          <w:color w:val="auto"/>
        </w:rPr>
        <w:t>Chief Transition Officer</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63"/>
        </w:numPr>
        <w:rPr>
          <w:rFonts w:ascii="Times New Roman" w:cs="Times New Roman" w:eastAsia="Times New Roman" w:hAnsi="Times New Roman"/>
          <w:sz w:val="22"/>
          <w:szCs w:val="22"/>
          <w:color w:val="D9AB28"/>
        </w:rPr>
      </w:pPr>
      <w:r>
        <w:rPr>
          <w:rFonts w:ascii="Arial" w:cs="Arial" w:eastAsia="Arial" w:hAnsi="Arial"/>
          <w:sz w:val="16"/>
          <w:szCs w:val="16"/>
          <w:color w:val="auto"/>
        </w:rPr>
        <w:t>Deputy Chief Executive Officer</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63"/>
        </w:numPr>
        <w:rPr>
          <w:rFonts w:ascii="Times New Roman" w:cs="Times New Roman" w:eastAsia="Times New Roman" w:hAnsi="Times New Roman"/>
          <w:sz w:val="22"/>
          <w:szCs w:val="22"/>
          <w:color w:val="D9AB28"/>
        </w:rPr>
      </w:pPr>
      <w:r>
        <w:rPr>
          <w:rFonts w:ascii="Arial" w:cs="Arial" w:eastAsia="Arial" w:hAnsi="Arial"/>
          <w:sz w:val="16"/>
          <w:szCs w:val="16"/>
          <w:color w:val="auto"/>
        </w:rPr>
        <w:t>Chief Executive, Worldwide Upstream Business</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63"/>
        </w:numPr>
        <w:rPr>
          <w:rFonts w:ascii="Times New Roman" w:cs="Times New Roman" w:eastAsia="Times New Roman" w:hAnsi="Times New Roman"/>
          <w:sz w:val="22"/>
          <w:szCs w:val="22"/>
          <w:color w:val="D9AB28"/>
        </w:rPr>
      </w:pPr>
      <w:r>
        <w:rPr>
          <w:rFonts w:ascii="Arial" w:cs="Arial" w:eastAsia="Arial" w:hAnsi="Arial"/>
          <w:sz w:val="16"/>
          <w:szCs w:val="16"/>
          <w:color w:val="auto"/>
        </w:rPr>
        <w:t>Chair and President, BP America</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63"/>
        </w:numPr>
        <w:rPr>
          <w:rFonts w:ascii="Times New Roman" w:cs="Times New Roman" w:eastAsia="Times New Roman" w:hAnsi="Times New Roman"/>
          <w:sz w:val="22"/>
          <w:szCs w:val="22"/>
          <w:color w:val="D9AB28"/>
        </w:rPr>
      </w:pPr>
      <w:r>
        <w:rPr>
          <w:rFonts w:ascii="Arial" w:cs="Arial" w:eastAsia="Arial" w:hAnsi="Arial"/>
          <w:sz w:val="16"/>
          <w:szCs w:val="16"/>
          <w:color w:val="auto"/>
        </w:rPr>
        <w:t>Executive Vice President</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63"/>
        </w:numPr>
        <w:rPr>
          <w:rFonts w:ascii="Times New Roman" w:cs="Times New Roman" w:eastAsia="Times New Roman" w:hAnsi="Times New Roman"/>
          <w:sz w:val="22"/>
          <w:szCs w:val="22"/>
          <w:color w:val="D9AB28"/>
        </w:rPr>
      </w:pPr>
      <w:r>
        <w:rPr>
          <w:rFonts w:ascii="Arial" w:cs="Arial" w:eastAsia="Arial" w:hAnsi="Arial"/>
          <w:sz w:val="16"/>
          <w:szCs w:val="16"/>
          <w:color w:val="auto"/>
        </w:rPr>
        <w:t>Head of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224155</wp:posOffset>
            </wp:positionV>
            <wp:extent cx="61722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300"/>
            <w:col w:w="7640"/>
          </w:cols>
          <w:pgMar w:left="1080" w:top="1246"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-1170305</wp:posOffset>
            </wp:positionV>
            <wp:extent cx="994410" cy="9944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94410" cy="99441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December 2014</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APA Committees:</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Audit</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Cybersecurity</w:t>
      </w:r>
    </w:p>
    <w:p>
      <w:pPr>
        <w:spacing w:after="0" w:line="101"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220" w:right="380" w:hanging="135"/>
        <w:spacing w:after="0" w:line="265" w:lineRule="auto"/>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The Williams</w:t>
      </w:r>
      <w:r>
        <w:rPr>
          <w:rFonts w:ascii="Arial" w:cs="Arial" w:eastAsia="Arial" w:hAnsi="Arial"/>
          <w:sz w:val="16"/>
          <w:szCs w:val="16"/>
          <w:color w:val="D9AB28"/>
        </w:rPr>
        <w:t xml:space="preserve"> </w:t>
      </w:r>
      <w:r>
        <w:rPr>
          <w:rFonts w:ascii="Arial" w:cs="Arial" w:eastAsia="Arial" w:hAnsi="Arial"/>
          <w:sz w:val="16"/>
          <w:szCs w:val="16"/>
          <w:color w:val="000000"/>
        </w:rPr>
        <w:t>Companies, Inc.</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PETER A. RAGAUSS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Reasons for Nomination to Our Board</w:t>
      </w:r>
    </w:p>
    <w:p>
      <w:pPr>
        <w:spacing w:after="0" w:line="79" w:lineRule="exact"/>
        <w:rPr>
          <w:sz w:val="20"/>
          <w:szCs w:val="20"/>
          <w:color w:val="auto"/>
        </w:rPr>
      </w:pPr>
    </w:p>
    <w:p>
      <w:pPr>
        <w:ind w:left="280" w:right="100" w:hanging="128"/>
        <w:spacing w:after="0" w:line="235" w:lineRule="auto"/>
        <w:tabs>
          <w:tab w:leader="none" w:pos="280" w:val="left"/>
        </w:tabs>
        <w:numPr>
          <w:ilvl w:val="0"/>
          <w:numId w:val="66"/>
        </w:numPr>
        <w:rPr>
          <w:rFonts w:ascii="Times New Roman" w:cs="Times New Roman" w:eastAsia="Times New Roman" w:hAnsi="Times New Roman"/>
          <w:sz w:val="22"/>
          <w:szCs w:val="22"/>
          <w:color w:val="D9AB28"/>
        </w:rPr>
      </w:pPr>
      <w:r>
        <w:rPr>
          <w:rFonts w:ascii="Arial" w:cs="Arial" w:eastAsia="Arial" w:hAnsi="Arial"/>
          <w:sz w:val="16"/>
          <w:szCs w:val="16"/>
          <w:color w:val="auto"/>
        </w:rPr>
        <w:t>Mr. Ragauss brings a wealth of accounting, financial, and executive experience to the Board, having held senior positions, including as chief executive officer, chief financial officer, controller, and vice president of finance. His wide and varied experiences in the oil and gas industry, including in the area of finance, have provided him with unique understanding and insight concerning the risks faced by oil and gas companies.</w:t>
      </w:r>
    </w:p>
    <w:p>
      <w:pPr>
        <w:spacing w:after="0" w:line="17" w:lineRule="exact"/>
        <w:rPr>
          <w:rFonts w:ascii="Times New Roman" w:cs="Times New Roman" w:eastAsia="Times New Roman" w:hAnsi="Times New Roman"/>
          <w:sz w:val="22"/>
          <w:szCs w:val="22"/>
          <w:color w:val="D9AB28"/>
        </w:rPr>
      </w:pPr>
    </w:p>
    <w:p>
      <w:pPr>
        <w:ind w:left="280" w:hanging="128"/>
        <w:spacing w:after="0" w:line="229" w:lineRule="auto"/>
        <w:tabs>
          <w:tab w:leader="none" w:pos="280" w:val="left"/>
        </w:tabs>
        <w:numPr>
          <w:ilvl w:val="0"/>
          <w:numId w:val="66"/>
        </w:numPr>
        <w:rPr>
          <w:rFonts w:ascii="Times New Roman" w:cs="Times New Roman" w:eastAsia="Times New Roman" w:hAnsi="Times New Roman"/>
          <w:sz w:val="22"/>
          <w:szCs w:val="22"/>
          <w:color w:val="D9AB28"/>
        </w:rPr>
      </w:pPr>
      <w:r>
        <w:rPr>
          <w:rFonts w:ascii="Arial" w:cs="Arial" w:eastAsia="Arial" w:hAnsi="Arial"/>
          <w:sz w:val="16"/>
          <w:szCs w:val="16"/>
          <w:color w:val="auto"/>
        </w:rPr>
        <w:t>His board service at The Williams Companies, whose core business is natural gas gathering, processing, and transportation, has provided valuable learnings to our Board regarding APA’s strategic initiatives as well as corporate governance best practices.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Qualifications</w:t>
      </w:r>
    </w:p>
    <w:p>
      <w:pPr>
        <w:spacing w:after="0" w:line="71" w:lineRule="exact"/>
        <w:rPr>
          <w:sz w:val="20"/>
          <w:szCs w:val="20"/>
          <w:color w:val="auto"/>
        </w:rPr>
      </w:pPr>
    </w:p>
    <w:p>
      <w:pPr>
        <w:ind w:left="280" w:right="600" w:hanging="128"/>
        <w:spacing w:after="0" w:line="221" w:lineRule="auto"/>
        <w:tabs>
          <w:tab w:leader="none" w:pos="280" w:val="left"/>
        </w:tabs>
        <w:numPr>
          <w:ilvl w:val="0"/>
          <w:numId w:val="67"/>
        </w:numPr>
        <w:rPr>
          <w:rFonts w:ascii="Times New Roman" w:cs="Times New Roman" w:eastAsia="Times New Roman" w:hAnsi="Times New Roman"/>
          <w:sz w:val="22"/>
          <w:szCs w:val="22"/>
          <w:color w:val="D9AB28"/>
        </w:rPr>
      </w:pPr>
      <w:r>
        <w:rPr>
          <w:rFonts w:ascii="Arial" w:cs="Arial" w:eastAsia="Arial" w:hAnsi="Arial"/>
          <w:sz w:val="16"/>
          <w:szCs w:val="16"/>
          <w:color w:val="auto"/>
        </w:rPr>
        <w:t>NACD-sponsored CERT Certificate in Cyber-Risk Oversight from Carnegie Mellon University’s Software Engineering Institute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Career Highlights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Baker Hughes</w:t>
      </w:r>
      <w:r>
        <w:rPr>
          <w:rFonts w:ascii="Arial" w:cs="Arial" w:eastAsia="Arial" w:hAnsi="Arial"/>
          <w:sz w:val="16"/>
          <w:szCs w:val="16"/>
          <w:color w:val="auto"/>
        </w:rPr>
        <w:t>, 2006-2014</w:t>
      </w:r>
    </w:p>
    <w:p>
      <w:pPr>
        <w:spacing w:after="0" w:line="73" w:lineRule="exact"/>
        <w:rPr>
          <w:sz w:val="20"/>
          <w:szCs w:val="20"/>
          <w:color w:val="auto"/>
        </w:rPr>
      </w:pPr>
    </w:p>
    <w:p>
      <w:pPr>
        <w:jc w:val="both"/>
        <w:ind w:right="3800" w:firstLine="152"/>
        <w:spacing w:after="0" w:line="255" w:lineRule="auto"/>
        <w:tabs>
          <w:tab w:leader="none" w:pos="285" w:val="left"/>
        </w:tabs>
        <w:numPr>
          <w:ilvl w:val="0"/>
          <w:numId w:val="68"/>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Senior Vice President and Chief Financial Officer </w:t>
      </w:r>
      <w:r>
        <w:rPr>
          <w:rFonts w:ascii="Arial" w:cs="Arial" w:eastAsia="Arial" w:hAnsi="Arial"/>
          <w:sz w:val="16"/>
          <w:szCs w:val="16"/>
          <w:b w:val="1"/>
          <w:bCs w:val="1"/>
          <w:color w:val="auto"/>
        </w:rPr>
        <w:t xml:space="preserve">BP p.l.c. </w:t>
      </w:r>
      <w:r>
        <w:rPr>
          <w:rFonts w:ascii="Arial" w:cs="Arial" w:eastAsia="Arial" w:hAnsi="Arial"/>
          <w:sz w:val="16"/>
          <w:szCs w:val="16"/>
          <w:color w:val="auto"/>
        </w:rPr>
        <w:t>(and Amoco prior to acquisition), 1998-2006</w:t>
      </w:r>
    </w:p>
    <w:p>
      <w:pPr>
        <w:spacing w:after="0" w:line="10" w:lineRule="exact"/>
        <w:rPr>
          <w:rFonts w:ascii="Times New Roman" w:cs="Times New Roman" w:eastAsia="Times New Roman" w:hAnsi="Times New Roman"/>
          <w:sz w:val="22"/>
          <w:szCs w:val="22"/>
          <w:color w:val="D9AB28"/>
        </w:rPr>
      </w:pPr>
    </w:p>
    <w:p>
      <w:pPr>
        <w:ind w:left="280" w:hanging="128"/>
        <w:spacing w:after="0"/>
        <w:tabs>
          <w:tab w:leader="none" w:pos="280" w:val="left"/>
        </w:tabs>
        <w:numPr>
          <w:ilvl w:val="0"/>
          <w:numId w:val="68"/>
        </w:numPr>
        <w:rPr>
          <w:rFonts w:ascii="Times New Roman" w:cs="Times New Roman" w:eastAsia="Times New Roman" w:hAnsi="Times New Roman"/>
          <w:sz w:val="22"/>
          <w:szCs w:val="22"/>
          <w:color w:val="D9AB28"/>
        </w:rPr>
      </w:pPr>
      <w:r>
        <w:rPr>
          <w:rFonts w:ascii="Arial" w:cs="Arial" w:eastAsia="Arial" w:hAnsi="Arial"/>
          <w:sz w:val="16"/>
          <w:szCs w:val="16"/>
          <w:color w:val="auto"/>
        </w:rPr>
        <w:t>Controller, Refining and Marketing</w:t>
      </w:r>
    </w:p>
    <w:p>
      <w:pPr>
        <w:spacing w:after="0" w:line="13"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68"/>
        </w:numPr>
        <w:rPr>
          <w:rFonts w:ascii="Times New Roman" w:cs="Times New Roman" w:eastAsia="Times New Roman" w:hAnsi="Times New Roman"/>
          <w:sz w:val="22"/>
          <w:szCs w:val="22"/>
          <w:color w:val="D9AB28"/>
        </w:rPr>
      </w:pPr>
      <w:r>
        <w:rPr>
          <w:rFonts w:ascii="Arial" w:cs="Arial" w:eastAsia="Arial" w:hAnsi="Arial"/>
          <w:sz w:val="16"/>
          <w:szCs w:val="16"/>
          <w:color w:val="auto"/>
        </w:rPr>
        <w:t>Chief Executive Officer, Air BP</w:t>
      </w:r>
    </w:p>
    <w:p>
      <w:pPr>
        <w:spacing w:after="0" w:line="14"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68"/>
        </w:numPr>
        <w:rPr>
          <w:rFonts w:ascii="Times New Roman" w:cs="Times New Roman" w:eastAsia="Times New Roman" w:hAnsi="Times New Roman"/>
          <w:sz w:val="22"/>
          <w:szCs w:val="22"/>
          <w:color w:val="D9AB28"/>
        </w:rPr>
      </w:pPr>
      <w:r>
        <w:rPr>
          <w:rFonts w:ascii="Arial" w:cs="Arial" w:eastAsia="Arial" w:hAnsi="Arial"/>
          <w:sz w:val="16"/>
          <w:szCs w:val="16"/>
          <w:color w:val="auto"/>
        </w:rPr>
        <w:t>Assistant to Group Chief Executive, BP Amoco</w:t>
      </w:r>
    </w:p>
    <w:p>
      <w:pPr>
        <w:spacing w:after="0" w:line="28" w:lineRule="exact"/>
        <w:rPr>
          <w:rFonts w:ascii="Times New Roman" w:cs="Times New Roman" w:eastAsia="Times New Roman" w:hAnsi="Times New Roman"/>
          <w:sz w:val="22"/>
          <w:szCs w:val="22"/>
          <w:color w:val="D9AB28"/>
        </w:rPr>
      </w:pPr>
    </w:p>
    <w:p>
      <w:pPr>
        <w:ind w:right="1480" w:firstLine="152"/>
        <w:spacing w:after="0" w:line="248" w:lineRule="auto"/>
        <w:tabs>
          <w:tab w:leader="none" w:pos="285" w:val="left"/>
        </w:tabs>
        <w:numPr>
          <w:ilvl w:val="0"/>
          <w:numId w:val="68"/>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Vice President of Finance and Portfolio Management, Amoco Energy International </w:t>
      </w:r>
      <w:r>
        <w:rPr>
          <w:rFonts w:ascii="Arial" w:cs="Arial" w:eastAsia="Arial" w:hAnsi="Arial"/>
          <w:sz w:val="16"/>
          <w:szCs w:val="16"/>
          <w:b w:val="1"/>
          <w:bCs w:val="1"/>
          <w:color w:val="auto"/>
        </w:rPr>
        <w:t>El Paso Energy International</w:t>
      </w:r>
      <w:r>
        <w:rPr>
          <w:rFonts w:ascii="Arial" w:cs="Arial" w:eastAsia="Arial" w:hAnsi="Arial"/>
          <w:sz w:val="16"/>
          <w:szCs w:val="16"/>
          <w:color w:val="auto"/>
        </w:rPr>
        <w:t>, 1996-1998</w:t>
      </w:r>
    </w:p>
    <w:p>
      <w:pPr>
        <w:spacing w:after="0" w:line="9" w:lineRule="exact"/>
        <w:rPr>
          <w:rFonts w:ascii="Times New Roman" w:cs="Times New Roman" w:eastAsia="Times New Roman" w:hAnsi="Times New Roman"/>
          <w:sz w:val="22"/>
          <w:szCs w:val="22"/>
          <w:color w:val="D9AB28"/>
        </w:rPr>
      </w:pPr>
    </w:p>
    <w:p>
      <w:pPr>
        <w:ind w:left="280" w:hanging="128"/>
        <w:spacing w:after="0"/>
        <w:tabs>
          <w:tab w:leader="none" w:pos="280" w:val="left"/>
        </w:tabs>
        <w:numPr>
          <w:ilvl w:val="0"/>
          <w:numId w:val="68"/>
        </w:numPr>
        <w:rPr>
          <w:rFonts w:ascii="Times New Roman" w:cs="Times New Roman" w:eastAsia="Times New Roman" w:hAnsi="Times New Roman"/>
          <w:sz w:val="22"/>
          <w:szCs w:val="22"/>
          <w:color w:val="D9AB28"/>
        </w:rPr>
      </w:pPr>
      <w:r>
        <w:rPr>
          <w:rFonts w:ascii="Arial" w:cs="Arial" w:eastAsia="Arial" w:hAnsi="Arial"/>
          <w:sz w:val="16"/>
          <w:szCs w:val="16"/>
          <w:color w:val="auto"/>
        </w:rPr>
        <w:t>Vice President, Finance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Tenneco Inc.</w:t>
      </w:r>
      <w:r>
        <w:rPr>
          <w:rFonts w:ascii="Arial" w:cs="Arial" w:eastAsia="Arial" w:hAnsi="Arial"/>
          <w:sz w:val="16"/>
          <w:szCs w:val="16"/>
          <w:color w:val="auto"/>
        </w:rPr>
        <w:t>, 1993-1996</w:t>
      </w:r>
    </w:p>
    <w:p>
      <w:pPr>
        <w:spacing w:after="0" w:line="48" w:lineRule="exact"/>
        <w:rPr>
          <w:sz w:val="20"/>
          <w:szCs w:val="20"/>
          <w:color w:val="auto"/>
        </w:rPr>
      </w:pPr>
    </w:p>
    <w:p>
      <w:pPr>
        <w:ind w:left="280" w:hanging="128"/>
        <w:spacing w:after="0"/>
        <w:tabs>
          <w:tab w:leader="none" w:pos="280" w:val="left"/>
        </w:tabs>
        <w:numPr>
          <w:ilvl w:val="0"/>
          <w:numId w:val="69"/>
        </w:numPr>
        <w:rPr>
          <w:rFonts w:ascii="Times New Roman" w:cs="Times New Roman" w:eastAsia="Times New Roman" w:hAnsi="Times New Roman"/>
          <w:sz w:val="22"/>
          <w:szCs w:val="22"/>
          <w:color w:val="D9AB28"/>
        </w:rPr>
      </w:pPr>
      <w:r>
        <w:rPr>
          <w:rFonts w:ascii="Arial" w:cs="Arial" w:eastAsia="Arial" w:hAnsi="Arial"/>
          <w:sz w:val="16"/>
          <w:szCs w:val="16"/>
          <w:color w:val="auto"/>
        </w:rPr>
        <w:t>Various positions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Kidder, Peabody &amp; Co</w:t>
      </w:r>
      <w:r>
        <w:rPr>
          <w:rFonts w:ascii="Arial" w:cs="Arial" w:eastAsia="Arial" w:hAnsi="Arial"/>
          <w:sz w:val="16"/>
          <w:szCs w:val="16"/>
          <w:color w:val="auto"/>
        </w:rPr>
        <w:t>, 1987-1993</w:t>
      </w:r>
    </w:p>
    <w:p>
      <w:pPr>
        <w:spacing w:after="0" w:line="34" w:lineRule="exact"/>
        <w:rPr>
          <w:sz w:val="20"/>
          <w:szCs w:val="20"/>
          <w:color w:val="auto"/>
        </w:rPr>
      </w:pPr>
    </w:p>
    <w:p>
      <w:pPr>
        <w:ind w:left="280" w:hanging="128"/>
        <w:spacing w:after="0"/>
        <w:tabs>
          <w:tab w:leader="none" w:pos="280" w:val="left"/>
        </w:tabs>
        <w:numPr>
          <w:ilvl w:val="0"/>
          <w:numId w:val="70"/>
        </w:numPr>
        <w:rPr>
          <w:rFonts w:ascii="Times New Roman" w:cs="Times New Roman" w:eastAsia="Times New Roman" w:hAnsi="Times New Roman"/>
          <w:sz w:val="22"/>
          <w:szCs w:val="22"/>
          <w:color w:val="D9AB28"/>
        </w:rPr>
      </w:pPr>
      <w:r>
        <w:rPr>
          <w:rFonts w:ascii="Arial" w:cs="Arial" w:eastAsia="Arial" w:hAnsi="Arial"/>
          <w:sz w:val="16"/>
          <w:szCs w:val="16"/>
          <w:color w:val="auto"/>
        </w:rPr>
        <w:t>Various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52705</wp:posOffset>
            </wp:positionV>
            <wp:extent cx="61722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300"/>
            <w:col w:w="7640"/>
          </w:cols>
          <w:pgMar w:left="1080" w:top="1246" w:right="111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246" w:right="111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800735</wp:posOffset>
            </wp:positionV>
            <wp:extent cx="994410" cy="9944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99441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February 2022</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APA Committees:</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D6AF00"/>
        </w:rPr>
        <w:t xml:space="preserve">– </w:t>
      </w:r>
      <w:r>
        <w:rPr>
          <w:rFonts w:ascii="Arial" w:cs="Arial" w:eastAsia="Arial" w:hAnsi="Arial"/>
          <w:sz w:val="16"/>
          <w:szCs w:val="16"/>
          <w:color w:val="000000"/>
        </w:rPr>
        <w:t>Cybersecurity</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6"/>
          <w:szCs w:val="16"/>
          <w:color w:val="D6AF00"/>
        </w:rPr>
        <w:t xml:space="preserve">– </w:t>
      </w:r>
      <w:r>
        <w:rPr>
          <w:rFonts w:ascii="Arial" w:cs="Arial" w:eastAsia="Arial" w:hAnsi="Arial"/>
          <w:sz w:val="16"/>
          <w:szCs w:val="16"/>
          <w:color w:val="000000"/>
        </w:rPr>
        <w:t>MD&amp;C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DAVID L. STOVER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-184150</wp:posOffset>
            </wp:positionV>
            <wp:extent cx="61722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Reasons for Nomination to Our Board</w:t>
      </w:r>
    </w:p>
    <w:p>
      <w:pPr>
        <w:spacing w:after="0" w:line="79" w:lineRule="exact"/>
        <w:rPr>
          <w:sz w:val="20"/>
          <w:szCs w:val="20"/>
          <w:color w:val="auto"/>
        </w:rPr>
      </w:pPr>
    </w:p>
    <w:p>
      <w:pPr>
        <w:ind w:left="280" w:right="760" w:hanging="128"/>
        <w:spacing w:after="0" w:line="229" w:lineRule="auto"/>
        <w:tabs>
          <w:tab w:leader="none" w:pos="280" w:val="left"/>
        </w:tabs>
        <w:numPr>
          <w:ilvl w:val="0"/>
          <w:numId w:val="72"/>
        </w:numPr>
        <w:rPr>
          <w:rFonts w:ascii="Times New Roman" w:cs="Times New Roman" w:eastAsia="Times New Roman" w:hAnsi="Times New Roman"/>
          <w:sz w:val="22"/>
          <w:szCs w:val="22"/>
          <w:color w:val="D9AB28"/>
        </w:rPr>
      </w:pPr>
      <w:r>
        <w:rPr>
          <w:rFonts w:ascii="Arial" w:cs="Arial" w:eastAsia="Arial" w:hAnsi="Arial"/>
          <w:sz w:val="16"/>
          <w:szCs w:val="16"/>
          <w:color w:val="auto"/>
        </w:rPr>
        <w:t>Mr. Stover’s experience as the board chair and chief executive officer at an international oil and gas company and his career working in diverse roles in the industry further enhances the Board’s ability to continue fulfilling its critical oversight role across APA’s complex operations.</w:t>
      </w:r>
    </w:p>
    <w:p>
      <w:pPr>
        <w:spacing w:after="0" w:line="55" w:lineRule="exact"/>
        <w:rPr>
          <w:rFonts w:ascii="Times New Roman" w:cs="Times New Roman" w:eastAsia="Times New Roman" w:hAnsi="Times New Roman"/>
          <w:sz w:val="22"/>
          <w:szCs w:val="22"/>
          <w:color w:val="D9AB28"/>
        </w:rPr>
      </w:pPr>
    </w:p>
    <w:p>
      <w:pPr>
        <w:ind w:left="280" w:right="900" w:hanging="128"/>
        <w:spacing w:after="0" w:line="233" w:lineRule="auto"/>
        <w:tabs>
          <w:tab w:leader="none" w:pos="280" w:val="left"/>
        </w:tabs>
        <w:numPr>
          <w:ilvl w:val="0"/>
          <w:numId w:val="72"/>
        </w:numPr>
        <w:rPr>
          <w:rFonts w:ascii="Times New Roman" w:cs="Times New Roman" w:eastAsia="Times New Roman" w:hAnsi="Times New Roman"/>
          <w:sz w:val="22"/>
          <w:szCs w:val="22"/>
          <w:color w:val="D9AB28"/>
        </w:rPr>
      </w:pPr>
      <w:r>
        <w:rPr>
          <w:rFonts w:ascii="Arial" w:cs="Arial" w:eastAsia="Arial" w:hAnsi="Arial"/>
          <w:sz w:val="16"/>
          <w:szCs w:val="16"/>
          <w:color w:val="auto"/>
        </w:rPr>
        <w:t>Mr. Stover’s experience working with significant exploration success and offshore operations in the Eastern Mediterranean, West Africa, and Gulf of Mexico, together with his extensive onshore unconventional experience, including in the Permian Basin, also brings key insights to our Board for developing and bringing online large-scale discoveries.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Qualifications</w:t>
      </w:r>
    </w:p>
    <w:p>
      <w:pPr>
        <w:spacing w:after="0" w:line="84" w:lineRule="exact"/>
        <w:rPr>
          <w:sz w:val="20"/>
          <w:szCs w:val="20"/>
          <w:color w:val="auto"/>
        </w:rPr>
      </w:pPr>
    </w:p>
    <w:p>
      <w:pPr>
        <w:ind w:left="280" w:right="1280" w:hanging="128"/>
        <w:spacing w:after="0" w:line="221" w:lineRule="auto"/>
        <w:tabs>
          <w:tab w:leader="none" w:pos="280" w:val="left"/>
        </w:tabs>
        <w:numPr>
          <w:ilvl w:val="0"/>
          <w:numId w:val="73"/>
        </w:numPr>
        <w:rPr>
          <w:rFonts w:ascii="Times New Roman" w:cs="Times New Roman" w:eastAsia="Times New Roman" w:hAnsi="Times New Roman"/>
          <w:sz w:val="22"/>
          <w:szCs w:val="22"/>
          <w:color w:val="D9AB28"/>
        </w:rPr>
      </w:pPr>
      <w:r>
        <w:rPr>
          <w:rFonts w:ascii="Arial" w:cs="Arial" w:eastAsia="Arial" w:hAnsi="Arial"/>
          <w:sz w:val="16"/>
          <w:szCs w:val="16"/>
          <w:color w:val="auto"/>
        </w:rPr>
        <w:t>NACD-sponsored CERT Certificate in Cyber-Risk Oversight from Carnegie Mellon University’s Software Engineering Institute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Career Highlights</w:t>
      </w:r>
    </w:p>
    <w:p>
      <w:pPr>
        <w:spacing w:after="0" w:line="37" w:lineRule="exact"/>
        <w:rPr>
          <w:sz w:val="20"/>
          <w:szCs w:val="20"/>
          <w:color w:val="auto"/>
        </w:rPr>
      </w:pPr>
    </w:p>
    <w:p>
      <w:pPr>
        <w:sectPr>
          <w:pgSz w:w="11900" w:h="16838" w:orient="portrait"/>
          <w:cols w:equalWidth="0" w:num="2">
            <w:col w:w="2040" w:space="680"/>
            <w:col w:w="8320"/>
          </w:cols>
          <w:pgMar w:left="420" w:top="1246" w:right="439" w:bottom="1440" w:gutter="0" w:footer="0" w:header="0"/>
        </w:sectPr>
      </w:pPr>
    </w:p>
    <w:tbl>
      <w:tblPr>
        <w:tblLayout w:type="fixed"/>
        <w:tblInd w:w="660" w:type="dxa"/>
        <w:tblCellMar>
          <w:top w:w="0" w:type="dxa"/>
          <w:left w:w="0" w:type="dxa"/>
          <w:bottom w:w="0" w:type="dxa"/>
          <w:right w:w="0" w:type="dxa"/>
        </w:tblCellMar>
      </w:tblPr>
      <w:tr>
        <w:trPr>
          <w:trHeight w:val="209"/>
        </w:trPr>
        <w:tc>
          <w:tcPr>
            <w:tcW w:w="1900" w:type="dxa"/>
            <w:vAlign w:val="bottom"/>
          </w:tcPr>
          <w:p>
            <w:pPr>
              <w:spacing w:after="0"/>
              <w:rPr>
                <w:sz w:val="20"/>
                <w:szCs w:val="20"/>
                <w:color w:val="auto"/>
              </w:rPr>
            </w:pPr>
            <w:r>
              <w:rPr>
                <w:rFonts w:ascii="Arial" w:cs="Arial" w:eastAsia="Arial" w:hAnsi="Arial"/>
                <w:sz w:val="16"/>
                <w:szCs w:val="16"/>
                <w:b w:val="1"/>
                <w:bCs w:val="1"/>
                <w:color w:val="auto"/>
              </w:rPr>
              <w:t>Other Public Company</w:t>
            </w:r>
          </w:p>
        </w:tc>
        <w:tc>
          <w:tcPr>
            <w:tcW w:w="5880" w:type="dxa"/>
            <w:vAlign w:val="bottom"/>
          </w:tcPr>
          <w:p>
            <w:pPr>
              <w:ind w:left="160"/>
              <w:spacing w:after="0"/>
              <w:rPr>
                <w:sz w:val="20"/>
                <w:szCs w:val="20"/>
                <w:color w:val="auto"/>
              </w:rPr>
            </w:pPr>
            <w:r>
              <w:rPr>
                <w:rFonts w:ascii="Arial" w:cs="Arial" w:eastAsia="Arial" w:hAnsi="Arial"/>
                <w:sz w:val="16"/>
                <w:szCs w:val="16"/>
                <w:b w:val="1"/>
                <w:bCs w:val="1"/>
                <w:color w:val="auto"/>
              </w:rPr>
              <w:t>Noble Energy, Inc.</w:t>
            </w:r>
            <w:r>
              <w:rPr>
                <w:rFonts w:ascii="Arial" w:cs="Arial" w:eastAsia="Arial" w:hAnsi="Arial"/>
                <w:sz w:val="16"/>
                <w:szCs w:val="16"/>
                <w:color w:val="auto"/>
              </w:rPr>
              <w:t>, 2002-2020</w:t>
            </w:r>
          </w:p>
        </w:tc>
        <w:tc>
          <w:tcPr>
            <w:tcW w:w="0" w:type="dxa"/>
            <w:vAlign w:val="bottom"/>
          </w:tcPr>
          <w:p>
            <w:pPr>
              <w:spacing w:after="0"/>
              <w:rPr>
                <w:sz w:val="1"/>
                <w:szCs w:val="1"/>
                <w:color w:val="auto"/>
              </w:rPr>
            </w:pPr>
          </w:p>
        </w:tc>
      </w:tr>
      <w:tr>
        <w:trPr>
          <w:trHeight w:val="217"/>
        </w:trPr>
        <w:tc>
          <w:tcPr>
            <w:tcW w:w="1900" w:type="dxa"/>
            <w:vAlign w:val="bottom"/>
          </w:tcPr>
          <w:p>
            <w:pPr>
              <w:spacing w:after="0"/>
              <w:rPr>
                <w:sz w:val="20"/>
                <w:szCs w:val="20"/>
                <w:color w:val="auto"/>
              </w:rPr>
            </w:pPr>
            <w:r>
              <w:rPr>
                <w:rFonts w:ascii="Arial" w:cs="Arial" w:eastAsia="Arial" w:hAnsi="Arial"/>
                <w:sz w:val="16"/>
                <w:szCs w:val="16"/>
                <w:b w:val="1"/>
                <w:bCs w:val="1"/>
                <w:color w:val="auto"/>
              </w:rPr>
              <w:t>Boards:</w:t>
            </w:r>
          </w:p>
        </w:tc>
        <w:tc>
          <w:tcPr>
            <w:tcW w:w="588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Board Chair and Chief Executive Officer</w:t>
            </w:r>
          </w:p>
        </w:tc>
        <w:tc>
          <w:tcPr>
            <w:tcW w:w="0" w:type="dxa"/>
            <w:vAlign w:val="bottom"/>
          </w:tcPr>
          <w:p>
            <w:pPr>
              <w:spacing w:after="0"/>
              <w:rPr>
                <w:sz w:val="1"/>
                <w:szCs w:val="1"/>
                <w:color w:val="auto"/>
              </w:rPr>
            </w:pPr>
          </w:p>
        </w:tc>
      </w:tr>
      <w:tr>
        <w:trPr>
          <w:trHeight w:val="215"/>
        </w:trPr>
        <w:tc>
          <w:tcPr>
            <w:tcW w:w="1900" w:type="dxa"/>
            <w:vAlign w:val="bottom"/>
          </w:tcPr>
          <w:p>
            <w:pPr>
              <w:ind w:left="80"/>
              <w:spacing w:after="0"/>
              <w:rPr>
                <w:sz w:val="20"/>
                <w:szCs w:val="20"/>
                <w:color w:val="auto"/>
              </w:rPr>
            </w:pPr>
            <w:r>
              <w:rPr>
                <w:rFonts w:ascii="Arial" w:cs="Arial" w:eastAsia="Arial" w:hAnsi="Arial"/>
                <w:sz w:val="16"/>
                <w:szCs w:val="16"/>
                <w:color w:val="D6AF00"/>
              </w:rPr>
              <w:t xml:space="preserve">– </w:t>
            </w:r>
            <w:r>
              <w:rPr>
                <w:rFonts w:ascii="Arial" w:cs="Arial" w:eastAsia="Arial" w:hAnsi="Arial"/>
                <w:sz w:val="16"/>
                <w:szCs w:val="16"/>
                <w:color w:val="000000"/>
              </w:rPr>
              <w:t>None</w:t>
            </w:r>
          </w:p>
        </w:tc>
        <w:tc>
          <w:tcPr>
            <w:tcW w:w="588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President and Chief Operating Officer</w:t>
            </w:r>
          </w:p>
        </w:tc>
        <w:tc>
          <w:tcPr>
            <w:tcW w:w="0" w:type="dxa"/>
            <w:vAlign w:val="bottom"/>
          </w:tcPr>
          <w:p>
            <w:pPr>
              <w:spacing w:after="0"/>
              <w:rPr>
                <w:sz w:val="1"/>
                <w:szCs w:val="1"/>
                <w:color w:val="auto"/>
              </w:rPr>
            </w:pPr>
          </w:p>
        </w:tc>
      </w:tr>
      <w:tr>
        <w:trPr>
          <w:trHeight w:val="55"/>
        </w:trPr>
        <w:tc>
          <w:tcPr>
            <w:tcW w:w="1900" w:type="dxa"/>
            <w:vAlign w:val="bottom"/>
          </w:tcPr>
          <w:p>
            <w:pPr>
              <w:spacing w:after="0"/>
              <w:rPr>
                <w:sz w:val="4"/>
                <w:szCs w:val="4"/>
                <w:color w:val="auto"/>
              </w:rPr>
            </w:pPr>
          </w:p>
        </w:tc>
        <w:tc>
          <w:tcPr>
            <w:tcW w:w="5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4"/>
                <w:szCs w:val="24"/>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Executive positions in business development and operations</w:t>
            </w:r>
          </w:p>
        </w:tc>
        <w:tc>
          <w:tcPr>
            <w:tcW w:w="0" w:type="dxa"/>
            <w:vAlign w:val="bottom"/>
          </w:tcPr>
          <w:p>
            <w:pPr>
              <w:spacing w:after="0"/>
              <w:rPr>
                <w:sz w:val="1"/>
                <w:szCs w:val="1"/>
                <w:color w:val="auto"/>
              </w:rPr>
            </w:pPr>
          </w:p>
        </w:tc>
      </w:tr>
      <w:tr>
        <w:trPr>
          <w:trHeight w:val="217"/>
        </w:trPr>
        <w:tc>
          <w:tcPr>
            <w:tcW w:w="190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6"/>
                <w:szCs w:val="16"/>
                <w:b w:val="1"/>
                <w:bCs w:val="1"/>
                <w:color w:val="auto"/>
              </w:rPr>
              <w:t>BP p.l.c.</w:t>
            </w:r>
            <w:r>
              <w:rPr>
                <w:rFonts w:ascii="Arial" w:cs="Arial" w:eastAsia="Arial" w:hAnsi="Arial"/>
                <w:sz w:val="16"/>
                <w:szCs w:val="16"/>
                <w:color w:val="auto"/>
              </w:rPr>
              <w:t>, 2000-2002</w:t>
            </w: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4"/>
                <w:szCs w:val="24"/>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Vice President and Business Unit Leader, Gulf of Mexico Shelf, BP America</w:t>
            </w:r>
          </w:p>
        </w:tc>
        <w:tc>
          <w:tcPr>
            <w:tcW w:w="0" w:type="dxa"/>
            <w:vAlign w:val="bottom"/>
          </w:tcPr>
          <w:p>
            <w:pPr>
              <w:spacing w:after="0"/>
              <w:rPr>
                <w:sz w:val="1"/>
                <w:szCs w:val="1"/>
                <w:color w:val="auto"/>
              </w:rPr>
            </w:pPr>
          </w:p>
        </w:tc>
      </w:tr>
      <w:tr>
        <w:trPr>
          <w:trHeight w:val="217"/>
        </w:trPr>
        <w:tc>
          <w:tcPr>
            <w:tcW w:w="190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6"/>
                <w:szCs w:val="16"/>
                <w:b w:val="1"/>
                <w:bCs w:val="1"/>
                <w:color w:val="auto"/>
              </w:rPr>
              <w:t>Vastar Resources, Inc.</w:t>
            </w:r>
            <w:r>
              <w:rPr>
                <w:rFonts w:ascii="Arial" w:cs="Arial" w:eastAsia="Arial" w:hAnsi="Arial"/>
                <w:sz w:val="16"/>
                <w:szCs w:val="16"/>
                <w:color w:val="auto"/>
              </w:rPr>
              <w:t>, 1994-2000</w:t>
            </w: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4"/>
                <w:szCs w:val="24"/>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Various onshore and offshore management positions</w:t>
            </w:r>
          </w:p>
        </w:tc>
        <w:tc>
          <w:tcPr>
            <w:tcW w:w="0" w:type="dxa"/>
            <w:vAlign w:val="bottom"/>
          </w:tcPr>
          <w:p>
            <w:pPr>
              <w:spacing w:after="0"/>
              <w:rPr>
                <w:sz w:val="1"/>
                <w:szCs w:val="1"/>
                <w:color w:val="auto"/>
              </w:rPr>
            </w:pPr>
          </w:p>
        </w:tc>
      </w:tr>
      <w:tr>
        <w:trPr>
          <w:trHeight w:val="231"/>
        </w:trPr>
        <w:tc>
          <w:tcPr>
            <w:tcW w:w="190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6"/>
                <w:szCs w:val="16"/>
                <w:b w:val="1"/>
                <w:bCs w:val="1"/>
                <w:color w:val="auto"/>
              </w:rPr>
              <w:t>ARCO Oil and Gas Company</w:t>
            </w:r>
            <w:r>
              <w:rPr>
                <w:rFonts w:ascii="Arial" w:cs="Arial" w:eastAsia="Arial" w:hAnsi="Arial"/>
                <w:sz w:val="16"/>
                <w:szCs w:val="16"/>
                <w:color w:val="auto"/>
              </w:rPr>
              <w:t>, 1979-1994</w:t>
            </w: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4"/>
                <w:szCs w:val="24"/>
                <w:color w:val="auto"/>
              </w:rPr>
            </w:pPr>
          </w:p>
        </w:tc>
        <w:tc>
          <w:tcPr>
            <w:tcW w:w="5880" w:type="dxa"/>
            <w:vAlign w:val="bottom"/>
          </w:tcPr>
          <w:p>
            <w:pPr>
              <w:ind w:left="320"/>
              <w:spacing w:after="0"/>
              <w:rPr>
                <w:sz w:val="20"/>
                <w:szCs w:val="20"/>
                <w:color w:val="auto"/>
              </w:rPr>
            </w:pP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Positions in engineering, operations, and management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43815</wp:posOffset>
            </wp:positionV>
            <wp:extent cx="61722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11040"/>
          </w:cols>
          <w:pgMar w:left="420" w:top="1246"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-1170305</wp:posOffset>
            </wp:positionV>
            <wp:extent cx="994410" cy="9944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94410" cy="994410"/>
                    </a:xfrm>
                    <a:prstGeom prst="rect">
                      <a:avLst/>
                    </a:prstGeom>
                    <a:noFill/>
                  </pic:spPr>
                </pic:pic>
              </a:graphicData>
            </a:graphic>
          </wp:anchor>
        </w:drawing>
      </w:r>
    </w:p>
    <w:p>
      <w:pPr>
        <w:spacing w:after="0" w:line="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April 2024</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APA Committees:</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Audit</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CRG&amp;N</w:t>
      </w:r>
    </w:p>
    <w:p>
      <w:pPr>
        <w:spacing w:after="0" w:line="101" w:lineRule="exact"/>
        <w:rPr>
          <w:sz w:val="20"/>
          <w:szCs w:val="20"/>
          <w:color w:val="auto"/>
        </w:rPr>
      </w:pPr>
    </w:p>
    <w:p>
      <w:pPr>
        <w:ind w:left="660"/>
        <w:spacing w:after="0" w:line="265" w:lineRule="auto"/>
        <w:rPr>
          <w:sz w:val="20"/>
          <w:szCs w:val="20"/>
          <w:color w:val="auto"/>
        </w:rPr>
      </w:pPr>
      <w:r>
        <w:rPr>
          <w:rFonts w:ascii="Arial" w:cs="Arial" w:eastAsia="Arial" w:hAnsi="Arial"/>
          <w:sz w:val="16"/>
          <w:szCs w:val="16"/>
          <w:b w:val="1"/>
          <w:bCs w:val="1"/>
          <w:color w:val="auto"/>
        </w:rPr>
        <w:t>Other Public Company Boards:</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6"/>
          <w:szCs w:val="16"/>
          <w:color w:val="D9AB28"/>
        </w:rPr>
        <w:t xml:space="preserve">– </w:t>
      </w:r>
      <w:r>
        <w:rPr>
          <w:rFonts w:ascii="Arial" w:cs="Arial" w:eastAsia="Arial" w:hAnsi="Arial"/>
          <w:sz w:val="16"/>
          <w:szCs w:val="16"/>
          <w:color w:val="000000"/>
        </w:rPr>
        <w:t>Sempra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1784985</wp:posOffset>
            </wp:positionV>
            <wp:extent cx="308610" cy="291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861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ANYA WEAVING</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Reasons for Nomination to Our Board</w:t>
      </w:r>
    </w:p>
    <w:p>
      <w:pPr>
        <w:spacing w:after="0" w:line="79" w:lineRule="exact"/>
        <w:rPr>
          <w:sz w:val="20"/>
          <w:szCs w:val="20"/>
          <w:color w:val="auto"/>
        </w:rPr>
      </w:pPr>
    </w:p>
    <w:p>
      <w:pPr>
        <w:ind w:left="280" w:right="660" w:hanging="128"/>
        <w:spacing w:after="0" w:line="233" w:lineRule="auto"/>
        <w:tabs>
          <w:tab w:leader="none" w:pos="280" w:val="left"/>
        </w:tabs>
        <w:numPr>
          <w:ilvl w:val="0"/>
          <w:numId w:val="76"/>
        </w:numPr>
        <w:rPr>
          <w:rFonts w:ascii="Times New Roman" w:cs="Times New Roman" w:eastAsia="Times New Roman" w:hAnsi="Times New Roman"/>
          <w:sz w:val="22"/>
          <w:szCs w:val="22"/>
          <w:color w:val="D9AB28"/>
        </w:rPr>
      </w:pPr>
      <w:r>
        <w:rPr>
          <w:rFonts w:ascii="Arial" w:cs="Arial" w:eastAsia="Arial" w:hAnsi="Arial"/>
          <w:sz w:val="16"/>
          <w:szCs w:val="16"/>
          <w:color w:val="auto"/>
        </w:rPr>
        <w:t>Ms. Weaving has spent the majority of her career in the investment banking industry advising companies on strategy, mergers and acquisitions and capital markets transactions. Her extensive experience working on and in the oil and gas industry, as well as broad international experience, brings additional critical skills and insights to the Board.</w:t>
      </w:r>
    </w:p>
    <w:p>
      <w:pPr>
        <w:spacing w:after="0" w:line="15" w:lineRule="exact"/>
        <w:rPr>
          <w:rFonts w:ascii="Times New Roman" w:cs="Times New Roman" w:eastAsia="Times New Roman" w:hAnsi="Times New Roman"/>
          <w:sz w:val="22"/>
          <w:szCs w:val="22"/>
          <w:color w:val="D9AB28"/>
        </w:rPr>
      </w:pPr>
    </w:p>
    <w:p>
      <w:pPr>
        <w:jc w:val="both"/>
        <w:ind w:left="280" w:right="920" w:hanging="128"/>
        <w:spacing w:after="0" w:line="229" w:lineRule="auto"/>
        <w:tabs>
          <w:tab w:leader="none" w:pos="280" w:val="left"/>
        </w:tabs>
        <w:numPr>
          <w:ilvl w:val="0"/>
          <w:numId w:val="76"/>
        </w:numPr>
        <w:rPr>
          <w:rFonts w:ascii="Times New Roman" w:cs="Times New Roman" w:eastAsia="Times New Roman" w:hAnsi="Times New Roman"/>
          <w:sz w:val="22"/>
          <w:szCs w:val="22"/>
          <w:color w:val="D9AB28"/>
        </w:rPr>
      </w:pPr>
      <w:r>
        <w:rPr>
          <w:rFonts w:ascii="Arial" w:cs="Arial" w:eastAsia="Arial" w:hAnsi="Arial"/>
          <w:sz w:val="16"/>
          <w:szCs w:val="16"/>
          <w:color w:val="auto"/>
        </w:rPr>
        <w:t>Ms. Weaving’s experience advising large cap energy companies on strategic transactions helps the Board in its role evaluating the Company’s asset portfolio and future transactions, and her previous service as a chief financial officer enhances the Board’s financial acumen and insights.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Leadership Experience, Service, and Qualifications</w:t>
      </w:r>
    </w:p>
    <w:p>
      <w:pPr>
        <w:spacing w:after="0" w:line="71" w:lineRule="exact"/>
        <w:rPr>
          <w:sz w:val="20"/>
          <w:szCs w:val="20"/>
          <w:color w:val="auto"/>
        </w:rPr>
      </w:pPr>
    </w:p>
    <w:p>
      <w:pPr>
        <w:ind w:left="280" w:right="1140" w:hanging="128"/>
        <w:spacing w:after="0" w:line="221" w:lineRule="auto"/>
        <w:tabs>
          <w:tab w:leader="none" w:pos="280" w:val="left"/>
        </w:tabs>
        <w:numPr>
          <w:ilvl w:val="0"/>
          <w:numId w:val="77"/>
        </w:numPr>
        <w:rPr>
          <w:rFonts w:ascii="Times New Roman" w:cs="Times New Roman" w:eastAsia="Times New Roman" w:hAnsi="Times New Roman"/>
          <w:sz w:val="22"/>
          <w:szCs w:val="22"/>
          <w:color w:val="D9AB28"/>
        </w:rPr>
      </w:pPr>
      <w:r>
        <w:rPr>
          <w:rFonts w:ascii="Arial" w:cs="Arial" w:eastAsia="Arial" w:hAnsi="Arial"/>
          <w:sz w:val="16"/>
          <w:szCs w:val="16"/>
          <w:color w:val="auto"/>
        </w:rPr>
        <w:t>Board Trustee, the Musical Arts Association, non-profit organization that oversees the Cleveland Orchestra</w:t>
      </w:r>
    </w:p>
    <w:p>
      <w:pPr>
        <w:spacing w:after="0" w:line="16" w:lineRule="exact"/>
        <w:rPr>
          <w:rFonts w:ascii="Times New Roman" w:cs="Times New Roman" w:eastAsia="Times New Roman" w:hAnsi="Times New Roman"/>
          <w:sz w:val="22"/>
          <w:szCs w:val="22"/>
          <w:color w:val="D9AB28"/>
        </w:rPr>
      </w:pPr>
    </w:p>
    <w:p>
      <w:pPr>
        <w:ind w:left="280" w:right="1280" w:hanging="128"/>
        <w:spacing w:after="0" w:line="221" w:lineRule="auto"/>
        <w:tabs>
          <w:tab w:leader="none" w:pos="280" w:val="left"/>
        </w:tabs>
        <w:numPr>
          <w:ilvl w:val="0"/>
          <w:numId w:val="77"/>
        </w:numPr>
        <w:rPr>
          <w:rFonts w:ascii="Times New Roman" w:cs="Times New Roman" w:eastAsia="Times New Roman" w:hAnsi="Times New Roman"/>
          <w:sz w:val="22"/>
          <w:szCs w:val="22"/>
          <w:color w:val="D9AB28"/>
        </w:rPr>
      </w:pPr>
      <w:r>
        <w:rPr>
          <w:rFonts w:ascii="Arial" w:cs="Arial" w:eastAsia="Arial" w:hAnsi="Arial"/>
          <w:sz w:val="16"/>
          <w:szCs w:val="16"/>
          <w:color w:val="auto"/>
        </w:rPr>
        <w:t>NACD-sponsored CERT Certificate in Cyber-Risk Oversight from Carnegie Mellon University’s Software Engineering Institute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Career Highlights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Bank of America Merrill Lynch</w:t>
      </w:r>
      <w:r>
        <w:rPr>
          <w:rFonts w:ascii="Arial" w:cs="Arial" w:eastAsia="Arial" w:hAnsi="Arial"/>
          <w:sz w:val="16"/>
          <w:szCs w:val="16"/>
          <w:color w:val="auto"/>
        </w:rPr>
        <w:t>, 2017-2022</w:t>
      </w:r>
    </w:p>
    <w:p>
      <w:pPr>
        <w:spacing w:after="0" w:line="34" w:lineRule="exact"/>
        <w:rPr>
          <w:sz w:val="20"/>
          <w:szCs w:val="20"/>
          <w:color w:val="auto"/>
        </w:rPr>
      </w:pPr>
    </w:p>
    <w:p>
      <w:pPr>
        <w:ind w:left="280" w:hanging="128"/>
        <w:spacing w:after="0"/>
        <w:tabs>
          <w:tab w:leader="none" w:pos="280" w:val="left"/>
        </w:tabs>
        <w:numPr>
          <w:ilvl w:val="0"/>
          <w:numId w:val="78"/>
        </w:numPr>
        <w:rPr>
          <w:rFonts w:ascii="Times New Roman" w:cs="Times New Roman" w:eastAsia="Times New Roman" w:hAnsi="Times New Roman"/>
          <w:sz w:val="22"/>
          <w:szCs w:val="22"/>
          <w:color w:val="D9AB28"/>
        </w:rPr>
      </w:pPr>
      <w:r>
        <w:rPr>
          <w:rFonts w:ascii="Arial" w:cs="Arial" w:eastAsia="Arial" w:hAnsi="Arial"/>
          <w:sz w:val="16"/>
          <w:szCs w:val="16"/>
          <w:color w:val="auto"/>
        </w:rPr>
        <w:t>Vice Chair, Global Natural Resources, Investment Banking</w:t>
      </w:r>
    </w:p>
    <w:p>
      <w:pPr>
        <w:spacing w:after="0" w:line="28" w:lineRule="exact"/>
        <w:rPr>
          <w:rFonts w:ascii="Times New Roman" w:cs="Times New Roman" w:eastAsia="Times New Roman" w:hAnsi="Times New Roman"/>
          <w:sz w:val="22"/>
          <w:szCs w:val="22"/>
          <w:color w:val="D9AB28"/>
        </w:rPr>
      </w:pPr>
    </w:p>
    <w:p>
      <w:pPr>
        <w:ind w:right="3260" w:firstLine="152"/>
        <w:spacing w:after="0" w:line="255" w:lineRule="auto"/>
        <w:tabs>
          <w:tab w:leader="none" w:pos="285" w:val="left"/>
        </w:tabs>
        <w:numPr>
          <w:ilvl w:val="0"/>
          <w:numId w:val="78"/>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Managing Director, Global Natural Resources, Investment Banking </w:t>
      </w:r>
      <w:r>
        <w:rPr>
          <w:rFonts w:ascii="Arial" w:cs="Arial" w:eastAsia="Arial" w:hAnsi="Arial"/>
          <w:sz w:val="16"/>
          <w:szCs w:val="16"/>
          <w:b w:val="1"/>
          <w:bCs w:val="1"/>
          <w:color w:val="auto"/>
        </w:rPr>
        <w:t>SOCO International plc (renamed Pharos Energy plc)</w:t>
      </w:r>
      <w:r>
        <w:rPr>
          <w:rFonts w:ascii="Arial" w:cs="Arial" w:eastAsia="Arial" w:hAnsi="Arial"/>
          <w:sz w:val="16"/>
          <w:szCs w:val="16"/>
          <w:color w:val="auto"/>
        </w:rPr>
        <w:t>, 2014-2015</w:t>
      </w:r>
    </w:p>
    <w:p>
      <w:pPr>
        <w:spacing w:after="0" w:line="10" w:lineRule="exact"/>
        <w:rPr>
          <w:rFonts w:ascii="Times New Roman" w:cs="Times New Roman" w:eastAsia="Times New Roman" w:hAnsi="Times New Roman"/>
          <w:sz w:val="22"/>
          <w:szCs w:val="22"/>
          <w:color w:val="D9AB28"/>
        </w:rPr>
      </w:pPr>
    </w:p>
    <w:p>
      <w:pPr>
        <w:ind w:left="280" w:hanging="128"/>
        <w:spacing w:after="0"/>
        <w:tabs>
          <w:tab w:leader="none" w:pos="280" w:val="left"/>
        </w:tabs>
        <w:numPr>
          <w:ilvl w:val="0"/>
          <w:numId w:val="78"/>
        </w:numPr>
        <w:rPr>
          <w:rFonts w:ascii="Times New Roman" w:cs="Times New Roman" w:eastAsia="Times New Roman" w:hAnsi="Times New Roman"/>
          <w:sz w:val="22"/>
          <w:szCs w:val="22"/>
          <w:color w:val="D9AB28"/>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Bank of America Merrill Lynch</w:t>
      </w:r>
      <w:r>
        <w:rPr>
          <w:rFonts w:ascii="Arial" w:cs="Arial" w:eastAsia="Arial" w:hAnsi="Arial"/>
          <w:sz w:val="16"/>
          <w:szCs w:val="16"/>
          <w:color w:val="auto"/>
        </w:rPr>
        <w:t>, 2005-2014</w:t>
      </w:r>
    </w:p>
    <w:p>
      <w:pPr>
        <w:spacing w:after="0" w:line="48" w:lineRule="exact"/>
        <w:rPr>
          <w:sz w:val="20"/>
          <w:szCs w:val="20"/>
          <w:color w:val="auto"/>
        </w:rPr>
      </w:pPr>
    </w:p>
    <w:p>
      <w:pPr>
        <w:ind w:left="280" w:hanging="128"/>
        <w:spacing w:after="0"/>
        <w:tabs>
          <w:tab w:leader="none" w:pos="280" w:val="left"/>
        </w:tabs>
        <w:numPr>
          <w:ilvl w:val="0"/>
          <w:numId w:val="79"/>
        </w:numPr>
        <w:rPr>
          <w:rFonts w:ascii="Times New Roman" w:cs="Times New Roman" w:eastAsia="Times New Roman" w:hAnsi="Times New Roman"/>
          <w:sz w:val="22"/>
          <w:szCs w:val="22"/>
          <w:color w:val="D9AB28"/>
        </w:rPr>
      </w:pPr>
      <w:r>
        <w:rPr>
          <w:rFonts w:ascii="Arial" w:cs="Arial" w:eastAsia="Arial" w:hAnsi="Arial"/>
          <w:sz w:val="16"/>
          <w:szCs w:val="16"/>
          <w:color w:val="auto"/>
        </w:rPr>
        <w:t>Head of European Oil and Gas M&amp;A</w:t>
      </w:r>
    </w:p>
    <w:p>
      <w:pPr>
        <w:spacing w:after="0" w:line="28" w:lineRule="exact"/>
        <w:rPr>
          <w:rFonts w:ascii="Times New Roman" w:cs="Times New Roman" w:eastAsia="Times New Roman" w:hAnsi="Times New Roman"/>
          <w:sz w:val="22"/>
          <w:szCs w:val="22"/>
          <w:color w:val="D9AB28"/>
        </w:rPr>
      </w:pPr>
    </w:p>
    <w:p>
      <w:pPr>
        <w:ind w:right="4960" w:firstLine="152"/>
        <w:spacing w:after="0" w:line="248" w:lineRule="auto"/>
        <w:tabs>
          <w:tab w:leader="none" w:pos="285" w:val="left"/>
        </w:tabs>
        <w:numPr>
          <w:ilvl w:val="0"/>
          <w:numId w:val="79"/>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Managing Director, Mergers &amp; Acquisitions </w:t>
      </w:r>
      <w:r>
        <w:rPr>
          <w:rFonts w:ascii="Arial" w:cs="Arial" w:eastAsia="Arial" w:hAnsi="Arial"/>
          <w:sz w:val="16"/>
          <w:szCs w:val="16"/>
          <w:b w:val="1"/>
          <w:bCs w:val="1"/>
          <w:color w:val="auto"/>
        </w:rPr>
        <w:t>UBS</w:t>
      </w:r>
      <w:r>
        <w:rPr>
          <w:rFonts w:ascii="Arial" w:cs="Arial" w:eastAsia="Arial" w:hAnsi="Arial"/>
          <w:sz w:val="16"/>
          <w:szCs w:val="16"/>
          <w:color w:val="auto"/>
        </w:rPr>
        <w:t>, 2002-2005</w:t>
      </w:r>
    </w:p>
    <w:p>
      <w:pPr>
        <w:spacing w:after="0" w:line="9" w:lineRule="exact"/>
        <w:rPr>
          <w:rFonts w:ascii="Times New Roman" w:cs="Times New Roman" w:eastAsia="Times New Roman" w:hAnsi="Times New Roman"/>
          <w:sz w:val="22"/>
          <w:szCs w:val="22"/>
          <w:color w:val="D9AB28"/>
        </w:rPr>
      </w:pPr>
    </w:p>
    <w:p>
      <w:pPr>
        <w:ind w:left="280" w:hanging="128"/>
        <w:spacing w:after="0"/>
        <w:tabs>
          <w:tab w:leader="none" w:pos="280" w:val="left"/>
        </w:tabs>
        <w:numPr>
          <w:ilvl w:val="0"/>
          <w:numId w:val="79"/>
        </w:numPr>
        <w:rPr>
          <w:rFonts w:ascii="Times New Roman" w:cs="Times New Roman" w:eastAsia="Times New Roman" w:hAnsi="Times New Roman"/>
          <w:sz w:val="22"/>
          <w:szCs w:val="22"/>
          <w:color w:val="D9AB28"/>
        </w:rPr>
      </w:pPr>
      <w:r>
        <w:rPr>
          <w:rFonts w:ascii="Arial" w:cs="Arial" w:eastAsia="Arial" w:hAnsi="Arial"/>
          <w:sz w:val="16"/>
          <w:szCs w:val="16"/>
          <w:color w:val="auto"/>
        </w:rPr>
        <w:t>Associate Director, European Leisure team</w:t>
      </w:r>
    </w:p>
    <w:p>
      <w:pPr>
        <w:spacing w:after="0" w:line="13" w:lineRule="exact"/>
        <w:rPr>
          <w:rFonts w:ascii="Times New Roman" w:cs="Times New Roman" w:eastAsia="Times New Roman" w:hAnsi="Times New Roman"/>
          <w:sz w:val="22"/>
          <w:szCs w:val="22"/>
          <w:color w:val="D9AB28"/>
        </w:rPr>
      </w:pPr>
    </w:p>
    <w:p>
      <w:pPr>
        <w:ind w:left="280" w:hanging="128"/>
        <w:spacing w:after="0" w:line="217" w:lineRule="auto"/>
        <w:tabs>
          <w:tab w:leader="none" w:pos="280" w:val="left"/>
        </w:tabs>
        <w:numPr>
          <w:ilvl w:val="0"/>
          <w:numId w:val="79"/>
        </w:numPr>
        <w:rPr>
          <w:rFonts w:ascii="Times New Roman" w:cs="Times New Roman" w:eastAsia="Times New Roman" w:hAnsi="Times New Roman"/>
          <w:sz w:val="22"/>
          <w:szCs w:val="22"/>
          <w:color w:val="D9AB28"/>
        </w:rPr>
      </w:pPr>
      <w:r>
        <w:rPr>
          <w:rFonts w:ascii="Arial" w:cs="Arial" w:eastAsia="Arial" w:hAnsi="Arial"/>
          <w:sz w:val="16"/>
          <w:szCs w:val="16"/>
          <w:color w:val="auto"/>
        </w:rPr>
        <w:t>Equity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78740</wp:posOffset>
            </wp:positionV>
            <wp:extent cx="61722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207010</wp:posOffset>
            </wp:positionV>
            <wp:extent cx="5863590" cy="291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6359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300"/>
            <w:col w:w="8320"/>
          </w:cols>
          <w:pgMar w:left="420" w:top="1246" w:right="439" w:bottom="1440" w:gutter="0" w:footer="0" w:header="0"/>
          <w:type w:val="continuous"/>
        </w:sectPr>
      </w:pPr>
    </w:p>
    <w:p>
      <w:pPr>
        <w:spacing w:after="0" w:line="247"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FFFFFF"/>
        </w:rPr>
        <w:t>The Board recommends that you vote FOR the election of each of the nominees as directors.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13</w:t>
            </w:r>
          </w:p>
        </w:tc>
      </w:tr>
      <w:tr>
        <w:trPr>
          <w:trHeight w:val="878"/>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46" w:right="4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9"/>
          <w:szCs w:val="29"/>
          <w:b w:val="1"/>
          <w:bCs w:val="1"/>
          <w:color w:val="auto"/>
        </w:rPr>
        <w:t>INFORMATION ABOUT OUR EXECUTIVE OFFICERS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Biographical information, as of the date of this proxy statement, for the executive officers of the Company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61722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JOHN J. CHRISTMANN IV, </w:t>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-118745</wp:posOffset>
            </wp:positionV>
            <wp:extent cx="514350" cy="514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5"/>
          <w:szCs w:val="15"/>
          <w:i w:val="1"/>
          <w:iCs w:val="1"/>
          <w:color w:val="auto"/>
        </w:rPr>
        <w:t>Chief Executive Officer</w:t>
      </w:r>
    </w:p>
    <w:p>
      <w:pPr>
        <w:spacing w:after="0" w:line="43" w:lineRule="exact"/>
        <w:rPr>
          <w:sz w:val="20"/>
          <w:szCs w:val="20"/>
          <w:color w:val="auto"/>
        </w:rPr>
      </w:pPr>
    </w:p>
    <w:p>
      <w:pPr>
        <w:ind w:left="980"/>
        <w:spacing w:after="0"/>
        <w:rPr>
          <w:sz w:val="20"/>
          <w:szCs w:val="20"/>
          <w:color w:val="auto"/>
        </w:rPr>
      </w:pPr>
      <w:r>
        <w:rPr>
          <w:rFonts w:ascii="Arial" w:cs="Arial" w:eastAsia="Arial" w:hAnsi="Arial"/>
          <w:sz w:val="15"/>
          <w:szCs w:val="15"/>
          <w:color w:val="auto"/>
        </w:rPr>
        <w:t>Mr. Christmann’s biographical information is set forth above under the heading Nominees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61722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9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TRACEY K. HENDERSON, </w:t>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-118745</wp:posOffset>
            </wp:positionV>
            <wp:extent cx="497205" cy="4972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5"/>
          <w:szCs w:val="15"/>
          <w:i w:val="1"/>
          <w:iCs w:val="1"/>
          <w:color w:val="auto"/>
        </w:rPr>
        <w:t>Executive Vice President, Exploration</w:t>
      </w:r>
    </w:p>
    <w:p>
      <w:pPr>
        <w:spacing w:after="0" w:line="43" w:lineRule="exact"/>
        <w:rPr>
          <w:sz w:val="20"/>
          <w:szCs w:val="20"/>
          <w:color w:val="auto"/>
        </w:rPr>
      </w:pPr>
    </w:p>
    <w:p>
      <w:pPr>
        <w:ind w:left="980" w:right="60"/>
        <w:spacing w:after="0"/>
        <w:rPr>
          <w:sz w:val="20"/>
          <w:szCs w:val="20"/>
          <w:color w:val="auto"/>
        </w:rPr>
      </w:pPr>
      <w:r>
        <w:rPr>
          <w:rFonts w:ascii="Arial" w:cs="Arial" w:eastAsia="Arial" w:hAnsi="Arial"/>
          <w:sz w:val="15"/>
          <w:szCs w:val="15"/>
          <w:color w:val="auto"/>
        </w:rPr>
        <w:t>Ms. Henderson was appointed executive vice president of Exploration in January 2023, having previously been senior vice president of Exploration since April 2021. Prior to joining the Company, Ms. Henderson served as chief exploration officer at Kosmos Energy since February 2019, having previously served as their senior vice president of Exploration since January 2017. Prior to her roles in exploration leadership at Kosmos, she also served in a variety of business and geophysical roles of increasing responsibility. Prior to joining Kosmos, Ms. Henderson served in geophysicist roles at Nexen Petroleum, Hess, and Triton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61722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MARK D. MADDOX, </w:t>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-118745</wp:posOffset>
            </wp:positionV>
            <wp:extent cx="497205" cy="4972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5"/>
          <w:szCs w:val="15"/>
          <w:i w:val="1"/>
          <w:iCs w:val="1"/>
          <w:color w:val="auto"/>
        </w:rPr>
        <w:t>Executive Vice President, Administration</w:t>
      </w:r>
    </w:p>
    <w:p>
      <w:pPr>
        <w:spacing w:after="0" w:line="43" w:lineRule="exact"/>
        <w:rPr>
          <w:sz w:val="20"/>
          <w:szCs w:val="20"/>
          <w:color w:val="auto"/>
        </w:rPr>
      </w:pPr>
    </w:p>
    <w:p>
      <w:pPr>
        <w:ind w:left="980" w:right="60"/>
        <w:spacing w:after="0" w:line="232" w:lineRule="auto"/>
        <w:rPr>
          <w:sz w:val="20"/>
          <w:szCs w:val="20"/>
          <w:color w:val="auto"/>
        </w:rPr>
      </w:pPr>
      <w:r>
        <w:rPr>
          <w:rFonts w:ascii="Arial" w:cs="Arial" w:eastAsia="Arial" w:hAnsi="Arial"/>
          <w:sz w:val="15"/>
          <w:szCs w:val="15"/>
          <w:color w:val="auto"/>
        </w:rPr>
        <w:t>Mr. Maddox has served as executive vice president of Administration since January 2023, having previously been senior vice president of Administration since April 2020. Previously, Mr. Maddox served as senior vice president of Supply Chain and chief information officer since June 2019, and vice president and chief information officer since January 2017. He joined the Company in June 2015 as vice president of Information Technology. Prior to joining the Company, Mr. Maddox worked at Ernst &amp; Young LLP, where he was a principal of Oil &amp; Gas Advisory Services since February 2014, and at Deloitte LLP from 2010 to 2014 as director of Energy and Resources. He also held various roles of increasing responsibility at SAP America from 1998 to 2009, having begun his career at Tenneco Energy in 1989, where he held positions in accounting, operations, and information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1722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STEPHEN J. RINEY, </w:t>
      </w: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-118745</wp:posOffset>
            </wp:positionV>
            <wp:extent cx="497205" cy="4972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5"/>
          <w:szCs w:val="15"/>
          <w:i w:val="1"/>
          <w:iCs w:val="1"/>
          <w:color w:val="auto"/>
        </w:rPr>
        <w:t>President</w:t>
      </w:r>
    </w:p>
    <w:p>
      <w:pPr>
        <w:spacing w:after="0" w:line="43" w:lineRule="exact"/>
        <w:rPr>
          <w:sz w:val="20"/>
          <w:szCs w:val="20"/>
          <w:color w:val="auto"/>
        </w:rPr>
      </w:pPr>
    </w:p>
    <w:p>
      <w:pPr>
        <w:ind w:left="980" w:right="120"/>
        <w:spacing w:after="0" w:line="232" w:lineRule="auto"/>
        <w:rPr>
          <w:sz w:val="20"/>
          <w:szCs w:val="20"/>
          <w:color w:val="auto"/>
        </w:rPr>
      </w:pPr>
      <w:r>
        <w:rPr>
          <w:rFonts w:ascii="Arial" w:cs="Arial" w:eastAsia="Arial" w:hAnsi="Arial"/>
          <w:sz w:val="15"/>
          <w:szCs w:val="15"/>
          <w:color w:val="auto"/>
        </w:rPr>
        <w:t>Mr. Riney was appointed president in May 2025, having previously served as president and chief financial officer since January 2024, executive vice president since February 2015, and chief financial officer since March 2015. Prior to joining the Company, Mr. Riney served as chief financial officer for BP Exploration and Production from July 2012 to January 2015, overseeing all accounting, business development, planning, and commercial operations for the upstream segment, and served as global head of mergers and acquisitions for BP p.l.c. from January 2007 to June 2012. He also held several management positions in treasury and within the upstream segment, including in finance, operations, and planning. Prior to its merger with BP, Mr. Riney spent eight years with Amoco Corporation in various roles in upstream finance, petrochemicals mergers and acquisitions, corporate planning, and downstream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1722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4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BEN C. RODGERS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-118745</wp:posOffset>
            </wp:positionV>
            <wp:extent cx="514350" cy="514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5"/>
          <w:szCs w:val="15"/>
          <w:i w:val="1"/>
          <w:iCs w:val="1"/>
          <w:color w:val="auto"/>
        </w:rPr>
        <w:t>Executive Vice President and Chief Financial Officer</w:t>
      </w:r>
    </w:p>
    <w:p>
      <w:pPr>
        <w:spacing w:after="0" w:line="43" w:lineRule="exact"/>
        <w:rPr>
          <w:sz w:val="20"/>
          <w:szCs w:val="20"/>
          <w:color w:val="auto"/>
        </w:rPr>
      </w:pPr>
    </w:p>
    <w:p>
      <w:pPr>
        <w:ind w:left="980"/>
        <w:spacing w:after="0" w:line="232" w:lineRule="auto"/>
        <w:rPr>
          <w:sz w:val="20"/>
          <w:szCs w:val="20"/>
          <w:color w:val="auto"/>
        </w:rPr>
      </w:pPr>
      <w:r>
        <w:rPr>
          <w:rFonts w:ascii="Arial" w:cs="Arial" w:eastAsia="Arial" w:hAnsi="Arial"/>
          <w:sz w:val="15"/>
          <w:szCs w:val="15"/>
          <w:color w:val="auto"/>
        </w:rPr>
        <w:t>Mr. Rodgers was appointed executive vice president and chief financial officer in May 2025, having previously served as senior vice president of Finance and treasurer since April 2024 and senior vice president, treasurer, and Midstream and Marketing since January 2020. Prior to that, he served as vice president and treasurer since May 2018. Mr. Rodgers joined the Company from EIG Global Energy Partners, where he served as senior vice president and led an investment team focusing on originating and managing oil and gas debt and equity investments in North America. Before that he was with Concho Resources serving in a variety of leadership roles, including vice president of commodities and midstream and vice president and treasurer. He also held the role of vice president, syndicated and leveraged finance, in the Investment Banking Division of J.P. Morgan Securities. Before that, he was a senior consultant in the Advisory Services group at Ernst &amp;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1722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4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KIMBERLY O. WARNICA, </w:t>
      </w: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-118745</wp:posOffset>
            </wp:positionV>
            <wp:extent cx="514350" cy="514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5"/>
          <w:szCs w:val="15"/>
          <w:i w:val="1"/>
          <w:iCs w:val="1"/>
          <w:color w:val="auto"/>
        </w:rPr>
        <w:t>Executive Vice President, Chief Legal Officer, and Corporate Secretary</w:t>
      </w:r>
    </w:p>
    <w:p>
      <w:pPr>
        <w:spacing w:after="0" w:line="43" w:lineRule="exact"/>
        <w:rPr>
          <w:sz w:val="20"/>
          <w:szCs w:val="20"/>
          <w:color w:val="auto"/>
        </w:rPr>
      </w:pPr>
    </w:p>
    <w:p>
      <w:pPr>
        <w:jc w:val="both"/>
        <w:ind w:left="980" w:right="140"/>
        <w:spacing w:after="0" w:line="231" w:lineRule="auto"/>
        <w:rPr>
          <w:sz w:val="20"/>
          <w:szCs w:val="20"/>
          <w:color w:val="auto"/>
        </w:rPr>
      </w:pPr>
      <w:r>
        <w:rPr>
          <w:rFonts w:ascii="Arial" w:cs="Arial" w:eastAsia="Arial" w:hAnsi="Arial"/>
          <w:sz w:val="15"/>
          <w:szCs w:val="15"/>
          <w:color w:val="auto"/>
        </w:rPr>
        <w:t>Ms. Warnica was appointed executive vice president and chief legal officer in January 2025 and corporate secretary in August 2025. Prior to joining the Company, Ms. Warnica served as executive vice president and general counsel of Marathon Oil since March 2022, having previously served as senior vice president and general counsel since January 2021. Additionally, Ms.</w:t>
      </w:r>
    </w:p>
    <w:p>
      <w:pPr>
        <w:spacing w:after="0" w:line="2" w:lineRule="exact"/>
        <w:rPr>
          <w:sz w:val="20"/>
          <w:szCs w:val="20"/>
          <w:color w:val="auto"/>
        </w:rPr>
      </w:pPr>
    </w:p>
    <w:p>
      <w:pPr>
        <w:ind w:left="980" w:right="20"/>
        <w:spacing w:after="0" w:line="231" w:lineRule="auto"/>
        <w:rPr>
          <w:sz w:val="20"/>
          <w:szCs w:val="20"/>
          <w:color w:val="auto"/>
        </w:rPr>
      </w:pPr>
      <w:r>
        <w:rPr>
          <w:rFonts w:ascii="Arial" w:cs="Arial" w:eastAsia="Arial" w:hAnsi="Arial"/>
          <w:sz w:val="15"/>
          <w:szCs w:val="15"/>
          <w:color w:val="auto"/>
        </w:rPr>
        <w:t>Warnica was appointed secretary of Marathon Oil in March 2021. Prior to joining Marathon Oil, she was executive vice president, general counsel, chief compliance officer, and secretary at Alta Mesa Resources, Inc. (an exploration and production and midstream company), since 2018. Prior to Alta Mesa, Ms. Warnica served in several positions in the Marathon Oil legal department from 2016 to 2018, including assistant general counsel and assistant secretary. Prior to Marathon Oil, Ms. Warnica served as assistant general counsel and assistant secretary at Freeport-McMoRan Oil &amp; Gas (formerly Plains Exploration and Production Company, an oil and gas production company). She started her career at what is now Hunton Andrews Kurth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1722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04" w:right="1119" w:bottom="1440" w:gutter="0" w:footer="0" w:header="0"/>
        </w:sectPr>
      </w:pPr>
    </w:p>
    <w:bookmarkStart w:id="19" w:name="page20"/>
    <w:bookmarkEnd w:id="19"/>
    <w:p>
      <w:pPr>
        <w:ind w:left="660"/>
        <w:spacing w:after="0"/>
        <w:rPr>
          <w:sz w:val="20"/>
          <w:szCs w:val="20"/>
          <w:color w:val="auto"/>
        </w:rPr>
      </w:pPr>
      <w:r>
        <w:rPr>
          <w:rFonts w:ascii="Arial" w:cs="Arial" w:eastAsia="Arial" w:hAnsi="Arial"/>
          <w:sz w:val="29"/>
          <w:szCs w:val="29"/>
          <w:b w:val="1"/>
          <w:bCs w:val="1"/>
          <w:color w:val="auto"/>
        </w:rPr>
        <w:t>EXECUTIVE AND DIRECTOR COMPENSATION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auto"/>
        </w:rPr>
        <w:t>Compensation Discussion and Analysis (CD&amp;A)</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executive compensation program and practices are underpinned by APA’s: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80645</wp:posOffset>
            </wp:positionV>
            <wp:extent cx="6172200"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72200" cy="205740"/>
                    </a:xfrm>
                    <a:prstGeom prst="rect">
                      <a:avLst/>
                    </a:prstGeom>
                    <a:noFill/>
                  </pic:spPr>
                </pic:pic>
              </a:graphicData>
            </a:graphic>
          </wp:anchor>
        </w:drawing>
      </w:r>
    </w:p>
    <w:p>
      <w:pPr>
        <w:spacing w:after="0" w:line="161" w:lineRule="exact"/>
        <w:rPr>
          <w:sz w:val="20"/>
          <w:szCs w:val="20"/>
          <w:color w:val="auto"/>
        </w:rPr>
      </w:pPr>
    </w:p>
    <w:p>
      <w:pPr>
        <w:ind w:left="660"/>
        <w:spacing w:after="0"/>
        <w:tabs>
          <w:tab w:leader="none" w:pos="3760" w:val="left"/>
          <w:tab w:leader="none" w:pos="7120" w:val="left"/>
        </w:tabs>
        <w:rPr>
          <w:sz w:val="20"/>
          <w:szCs w:val="20"/>
          <w:color w:val="auto"/>
        </w:rPr>
      </w:pPr>
      <w:r>
        <w:rPr>
          <w:rFonts w:ascii="Arial" w:cs="Arial" w:eastAsia="Arial" w:hAnsi="Arial"/>
          <w:sz w:val="16"/>
          <w:szCs w:val="16"/>
          <w:b w:val="1"/>
          <w:bCs w:val="1"/>
          <w:color w:val="auto"/>
        </w:rPr>
        <w:t>Purpose</w:t>
      </w:r>
      <w:r>
        <w:rPr>
          <w:sz w:val="20"/>
          <w:szCs w:val="20"/>
          <w:color w:val="auto"/>
        </w:rPr>
        <w:tab/>
      </w:r>
      <w:r>
        <w:rPr>
          <w:rFonts w:ascii="Arial" w:cs="Arial" w:eastAsia="Arial" w:hAnsi="Arial"/>
          <w:sz w:val="16"/>
          <w:szCs w:val="16"/>
          <w:b w:val="1"/>
          <w:bCs w:val="1"/>
          <w:color w:val="auto"/>
        </w:rPr>
        <w:t>Vision</w:t>
      </w:r>
      <w:r>
        <w:rPr>
          <w:sz w:val="20"/>
          <w:szCs w:val="20"/>
          <w:color w:val="auto"/>
        </w:rPr>
        <w:tab/>
      </w:r>
      <w:r>
        <w:rPr>
          <w:rFonts w:ascii="Arial" w:cs="Arial" w:eastAsia="Arial" w:hAnsi="Arial"/>
          <w:sz w:val="16"/>
          <w:szCs w:val="16"/>
          <w:b w:val="1"/>
          <w:bCs w:val="1"/>
          <w:color w:val="auto"/>
        </w:rPr>
        <w:t>Strategy</w:t>
      </w:r>
    </w:p>
    <w:p>
      <w:pPr>
        <w:sectPr>
          <w:pgSz w:w="11900" w:h="16838" w:orient="portrait"/>
          <w:cols w:equalWidth="0" w:num="1">
            <w:col w:w="11040"/>
          </w:cols>
          <w:pgMar w:left="420" w:top="1104" w:right="439" w:bottom="1440" w:gutter="0" w:footer="0" w:header="0"/>
        </w:sectPr>
      </w:pPr>
    </w:p>
    <w:p>
      <w:pPr>
        <w:spacing w:after="0" w:line="127"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meet the growing demand for energy in a cleaner and more sustainable way</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contribute to human progress by responsibly helping meet the world’s oil and gas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-1978025</wp:posOffset>
            </wp:positionH>
            <wp:positionV relativeFrom="paragraph">
              <wp:posOffset>5080</wp:posOffset>
            </wp:positionV>
            <wp:extent cx="61722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focus on creating sustainable free cash flow by prioritizing long-term returns over growth</w:t>
      </w:r>
    </w:p>
    <w:p>
      <w:pPr>
        <w:spacing w:after="0" w:line="109" w:lineRule="exact"/>
        <w:rPr>
          <w:sz w:val="20"/>
          <w:szCs w:val="20"/>
          <w:color w:val="auto"/>
        </w:rPr>
      </w:pPr>
    </w:p>
    <w:p>
      <w:pPr>
        <w:sectPr>
          <w:pgSz w:w="11900" w:h="16838" w:orient="portrait"/>
          <w:cols w:equalWidth="0" w:num="3">
            <w:col w:w="3620" w:space="160"/>
            <w:col w:w="3180" w:space="180"/>
            <w:col w:w="3900"/>
          </w:cols>
          <w:pgMar w:left="420" w:top="1104" w:right="439" w:bottom="1440" w:gutter="0" w:footer="0" w:header="0"/>
          <w:type w:val="continuous"/>
        </w:sectPr>
      </w:pPr>
    </w:p>
    <w:p>
      <w:pPr>
        <w:ind w:left="660"/>
        <w:spacing w:after="0"/>
        <w:rPr>
          <w:sz w:val="20"/>
          <w:szCs w:val="20"/>
          <w:color w:val="auto"/>
        </w:rPr>
      </w:pPr>
      <w:r>
        <w:rPr>
          <w:rFonts w:ascii="Arial" w:cs="Arial" w:eastAsia="Arial" w:hAnsi="Arial"/>
          <w:sz w:val="25"/>
          <w:szCs w:val="25"/>
          <w:b w:val="1"/>
          <w:bCs w:val="1"/>
          <w:i w:val="1"/>
          <w:iCs w:val="1"/>
          <w:color w:val="auto"/>
        </w:rPr>
        <w:t>About Our CD&amp;A</w:t>
      </w:r>
    </w:p>
    <w:p>
      <w:pPr>
        <w:spacing w:after="0" w:line="124" w:lineRule="exact"/>
        <w:rPr>
          <w:sz w:val="20"/>
          <w:szCs w:val="20"/>
          <w:color w:val="auto"/>
        </w:rPr>
      </w:pPr>
    </w:p>
    <w:p>
      <w:pPr>
        <w:ind w:left="660" w:right="840"/>
        <w:spacing w:after="0" w:line="286" w:lineRule="auto"/>
        <w:rPr>
          <w:sz w:val="20"/>
          <w:szCs w:val="20"/>
          <w:color w:val="auto"/>
        </w:rPr>
      </w:pPr>
      <w:r>
        <w:rPr>
          <w:rFonts w:ascii="Arial" w:cs="Arial" w:eastAsia="Arial" w:hAnsi="Arial"/>
          <w:sz w:val="16"/>
          <w:szCs w:val="16"/>
          <w:color w:val="auto"/>
        </w:rPr>
        <w:t>This CD&amp;A explains our executive compensation program for our named executive officers (NEOs) serving at the end of 2025. It also outlines the MD&amp;C Committee’s process for making pay decisions and the rationale behind specific actions taken during 2025.</w:t>
      </w:r>
    </w:p>
    <w:p>
      <w:pPr>
        <w:spacing w:after="0" w:line="48" w:lineRule="exact"/>
        <w:rPr>
          <w:sz w:val="20"/>
          <w:szCs w:val="20"/>
          <w:color w:val="auto"/>
        </w:rPr>
      </w:pPr>
    </w:p>
    <w:p>
      <w:pPr>
        <w:ind w:left="660" w:right="860"/>
        <w:spacing w:after="0" w:line="256" w:lineRule="auto"/>
        <w:rPr>
          <w:sz w:val="20"/>
          <w:szCs w:val="20"/>
          <w:color w:val="auto"/>
        </w:rPr>
      </w:pPr>
      <w:r>
        <w:rPr>
          <w:rFonts w:ascii="Arial" w:cs="Arial" w:eastAsia="Arial" w:hAnsi="Arial"/>
          <w:sz w:val="16"/>
          <w:szCs w:val="16"/>
          <w:color w:val="auto"/>
        </w:rPr>
        <w:t>Central to these decisions remains the Board’s commitment to maintaining an open dialogue with shareholders, a practice the MD&amp;C Committee has long upheld through regular engagement with the investor community—to discuss business topics, seek feedback on our performance, and review other matters, such as executive compensation. In 2025, we continued to prioritize meaningful engagement with our investors to ensure our executive compensation program reflects their perspectives, aligns with their expectations, and supports long-term value creation. During these discussions, shareholders:</w:t>
      </w:r>
    </w:p>
    <w:p>
      <w:pPr>
        <w:spacing w:after="0" w:line="72" w:lineRule="exact"/>
        <w:rPr>
          <w:sz w:val="20"/>
          <w:szCs w:val="20"/>
          <w:color w:val="auto"/>
        </w:rPr>
      </w:pPr>
    </w:p>
    <w:p>
      <w:pPr>
        <w:ind w:left="960" w:right="980" w:hanging="188"/>
        <w:spacing w:after="0"/>
        <w:rPr>
          <w:sz w:val="20"/>
          <w:szCs w:val="20"/>
          <w:color w:val="auto"/>
        </w:rPr>
      </w:pPr>
      <w:r>
        <w:rPr>
          <w:sz w:val="1"/>
          <w:szCs w:val="1"/>
          <w:color w:val="auto"/>
        </w:rPr>
        <w:drawing>
          <wp:inline distT="0" distB="0" distL="0" distR="0">
            <wp:extent cx="85725" cy="7747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6"/>
          <w:szCs w:val="16"/>
          <w:b w:val="1"/>
          <w:bCs w:val="1"/>
          <w:color w:val="auto"/>
        </w:rPr>
        <w:t xml:space="preserve"> Reaffirmed their support </w:t>
      </w:r>
      <w:r>
        <w:rPr>
          <w:rFonts w:ascii="Arial" w:cs="Arial" w:eastAsia="Arial" w:hAnsi="Arial"/>
          <w:sz w:val="16"/>
          <w:szCs w:val="16"/>
          <w:color w:val="auto"/>
        </w:rPr>
        <w:t>for APA’s pay-for-performance philosophy and the alignment between capital discipline, shareholder</w:t>
      </w:r>
      <w:r>
        <w:rPr>
          <w:rFonts w:ascii="Arial" w:cs="Arial" w:eastAsia="Arial" w:hAnsi="Arial"/>
          <w:sz w:val="16"/>
          <w:szCs w:val="16"/>
          <w:b w:val="1"/>
          <w:bCs w:val="1"/>
          <w:color w:val="auto"/>
        </w:rPr>
        <w:t xml:space="preserve"> </w:t>
      </w:r>
      <w:r>
        <w:rPr>
          <w:rFonts w:ascii="Arial" w:cs="Arial" w:eastAsia="Arial" w:hAnsi="Arial"/>
          <w:sz w:val="16"/>
          <w:szCs w:val="16"/>
          <w:color w:val="auto"/>
        </w:rPr>
        <w:t>returns, and our approach to incentives.</w:t>
      </w:r>
    </w:p>
    <w:p>
      <w:pPr>
        <w:spacing w:after="0" w:line="28" w:lineRule="exact"/>
        <w:rPr>
          <w:sz w:val="20"/>
          <w:szCs w:val="20"/>
          <w:color w:val="auto"/>
        </w:rPr>
      </w:pPr>
    </w:p>
    <w:p>
      <w:pPr>
        <w:ind w:left="960" w:right="740" w:hanging="188"/>
        <w:spacing w:after="0"/>
        <w:rPr>
          <w:sz w:val="20"/>
          <w:szCs w:val="20"/>
          <w:color w:val="auto"/>
        </w:rPr>
      </w:pPr>
      <w:r>
        <w:rPr>
          <w:sz w:val="1"/>
          <w:szCs w:val="1"/>
          <w:color w:val="auto"/>
        </w:rPr>
        <w:drawing>
          <wp:inline distT="0" distB="0" distL="0" distR="0">
            <wp:extent cx="85725" cy="7747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6"/>
          <w:szCs w:val="16"/>
          <w:b w:val="1"/>
          <w:bCs w:val="1"/>
          <w:color w:val="auto"/>
        </w:rPr>
        <w:t xml:space="preserve"> Continued to endorse </w:t>
      </w:r>
      <w:r>
        <w:rPr>
          <w:rFonts w:ascii="Arial" w:cs="Arial" w:eastAsia="Arial" w:hAnsi="Arial"/>
          <w:sz w:val="16"/>
          <w:szCs w:val="16"/>
          <w:color w:val="auto"/>
        </w:rPr>
        <w:t>our focus on relative Total Shareholder Return (TSR) for long-term incentives, noting the increased</w:t>
      </w:r>
      <w:r>
        <w:rPr>
          <w:rFonts w:ascii="Arial" w:cs="Arial" w:eastAsia="Arial" w:hAnsi="Arial"/>
          <w:sz w:val="16"/>
          <w:szCs w:val="16"/>
          <w:b w:val="1"/>
          <w:bCs w:val="1"/>
          <w:color w:val="auto"/>
        </w:rPr>
        <w:t xml:space="preserve"> </w:t>
      </w:r>
      <w:r>
        <w:rPr>
          <w:rFonts w:ascii="Arial" w:cs="Arial" w:eastAsia="Arial" w:hAnsi="Arial"/>
          <w:sz w:val="16"/>
          <w:szCs w:val="16"/>
          <w:color w:val="auto"/>
        </w:rPr>
        <w:t>weighting in the performance award mix, and reinforcing support for capping payouts when absolute TSR is negative and requiring above-median TSR performance to earn a target payout.</w:t>
      </w:r>
    </w:p>
    <w:p>
      <w:pPr>
        <w:spacing w:after="0" w:line="28" w:lineRule="exact"/>
        <w:rPr>
          <w:sz w:val="20"/>
          <w:szCs w:val="20"/>
          <w:color w:val="auto"/>
        </w:rPr>
      </w:pPr>
    </w:p>
    <w:p>
      <w:pPr>
        <w:ind w:left="960" w:right="920" w:hanging="188"/>
        <w:spacing w:after="0"/>
        <w:rPr>
          <w:sz w:val="20"/>
          <w:szCs w:val="20"/>
          <w:color w:val="auto"/>
        </w:rPr>
      </w:pPr>
      <w:r>
        <w:rPr>
          <w:sz w:val="1"/>
          <w:szCs w:val="1"/>
          <w:color w:val="auto"/>
        </w:rPr>
        <w:drawing>
          <wp:inline distT="0" distB="0" distL="0" distR="0">
            <wp:extent cx="85725" cy="7683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76835"/>
                    </a:xfrm>
                    <a:prstGeom prst="rect">
                      <a:avLst/>
                    </a:prstGeom>
                    <a:noFill/>
                    <a:ln>
                      <a:noFill/>
                    </a:ln>
                  </pic:spPr>
                </pic:pic>
              </a:graphicData>
            </a:graphic>
          </wp:inline>
        </w:drawing>
      </w:r>
      <w:r>
        <w:rPr>
          <w:rFonts w:ascii="Arial" w:cs="Arial" w:eastAsia="Arial" w:hAnsi="Arial"/>
          <w:sz w:val="16"/>
          <w:szCs w:val="16"/>
          <w:b w:val="1"/>
          <w:bCs w:val="1"/>
          <w:color w:val="auto"/>
        </w:rPr>
        <w:t xml:space="preserve"> Appreciated the enhanced clarity </w:t>
      </w:r>
      <w:r>
        <w:rPr>
          <w:rFonts w:ascii="Arial" w:cs="Arial" w:eastAsia="Arial" w:hAnsi="Arial"/>
          <w:sz w:val="16"/>
          <w:szCs w:val="16"/>
          <w:color w:val="auto"/>
        </w:rPr>
        <w:t>of our disclosures, noting that our CD&amp;A provides “best-in-class” readability and transparent</w:t>
      </w:r>
      <w:r>
        <w:rPr>
          <w:rFonts w:ascii="Arial" w:cs="Arial" w:eastAsia="Arial" w:hAnsi="Arial"/>
          <w:sz w:val="16"/>
          <w:szCs w:val="16"/>
          <w:b w:val="1"/>
          <w:bCs w:val="1"/>
          <w:color w:val="auto"/>
        </w:rPr>
        <w:t xml:space="preserve"> </w:t>
      </w:r>
      <w:r>
        <w:rPr>
          <w:rFonts w:ascii="Arial" w:cs="Arial" w:eastAsia="Arial" w:hAnsi="Arial"/>
          <w:sz w:val="16"/>
          <w:szCs w:val="16"/>
          <w:color w:val="auto"/>
        </w:rPr>
        <w:t>insights into our approach to incentives, peer selection, and our commitment to strong pay-for-performance alignment.</w:t>
      </w:r>
    </w:p>
    <w:p>
      <w:pPr>
        <w:spacing w:after="0" w:line="136" w:lineRule="exact"/>
        <w:rPr>
          <w:sz w:val="20"/>
          <w:szCs w:val="20"/>
          <w:color w:val="auto"/>
        </w:rPr>
      </w:pPr>
    </w:p>
    <w:p>
      <w:pPr>
        <w:ind w:left="660" w:right="720"/>
        <w:spacing w:after="0" w:line="256" w:lineRule="auto"/>
        <w:rPr>
          <w:sz w:val="20"/>
          <w:szCs w:val="20"/>
          <w:color w:val="auto"/>
        </w:rPr>
      </w:pPr>
      <w:r>
        <w:rPr>
          <w:rFonts w:ascii="Arial" w:cs="Arial" w:eastAsia="Arial" w:hAnsi="Arial"/>
          <w:sz w:val="16"/>
          <w:szCs w:val="16"/>
          <w:color w:val="auto"/>
        </w:rPr>
        <w:t>This feedback, together with 84% support for our most recent say-on-pay proposal, reflects investors’ confidence in the Board’s ongoing commitment to transparency, alignment, and accountability. Reflecting this principle, this year’s CD&amp;A continues to feature a Q&amp;A with Juliet S. Ellis, the chair of our MD&amp;C Committee, offering a direct view into the MD&amp;C Committee’s deliberations and decision-making process to help ensure shareholders have the information needed to understand our executive compensation strategy and support our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54610</wp:posOffset>
            </wp:positionV>
            <wp:extent cx="617220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72200" cy="214630"/>
                    </a:xfrm>
                    <a:prstGeom prst="rect">
                      <a:avLst/>
                    </a:prstGeom>
                    <a:noFill/>
                  </pic:spPr>
                </pic:pic>
              </a:graphicData>
            </a:graphic>
          </wp:anchor>
        </w:drawing>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Our Shareholder Outreach Efforts</w:t>
      </w:r>
    </w:p>
    <w:p>
      <w:pPr>
        <w:sectPr>
          <w:pgSz w:w="11900" w:h="16838" w:orient="portrait"/>
          <w:cols w:equalWidth="0" w:num="1">
            <w:col w:w="11040"/>
          </w:cols>
          <w:pgMar w:left="420" w:top="1104" w:right="439" w:bottom="1440" w:gutter="0" w:footer="0" w:header="0"/>
          <w:type w:val="continuous"/>
        </w:sectPr>
      </w:pPr>
    </w:p>
    <w:p>
      <w:pPr>
        <w:spacing w:after="0" w:line="113" w:lineRule="exact"/>
        <w:rPr>
          <w:sz w:val="20"/>
          <w:szCs w:val="20"/>
          <w:color w:val="auto"/>
        </w:rPr>
      </w:pPr>
    </w:p>
    <w:p>
      <w:pPr>
        <w:ind w:left="1540" w:right="180"/>
        <w:spacing w:after="0" w:line="259" w:lineRule="auto"/>
        <w:rPr>
          <w:sz w:val="20"/>
          <w:szCs w:val="20"/>
          <w:color w:val="auto"/>
        </w:rPr>
      </w:pPr>
      <w:r>
        <w:rPr>
          <w:rFonts w:ascii="Arial" w:cs="Arial" w:eastAsia="Arial" w:hAnsi="Arial"/>
          <w:sz w:val="16"/>
          <w:szCs w:val="16"/>
          <w:color w:val="auto"/>
        </w:rPr>
        <w:t xml:space="preserve">We </w:t>
      </w:r>
      <w:r>
        <w:rPr>
          <w:rFonts w:ascii="Arial" w:cs="Arial" w:eastAsia="Arial" w:hAnsi="Arial"/>
          <w:sz w:val="16"/>
          <w:szCs w:val="16"/>
          <w:b w:val="1"/>
          <w:bCs w:val="1"/>
          <w:color w:val="auto"/>
        </w:rPr>
        <w:t>reached out directly</w:t>
      </w:r>
      <w:r>
        <w:rPr>
          <w:rFonts w:ascii="Arial" w:cs="Arial" w:eastAsia="Arial" w:hAnsi="Arial"/>
          <w:sz w:val="16"/>
          <w:szCs w:val="16"/>
          <w:color w:val="auto"/>
        </w:rPr>
        <w:t xml:space="preserve"> to shareholders representing approximately 68% of shares outstanding, including the Company’s top 10 largest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-494665</wp:posOffset>
            </wp:positionV>
            <wp:extent cx="497205" cy="4629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7205"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 xml:space="preserve">We held </w:t>
      </w:r>
      <w:r>
        <w:rPr>
          <w:rFonts w:ascii="Arial" w:cs="Arial" w:eastAsia="Arial" w:hAnsi="Arial"/>
          <w:sz w:val="16"/>
          <w:szCs w:val="16"/>
          <w:b w:val="1"/>
          <w:bCs w:val="1"/>
          <w:color w:val="auto"/>
        </w:rPr>
        <w:t>engagement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meetings </w:t>
      </w:r>
      <w:r>
        <w:rPr>
          <w:rFonts w:ascii="Arial" w:cs="Arial" w:eastAsia="Arial" w:hAnsi="Arial"/>
          <w:sz w:val="16"/>
          <w:szCs w:val="16"/>
          <w:color w:val="auto"/>
        </w:rPr>
        <w:t>with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representing approximately 41%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-494665</wp:posOffset>
            </wp:positionV>
            <wp:extent cx="497205" cy="4629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7205"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900"/>
        <w:spacing w:after="0" w:line="259" w:lineRule="auto"/>
        <w:rPr>
          <w:sz w:val="20"/>
          <w:szCs w:val="20"/>
          <w:color w:val="auto"/>
        </w:rPr>
      </w:pPr>
      <w:r>
        <w:rPr>
          <w:rFonts w:ascii="Arial" w:cs="Arial" w:eastAsia="Arial" w:hAnsi="Arial"/>
          <w:sz w:val="16"/>
          <w:szCs w:val="16"/>
          <w:b w:val="1"/>
          <w:bCs w:val="1"/>
          <w:color w:val="auto"/>
        </w:rPr>
        <w:t xml:space="preserve">Board members </w:t>
      </w:r>
      <w:r>
        <w:rPr>
          <w:rFonts w:ascii="Arial" w:cs="Arial" w:eastAsia="Arial" w:hAnsi="Arial"/>
          <w:sz w:val="16"/>
          <w:szCs w:val="16"/>
          <w:color w:val="auto"/>
        </w:rPr>
        <w:t>met</w:t>
      </w:r>
      <w:r>
        <w:rPr>
          <w:rFonts w:ascii="Arial" w:cs="Arial" w:eastAsia="Arial" w:hAnsi="Arial"/>
          <w:sz w:val="16"/>
          <w:szCs w:val="16"/>
          <w:b w:val="1"/>
          <w:bCs w:val="1"/>
          <w:color w:val="auto"/>
        </w:rPr>
        <w:t xml:space="preserve"> </w:t>
      </w:r>
      <w:r>
        <w:rPr>
          <w:rFonts w:ascii="Arial" w:cs="Arial" w:eastAsia="Arial" w:hAnsi="Arial"/>
          <w:sz w:val="16"/>
          <w:szCs w:val="16"/>
          <w:color w:val="auto"/>
        </w:rPr>
        <w:t>with 92% of the shares represented at the engagement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-494665</wp:posOffset>
            </wp:positionV>
            <wp:extent cx="514350" cy="4800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 cy="48006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4720" w:space="720"/>
            <w:col w:w="2340" w:space="720"/>
            <w:col w:w="2540"/>
          </w:cols>
          <w:pgMar w:left="420" w:top="1104" w:right="439" w:bottom="1440" w:gutter="0" w:footer="0" w:header="0"/>
          <w:type w:val="continuous"/>
        </w:sectPr>
      </w:pPr>
    </w:p>
    <w:p>
      <w:pPr>
        <w:ind w:left="900" w:right="1080" w:hanging="236"/>
        <w:spacing w:after="0" w:line="243" w:lineRule="auto"/>
        <w:tabs>
          <w:tab w:leader="none" w:pos="947" w:val="left"/>
        </w:tabs>
        <w:numPr>
          <w:ilvl w:val="0"/>
          <w:numId w:val="80"/>
        </w:numPr>
        <w:rPr>
          <w:rFonts w:ascii="Arial" w:cs="Arial" w:eastAsia="Arial" w:hAnsi="Arial"/>
          <w:sz w:val="13"/>
          <w:szCs w:val="13"/>
          <w:color w:val="595959"/>
        </w:rPr>
      </w:pPr>
      <w:r>
        <w:rPr>
          <w:rFonts w:ascii="Arial" w:cs="Arial" w:eastAsia="Arial" w:hAnsi="Arial"/>
          <w:sz w:val="13"/>
          <w:szCs w:val="13"/>
          <w:color w:val="595959"/>
        </w:rPr>
        <w:t>We were told no meeting was necessary this year from approximately 13% of shares outstanding, and we received no response to our engagement requests from approximately 13% of shares outstanding.</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2025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121920</wp:posOffset>
            </wp:positionV>
            <wp:extent cx="5701030" cy="7715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0103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780" w:type="dxa"/>
        <w:tblCellMar>
          <w:top w:w="0" w:type="dxa"/>
          <w:left w:w="0" w:type="dxa"/>
          <w:bottom w:w="0" w:type="dxa"/>
          <w:right w:w="0" w:type="dxa"/>
        </w:tblCellMar>
      </w:tblPr>
      <w:tr>
        <w:trPr>
          <w:trHeight w:val="194"/>
        </w:trPr>
        <w:tc>
          <w:tcPr>
            <w:tcW w:w="1920" w:type="dxa"/>
            <w:vAlign w:val="bottom"/>
          </w:tcPr>
          <w:p>
            <w:pPr>
              <w:jc w:val="center"/>
              <w:ind w:right="144"/>
              <w:spacing w:after="0"/>
              <w:rPr>
                <w:sz w:val="20"/>
                <w:szCs w:val="20"/>
                <w:color w:val="auto"/>
              </w:rPr>
            </w:pPr>
            <w:r>
              <w:rPr>
                <w:rFonts w:ascii="Arial" w:cs="Arial" w:eastAsia="Arial" w:hAnsi="Arial"/>
                <w:sz w:val="16"/>
                <w:szCs w:val="16"/>
                <w:b w:val="1"/>
                <w:bCs w:val="1"/>
                <w:color w:val="auto"/>
              </w:rPr>
              <w:t>John J. Christmann IV</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Stephen J. Riney</w:t>
            </w:r>
          </w:p>
        </w:tc>
        <w:tc>
          <w:tcPr>
            <w:tcW w:w="2140" w:type="dxa"/>
            <w:vAlign w:val="bottom"/>
          </w:tcPr>
          <w:p>
            <w:pPr>
              <w:jc w:val="center"/>
              <w:ind w:left="65"/>
              <w:spacing w:after="0"/>
              <w:rPr>
                <w:sz w:val="20"/>
                <w:szCs w:val="20"/>
                <w:color w:val="auto"/>
              </w:rPr>
            </w:pPr>
            <w:r>
              <w:rPr>
                <w:rFonts w:ascii="Arial" w:cs="Arial" w:eastAsia="Arial" w:hAnsi="Arial"/>
                <w:sz w:val="16"/>
                <w:szCs w:val="16"/>
                <w:b w:val="1"/>
                <w:bCs w:val="1"/>
                <w:color w:val="auto"/>
                <w:w w:val="99"/>
              </w:rPr>
              <w:t>Ben C. Rodgers</w:t>
            </w:r>
          </w:p>
        </w:tc>
        <w:tc>
          <w:tcPr>
            <w:tcW w:w="1900" w:type="dxa"/>
            <w:vAlign w:val="bottom"/>
          </w:tcPr>
          <w:p>
            <w:pPr>
              <w:jc w:val="center"/>
              <w:ind w:right="5"/>
              <w:spacing w:after="0"/>
              <w:rPr>
                <w:sz w:val="20"/>
                <w:szCs w:val="20"/>
                <w:color w:val="auto"/>
              </w:rPr>
            </w:pPr>
            <w:r>
              <w:rPr>
                <w:rFonts w:ascii="Arial" w:cs="Arial" w:eastAsia="Arial" w:hAnsi="Arial"/>
                <w:sz w:val="16"/>
                <w:szCs w:val="16"/>
                <w:b w:val="1"/>
                <w:bCs w:val="1"/>
                <w:color w:val="auto"/>
              </w:rPr>
              <w:t>Tracey K. Henderson</w:t>
            </w:r>
          </w:p>
        </w:tc>
        <w:tc>
          <w:tcPr>
            <w:tcW w:w="1780" w:type="dxa"/>
            <w:vAlign w:val="bottom"/>
          </w:tcPr>
          <w:p>
            <w:pPr>
              <w:jc w:val="center"/>
              <w:ind w:left="86"/>
              <w:spacing w:after="0"/>
              <w:rPr>
                <w:sz w:val="20"/>
                <w:szCs w:val="20"/>
                <w:color w:val="auto"/>
              </w:rPr>
            </w:pPr>
            <w:r>
              <w:rPr>
                <w:rFonts w:ascii="Arial" w:cs="Arial" w:eastAsia="Arial" w:hAnsi="Arial"/>
                <w:sz w:val="16"/>
                <w:szCs w:val="16"/>
                <w:b w:val="1"/>
                <w:bCs w:val="1"/>
                <w:color w:val="auto"/>
              </w:rPr>
              <w:t>Kimberly O. Warnica</w:t>
            </w:r>
          </w:p>
        </w:tc>
      </w:tr>
      <w:tr>
        <w:trPr>
          <w:trHeight w:val="162"/>
        </w:trPr>
        <w:tc>
          <w:tcPr>
            <w:tcW w:w="1920" w:type="dxa"/>
            <w:vAlign w:val="bottom"/>
          </w:tcPr>
          <w:p>
            <w:pPr>
              <w:jc w:val="center"/>
              <w:ind w:right="144"/>
              <w:spacing w:after="0"/>
              <w:rPr>
                <w:sz w:val="20"/>
                <w:szCs w:val="20"/>
                <w:color w:val="auto"/>
              </w:rPr>
            </w:pPr>
            <w:r>
              <w:rPr>
                <w:rFonts w:ascii="Arial" w:cs="Arial" w:eastAsia="Arial" w:hAnsi="Arial"/>
                <w:sz w:val="14"/>
                <w:szCs w:val="14"/>
                <w:color w:val="auto"/>
              </w:rPr>
              <w:t>Chief Executive Officer</w:t>
            </w:r>
          </w:p>
        </w:tc>
        <w:tc>
          <w:tcPr>
            <w:tcW w:w="1680" w:type="dxa"/>
            <w:vAlign w:val="bottom"/>
          </w:tcPr>
          <w:p>
            <w:pPr>
              <w:jc w:val="center"/>
              <w:spacing w:after="0"/>
              <w:rPr>
                <w:sz w:val="20"/>
                <w:szCs w:val="20"/>
                <w:color w:val="auto"/>
              </w:rPr>
            </w:pPr>
            <w:r>
              <w:rPr>
                <w:rFonts w:ascii="Arial" w:cs="Arial" w:eastAsia="Arial" w:hAnsi="Arial"/>
                <w:sz w:val="14"/>
                <w:szCs w:val="14"/>
                <w:color w:val="auto"/>
              </w:rPr>
              <w:t>President</w:t>
            </w:r>
          </w:p>
        </w:tc>
        <w:tc>
          <w:tcPr>
            <w:tcW w:w="2140" w:type="dxa"/>
            <w:vAlign w:val="bottom"/>
          </w:tcPr>
          <w:p>
            <w:pPr>
              <w:jc w:val="center"/>
              <w:ind w:left="25"/>
              <w:spacing w:after="0"/>
              <w:rPr>
                <w:sz w:val="20"/>
                <w:szCs w:val="20"/>
                <w:color w:val="auto"/>
              </w:rPr>
            </w:pPr>
            <w:r>
              <w:rPr>
                <w:rFonts w:ascii="Arial" w:cs="Arial" w:eastAsia="Arial" w:hAnsi="Arial"/>
                <w:sz w:val="14"/>
                <w:szCs w:val="14"/>
                <w:color w:val="auto"/>
              </w:rPr>
              <w:t>Executive Vice President and</w:t>
            </w:r>
          </w:p>
        </w:tc>
        <w:tc>
          <w:tcPr>
            <w:tcW w:w="1900" w:type="dxa"/>
            <w:vAlign w:val="bottom"/>
          </w:tcPr>
          <w:p>
            <w:pPr>
              <w:jc w:val="center"/>
              <w:spacing w:after="0"/>
              <w:rPr>
                <w:sz w:val="20"/>
                <w:szCs w:val="20"/>
                <w:color w:val="auto"/>
              </w:rPr>
            </w:pPr>
            <w:r>
              <w:rPr>
                <w:rFonts w:ascii="Arial" w:cs="Arial" w:eastAsia="Arial" w:hAnsi="Arial"/>
                <w:sz w:val="14"/>
                <w:szCs w:val="14"/>
                <w:color w:val="auto"/>
              </w:rPr>
              <w:t>Executive Vice President,</w:t>
            </w:r>
          </w:p>
        </w:tc>
        <w:tc>
          <w:tcPr>
            <w:tcW w:w="1780" w:type="dxa"/>
            <w:vAlign w:val="bottom"/>
          </w:tcPr>
          <w:p>
            <w:pPr>
              <w:jc w:val="center"/>
              <w:ind w:left="86"/>
              <w:spacing w:after="0"/>
              <w:rPr>
                <w:sz w:val="20"/>
                <w:szCs w:val="20"/>
                <w:color w:val="auto"/>
              </w:rPr>
            </w:pPr>
            <w:r>
              <w:rPr>
                <w:rFonts w:ascii="Arial" w:cs="Arial" w:eastAsia="Arial" w:hAnsi="Arial"/>
                <w:sz w:val="14"/>
                <w:szCs w:val="14"/>
                <w:color w:val="auto"/>
              </w:rPr>
              <w:t>Executive Vice President,</w:t>
            </w:r>
          </w:p>
        </w:tc>
      </w:tr>
      <w:tr>
        <w:trPr>
          <w:trHeight w:val="162"/>
        </w:trPr>
        <w:tc>
          <w:tcPr>
            <w:tcW w:w="1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40" w:type="dxa"/>
            <w:vAlign w:val="bottom"/>
          </w:tcPr>
          <w:p>
            <w:pPr>
              <w:jc w:val="center"/>
              <w:ind w:left="65"/>
              <w:spacing w:after="0"/>
              <w:rPr>
                <w:sz w:val="20"/>
                <w:szCs w:val="20"/>
                <w:color w:val="auto"/>
              </w:rPr>
            </w:pPr>
            <w:r>
              <w:rPr>
                <w:rFonts w:ascii="Arial" w:cs="Arial" w:eastAsia="Arial" w:hAnsi="Arial"/>
                <w:sz w:val="14"/>
                <w:szCs w:val="14"/>
                <w:color w:val="auto"/>
              </w:rPr>
              <w:t>Chief Financial Officer</w:t>
            </w:r>
          </w:p>
        </w:tc>
        <w:tc>
          <w:tcPr>
            <w:tcW w:w="1900" w:type="dxa"/>
            <w:vAlign w:val="bottom"/>
          </w:tcPr>
          <w:p>
            <w:pPr>
              <w:jc w:val="center"/>
              <w:spacing w:after="0"/>
              <w:rPr>
                <w:sz w:val="20"/>
                <w:szCs w:val="20"/>
                <w:color w:val="auto"/>
              </w:rPr>
            </w:pPr>
            <w:r>
              <w:rPr>
                <w:rFonts w:ascii="Arial" w:cs="Arial" w:eastAsia="Arial" w:hAnsi="Arial"/>
                <w:sz w:val="14"/>
                <w:szCs w:val="14"/>
                <w:color w:val="auto"/>
              </w:rPr>
              <w:t>Exploration</w:t>
            </w:r>
          </w:p>
        </w:tc>
        <w:tc>
          <w:tcPr>
            <w:tcW w:w="1780" w:type="dxa"/>
            <w:vAlign w:val="bottom"/>
          </w:tcPr>
          <w:p>
            <w:pPr>
              <w:jc w:val="center"/>
              <w:ind w:left="86"/>
              <w:spacing w:after="0"/>
              <w:rPr>
                <w:sz w:val="20"/>
                <w:szCs w:val="20"/>
                <w:color w:val="auto"/>
              </w:rPr>
            </w:pPr>
            <w:r>
              <w:rPr>
                <w:rFonts w:ascii="Arial" w:cs="Arial" w:eastAsia="Arial" w:hAnsi="Arial"/>
                <w:sz w:val="14"/>
                <w:szCs w:val="14"/>
                <w:color w:val="auto"/>
              </w:rPr>
              <w:t>Chief Legal Officer, and</w:t>
            </w:r>
          </w:p>
        </w:tc>
      </w:tr>
      <w:tr>
        <w:trPr>
          <w:trHeight w:val="190"/>
        </w:trPr>
        <w:tc>
          <w:tcPr>
            <w:tcW w:w="1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780" w:type="dxa"/>
            <w:vAlign w:val="bottom"/>
          </w:tcPr>
          <w:p>
            <w:pPr>
              <w:jc w:val="center"/>
              <w:ind w:left="126"/>
              <w:spacing w:after="0"/>
              <w:rPr>
                <w:sz w:val="20"/>
                <w:szCs w:val="20"/>
                <w:color w:val="auto"/>
              </w:rPr>
            </w:pPr>
            <w:r>
              <w:rPr>
                <w:rFonts w:ascii="Arial" w:cs="Arial" w:eastAsia="Arial" w:hAnsi="Arial"/>
                <w:sz w:val="14"/>
                <w:szCs w:val="14"/>
                <w:color w:val="auto"/>
              </w:rPr>
              <w:t>Corporate Secretary</w:t>
            </w:r>
          </w:p>
        </w:tc>
      </w:tr>
    </w:tbl>
    <w:p>
      <w:pPr>
        <w:spacing w:after="0" w:line="88" w:lineRule="exact"/>
        <w:rPr>
          <w:sz w:val="20"/>
          <w:szCs w:val="20"/>
          <w:color w:val="auto"/>
        </w:rPr>
      </w:pPr>
    </w:p>
    <w:p>
      <w:pPr>
        <w:ind w:left="660" w:right="720"/>
        <w:spacing w:after="0" w:line="286" w:lineRule="auto"/>
        <w:rPr>
          <w:sz w:val="20"/>
          <w:szCs w:val="20"/>
          <w:color w:val="auto"/>
        </w:rPr>
      </w:pPr>
      <w:r>
        <w:rPr>
          <w:rFonts w:ascii="Arial" w:cs="Arial" w:eastAsia="Arial" w:hAnsi="Arial"/>
          <w:sz w:val="16"/>
          <w:szCs w:val="16"/>
          <w:color w:val="auto"/>
        </w:rPr>
        <w:t xml:space="preserve">Additionally, D. Clay Bretches, former Executive Vice President, Operations, is an NEO for fiscal year 2025. He was terminated without cause effective June 4, 2025. Additional details are provided in the </w:t>
      </w:r>
      <w:r>
        <w:rPr>
          <w:rFonts w:ascii="Arial" w:cs="Arial" w:eastAsia="Arial" w:hAnsi="Arial"/>
          <w:sz w:val="16"/>
          <w:szCs w:val="16"/>
          <w:i w:val="1"/>
          <w:iCs w:val="1"/>
          <w:color w:val="auto"/>
        </w:rPr>
        <w:t>Potential Payments upon Termination or Change in Control</w:t>
      </w:r>
      <w:r>
        <w:rPr>
          <w:rFonts w:ascii="Arial" w:cs="Arial" w:eastAsia="Arial" w:hAnsi="Arial"/>
          <w:sz w:val="16"/>
          <w:szCs w:val="16"/>
          <w:color w:val="auto"/>
        </w:rPr>
        <w:t xml:space="preserve"> table.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15</w:t>
            </w:r>
          </w:p>
        </w:tc>
      </w:tr>
      <w:tr>
        <w:trPr>
          <w:trHeight w:val="879"/>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04" w:right="4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5"/>
          <w:szCs w:val="25"/>
          <w:b w:val="1"/>
          <w:bCs w:val="1"/>
          <w:i w:val="1"/>
          <w:iCs w:val="1"/>
          <w:color w:val="auto"/>
        </w:rPr>
        <w:t>Executive Summary</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Performance Highlights</w:t>
      </w:r>
    </w:p>
    <w:p>
      <w:pPr>
        <w:spacing w:after="0" w:line="112"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In 2025, APA delivered strong operational and financial performance in a lower and more volatile oil price environment. Commodity prices remained below recent historical levels, underscoring the importance of disciplined capital allocation, cost efficiency, and financial flexibility. Against this backdrop, management executed with focus and consistency, meeting or exceeding key performance objectives while continuing to advance the Company’s long-term strategic priorities.</w:t>
      </w:r>
    </w:p>
    <w:p>
      <w:pPr>
        <w:spacing w:after="0" w:line="7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Management’s execution translated into meaningful progress across APA’s operating and financial profile. The Company accelerated cost and efficiency initiatives, actively optimized its portfolio in response to market conditions, and demonstrated flexibility across its global asset base. Strategic shifts in activity, continued operational improvements, and sustained focus on long-term value creation positioned APA to perform through the cycle and strengthen its foundation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72200" cy="205740"/>
                    </a:xfrm>
                    <a:prstGeom prst="rect">
                      <a:avLst/>
                    </a:prstGeom>
                    <a:noFill/>
                  </pic:spPr>
                </pic:pic>
              </a:graphicData>
            </a:graphic>
          </wp:anchor>
        </w:drawing>
      </w:r>
    </w:p>
    <w:p>
      <w:pPr>
        <w:spacing w:after="0" w:line="117" w:lineRule="exact"/>
        <w:rPr>
          <w:sz w:val="20"/>
          <w:szCs w:val="20"/>
          <w:color w:val="auto"/>
        </w:rPr>
      </w:pPr>
    </w:p>
    <w:p>
      <w:pPr>
        <w:ind w:left="60"/>
        <w:spacing w:after="0"/>
        <w:tabs>
          <w:tab w:leader="none" w:pos="1280" w:val="left"/>
        </w:tabs>
        <w:rPr>
          <w:sz w:val="20"/>
          <w:szCs w:val="20"/>
          <w:color w:val="auto"/>
        </w:rPr>
      </w:pPr>
      <w:r>
        <w:rPr>
          <w:rFonts w:ascii="Arial" w:cs="Arial" w:eastAsia="Arial" w:hAnsi="Arial"/>
          <w:sz w:val="16"/>
          <w:szCs w:val="16"/>
          <w:b w:val="1"/>
          <w:bCs w:val="1"/>
          <w:color w:val="auto"/>
        </w:rPr>
        <w:t>Focus Area</w:t>
      </w:r>
      <w:r>
        <w:rPr>
          <w:sz w:val="20"/>
          <w:szCs w:val="20"/>
          <w:color w:val="auto"/>
        </w:rPr>
        <w:tab/>
      </w:r>
      <w:r>
        <w:rPr>
          <w:rFonts w:ascii="Arial" w:cs="Arial" w:eastAsia="Arial" w:hAnsi="Arial"/>
          <w:sz w:val="16"/>
          <w:szCs w:val="16"/>
          <w:b w:val="1"/>
          <w:bCs w:val="1"/>
          <w:color w:val="auto"/>
        </w:rPr>
        <w:t>Key Achievements in 2025</w:t>
      </w:r>
    </w:p>
    <w:p>
      <w:pPr>
        <w:spacing w:after="0" w:line="86" w:lineRule="exact"/>
        <w:rPr>
          <w:sz w:val="20"/>
          <w:szCs w:val="20"/>
          <w:color w:val="auto"/>
        </w:rPr>
      </w:pPr>
    </w:p>
    <w:p>
      <w:pPr>
        <w:ind w:left="1440" w:right="420" w:hanging="132"/>
        <w:spacing w:after="0" w:line="236"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Cash Flow and Shareholder Returns: </w:t>
      </w:r>
      <w:r>
        <w:rPr>
          <w:rFonts w:ascii="Arial" w:cs="Arial" w:eastAsia="Arial" w:hAnsi="Arial"/>
          <w:sz w:val="16"/>
          <w:szCs w:val="16"/>
          <w:color w:val="auto"/>
        </w:rPr>
        <w:t>Generated $1,534 million of Free Cash Flow</w:t>
      </w:r>
      <w:r>
        <w:rPr>
          <w:rFonts w:ascii="Arial" w:cs="Arial" w:eastAsia="Arial" w:hAnsi="Arial"/>
          <w:sz w:val="21"/>
          <w:szCs w:val="21"/>
          <w:color w:val="auto"/>
          <w:vertAlign w:val="superscript"/>
        </w:rPr>
        <w:t>(1)</w:t>
      </w:r>
      <w:r>
        <w:rPr>
          <w:rFonts w:ascii="Arial" w:cs="Arial" w:eastAsia="Arial" w:hAnsi="Arial"/>
          <w:sz w:val="16"/>
          <w:szCs w:val="16"/>
          <w:color w:val="auto"/>
        </w:rPr>
        <w:t>, which exceeded the</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of the goal range, and returned $640 million to shareholders through dividends and share buybacks</w:t>
      </w:r>
    </w:p>
    <w:p>
      <w:pPr>
        <w:spacing w:after="0" w:line="15" w:lineRule="exact"/>
        <w:rPr>
          <w:rFonts w:ascii="Times New Roman" w:cs="Times New Roman" w:eastAsia="Times New Roman" w:hAnsi="Times New Roman"/>
          <w:sz w:val="22"/>
          <w:szCs w:val="22"/>
          <w:color w:val="D9AB28"/>
        </w:rPr>
      </w:pPr>
    </w:p>
    <w:p>
      <w:pPr>
        <w:ind w:left="1440" w:right="80" w:hanging="132"/>
        <w:spacing w:after="0" w:line="229"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Accelerated Cost Reduction: </w:t>
      </w:r>
      <w:r>
        <w:rPr>
          <w:rFonts w:ascii="Arial" w:cs="Arial" w:eastAsia="Arial" w:hAnsi="Arial"/>
          <w:sz w:val="16"/>
          <w:szCs w:val="16"/>
          <w:color w:val="auto"/>
        </w:rPr>
        <w:t>Captured approximately $300 million of realized controllable spend savings in 2025</w:t>
      </w:r>
      <w:r>
        <w:rPr>
          <w:rFonts w:ascii="Arial" w:cs="Arial" w:eastAsia="Arial" w:hAnsi="Arial"/>
          <w:sz w:val="16"/>
          <w:szCs w:val="16"/>
          <w:b w:val="1"/>
          <w:bCs w:val="1"/>
          <w:color w:val="auto"/>
        </w:rPr>
        <w:t xml:space="preserve"> </w:t>
      </w:r>
      <w:r>
        <w:rPr>
          <w:rFonts w:ascii="Arial" w:cs="Arial" w:eastAsia="Arial" w:hAnsi="Arial"/>
          <w:sz w:val="16"/>
          <w:szCs w:val="16"/>
          <w:color w:val="auto"/>
        </w:rPr>
        <w:t>and reached a $350 million year-end run-rate—two years earlier than originally planned—strengthening margins and Free Cash Flow durability</w:t>
      </w:r>
    </w:p>
    <w:p>
      <w:pPr>
        <w:ind w:left="1440" w:right="20" w:hanging="132"/>
        <w:spacing w:after="0" w:line="229"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Balance Sheet Strengthening: </w:t>
      </w:r>
      <w:r>
        <w:rPr>
          <w:rFonts w:ascii="Arial" w:cs="Arial" w:eastAsia="Arial" w:hAnsi="Arial"/>
          <w:sz w:val="16"/>
          <w:szCs w:val="16"/>
          <w:color w:val="auto"/>
        </w:rPr>
        <w:t>Reduced net debt</w:t>
      </w:r>
      <w:r>
        <w:rPr>
          <w:rFonts w:ascii="Arial" w:cs="Arial" w:eastAsia="Arial" w:hAnsi="Arial"/>
          <w:sz w:val="21"/>
          <w:szCs w:val="21"/>
          <w:color w:val="auto"/>
          <w:vertAlign w:val="superscript"/>
        </w:rPr>
        <w:t>(2)</w:t>
      </w:r>
      <w:r>
        <w:rPr>
          <w:rFonts w:ascii="Arial" w:cs="Arial" w:eastAsia="Arial" w:hAnsi="Arial"/>
          <w:sz w:val="16"/>
          <w:szCs w:val="16"/>
          <w:b w:val="1"/>
          <w:bCs w:val="1"/>
          <w:color w:val="auto"/>
        </w:rPr>
        <w:t xml:space="preserve"> </w:t>
      </w:r>
      <w:r>
        <w:rPr>
          <w:rFonts w:ascii="Arial" w:cs="Arial" w:eastAsia="Arial" w:hAnsi="Arial"/>
          <w:sz w:val="16"/>
          <w:szCs w:val="16"/>
          <w:color w:val="auto"/>
        </w:rPr>
        <w:t>by approximately $1.4 billion and established a $3.0 billion net</w:t>
      </w:r>
      <w:r>
        <w:rPr>
          <w:rFonts w:ascii="Arial" w:cs="Arial" w:eastAsia="Arial" w:hAnsi="Arial"/>
          <w:sz w:val="16"/>
          <w:szCs w:val="16"/>
          <w:b w:val="1"/>
          <w:bCs w:val="1"/>
          <w:color w:val="auto"/>
        </w:rPr>
        <w:t xml:space="preserve"> </w:t>
      </w:r>
      <w:r>
        <w:rPr>
          <w:rFonts w:ascii="Arial" w:cs="Arial" w:eastAsia="Arial" w:hAnsi="Arial"/>
          <w:sz w:val="16"/>
          <w:szCs w:val="16"/>
          <w:color w:val="auto"/>
        </w:rPr>
        <w:t>debt target, enhancing financial flexibility</w:t>
      </w:r>
    </w:p>
    <w:p>
      <w:pPr>
        <w:spacing w:after="0" w:line="16" w:lineRule="exact"/>
        <w:rPr>
          <w:rFonts w:ascii="Times New Roman" w:cs="Times New Roman" w:eastAsia="Times New Roman" w:hAnsi="Times New Roman"/>
          <w:sz w:val="22"/>
          <w:szCs w:val="22"/>
          <w:color w:val="D9AB28"/>
        </w:rPr>
      </w:pPr>
    </w:p>
    <w:p>
      <w:pPr>
        <w:ind w:left="1440" w:right="260" w:hanging="132"/>
        <w:spacing w:after="0" w:line="221"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Capital Structure Optimization: </w:t>
      </w:r>
      <w:r>
        <w:rPr>
          <w:rFonts w:ascii="Arial" w:cs="Arial" w:eastAsia="Arial" w:hAnsi="Arial"/>
          <w:sz w:val="16"/>
          <w:szCs w:val="16"/>
          <w:color w:val="auto"/>
        </w:rPr>
        <w:t>Completed a bond restructuring to move approximately 80% of legacy Apache</w:t>
      </w:r>
      <w:r>
        <w:rPr>
          <w:rFonts w:ascii="Arial" w:cs="Arial" w:eastAsia="Arial" w:hAnsi="Arial"/>
          <w:sz w:val="16"/>
          <w:szCs w:val="16"/>
          <w:b w:val="1"/>
          <w:bCs w:val="1"/>
          <w:color w:val="auto"/>
        </w:rPr>
        <w:t xml:space="preserve"> </w:t>
      </w:r>
      <w:r>
        <w:rPr>
          <w:rFonts w:ascii="Arial" w:cs="Arial" w:eastAsia="Arial" w:hAnsi="Arial"/>
          <w:sz w:val="16"/>
          <w:szCs w:val="16"/>
          <w:color w:val="auto"/>
        </w:rPr>
        <w:t>bond debt to APA, further simplifying our capital structure and improving financial optionality</w:t>
      </w:r>
    </w:p>
    <w:p>
      <w:pPr>
        <w:spacing w:after="0" w:line="16" w:lineRule="exact"/>
        <w:rPr>
          <w:rFonts w:ascii="Times New Roman" w:cs="Times New Roman" w:eastAsia="Times New Roman" w:hAnsi="Times New Roman"/>
          <w:sz w:val="22"/>
          <w:szCs w:val="22"/>
          <w:color w:val="D9AB28"/>
        </w:rPr>
      </w:pPr>
    </w:p>
    <w:p>
      <w:pPr>
        <w:ind w:left="1440" w:right="160" w:hanging="132"/>
        <w:spacing w:after="0" w:line="221"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Market Recognition of Execution: </w:t>
      </w:r>
      <w:r>
        <w:rPr>
          <w:rFonts w:ascii="Arial" w:cs="Arial" w:eastAsia="Arial" w:hAnsi="Arial"/>
          <w:sz w:val="16"/>
          <w:szCs w:val="16"/>
          <w:color w:val="auto"/>
        </w:rPr>
        <w:t>APA shares significantly outperformed U.S. exploration and production peers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2025, reflecting confidence in the Company’s strategy and execution</w:t>
      </w:r>
    </w:p>
    <w:p>
      <w:pPr>
        <w:spacing w:after="0" w:line="83" w:lineRule="exact"/>
        <w:rPr>
          <w:rFonts w:ascii="Times New Roman" w:cs="Times New Roman" w:eastAsia="Times New Roman" w:hAnsi="Times New Roman"/>
          <w:sz w:val="22"/>
          <w:szCs w:val="22"/>
          <w:color w:val="D9AB28"/>
        </w:rPr>
      </w:pPr>
    </w:p>
    <w:p>
      <w:pPr>
        <w:ind w:left="1440" w:right="320" w:hanging="132"/>
        <w:spacing w:after="0" w:line="229"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Permian Basin Advancement: </w:t>
      </w:r>
      <w:r>
        <w:rPr>
          <w:rFonts w:ascii="Arial" w:cs="Arial" w:eastAsia="Arial" w:hAnsi="Arial"/>
          <w:sz w:val="16"/>
          <w:szCs w:val="16"/>
          <w:color w:val="auto"/>
        </w:rPr>
        <w:t>Improved the quality of the Permian business and expanded gross operated</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inventory to approximately 1,700 locations through cost structure improvements, portfolio actions, and a refined development approach; reduced per-foot drilling and completion costs by 30% vs 2024</w:t>
      </w:r>
    </w:p>
    <w:p>
      <w:pPr>
        <w:spacing w:after="0" w:line="15" w:lineRule="exact"/>
        <w:rPr>
          <w:rFonts w:ascii="Times New Roman" w:cs="Times New Roman" w:eastAsia="Times New Roman" w:hAnsi="Times New Roman"/>
          <w:sz w:val="22"/>
          <w:szCs w:val="22"/>
          <w:color w:val="D9AB28"/>
        </w:rPr>
      </w:pPr>
    </w:p>
    <w:p>
      <w:pPr>
        <w:ind w:left="1440" w:right="600" w:hanging="132"/>
        <w:spacing w:after="0" w:line="221"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Portfolio High-Grading: </w:t>
      </w:r>
      <w:r>
        <w:rPr>
          <w:rFonts w:ascii="Arial" w:cs="Arial" w:eastAsia="Arial" w:hAnsi="Arial"/>
          <w:sz w:val="16"/>
          <w:szCs w:val="16"/>
          <w:color w:val="auto"/>
        </w:rPr>
        <w:t>Executed the New Mexico asset divestiture for approximately $570 million,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streamlining the portfolio and sharpening focus on core assets</w:t>
      </w:r>
    </w:p>
    <w:p>
      <w:pPr>
        <w:spacing w:after="0" w:line="16" w:lineRule="exact"/>
        <w:rPr>
          <w:rFonts w:ascii="Times New Roman" w:cs="Times New Roman" w:eastAsia="Times New Roman" w:hAnsi="Times New Roman"/>
          <w:sz w:val="22"/>
          <w:szCs w:val="22"/>
          <w:color w:val="D9AB28"/>
        </w:rPr>
      </w:pPr>
    </w:p>
    <w:p>
      <w:pPr>
        <w:ind w:left="1440" w:hanging="132"/>
        <w:spacing w:after="0" w:line="229"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Egypt Gas Transformation: </w:t>
      </w:r>
      <w:r>
        <w:rPr>
          <w:rFonts w:ascii="Arial" w:cs="Arial" w:eastAsia="Arial" w:hAnsi="Arial"/>
          <w:sz w:val="16"/>
          <w:szCs w:val="16"/>
          <w:color w:val="auto"/>
        </w:rPr>
        <w:t>Successfully shifted development activity toward gas in response to the lower oil price</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 and executed gas price agreement, rapidly bringing new production online, improving infrastructure capability, and expanding gas-weighted inventory</w:t>
      </w:r>
    </w:p>
    <w:p>
      <w:pPr>
        <w:spacing w:after="0" w:line="15" w:lineRule="exact"/>
        <w:rPr>
          <w:rFonts w:ascii="Times New Roman" w:cs="Times New Roman" w:eastAsia="Times New Roman" w:hAnsi="Times New Roman"/>
          <w:sz w:val="22"/>
          <w:szCs w:val="22"/>
          <w:color w:val="D9AB28"/>
        </w:rPr>
      </w:pPr>
    </w:p>
    <w:p>
      <w:pPr>
        <w:ind w:left="1440" w:right="140" w:hanging="132"/>
        <w:spacing w:after="0" w:line="221"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Egypt Financial Normalization: </w:t>
      </w:r>
      <w:r>
        <w:rPr>
          <w:rFonts w:ascii="Arial" w:cs="Arial" w:eastAsia="Arial" w:hAnsi="Arial"/>
          <w:sz w:val="16"/>
          <w:szCs w:val="16"/>
          <w:color w:val="auto"/>
        </w:rPr>
        <w:t>Eliminated past-due receivable balances and enabled the largest annual partner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in the asset’s history, supported by improved gas performance and cash flow generation</w:t>
      </w:r>
    </w:p>
    <w:p>
      <w:pPr>
        <w:spacing w:after="0" w:line="16" w:lineRule="exact"/>
        <w:rPr>
          <w:rFonts w:ascii="Times New Roman" w:cs="Times New Roman" w:eastAsia="Times New Roman" w:hAnsi="Times New Roman"/>
          <w:sz w:val="22"/>
          <w:szCs w:val="22"/>
          <w:color w:val="D9AB28"/>
        </w:rPr>
      </w:pPr>
    </w:p>
    <w:p>
      <w:pPr>
        <w:ind w:left="1440" w:right="520" w:hanging="132"/>
        <w:spacing w:after="0" w:line="221"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Alaska Progress: </w:t>
      </w:r>
      <w:r>
        <w:rPr>
          <w:rFonts w:ascii="Arial" w:cs="Arial" w:eastAsia="Arial" w:hAnsi="Arial"/>
          <w:sz w:val="16"/>
          <w:szCs w:val="16"/>
          <w:color w:val="auto"/>
        </w:rPr>
        <w:t>Exploration and appraisal planning following the Sockeye-2 discovery, while continuing to</w:t>
      </w:r>
      <w:r>
        <w:rPr>
          <w:rFonts w:ascii="Arial" w:cs="Arial" w:eastAsia="Arial" w:hAnsi="Arial"/>
          <w:sz w:val="16"/>
          <w:szCs w:val="16"/>
          <w:b w:val="1"/>
          <w:bCs w:val="1"/>
          <w:color w:val="auto"/>
        </w:rPr>
        <w:t xml:space="preserve"> </w:t>
      </w:r>
      <w:r>
        <w:rPr>
          <w:rFonts w:ascii="Arial" w:cs="Arial" w:eastAsia="Arial" w:hAnsi="Arial"/>
          <w:sz w:val="16"/>
          <w:szCs w:val="16"/>
          <w:color w:val="auto"/>
        </w:rPr>
        <w:t>mature a broader exploration portfolio</w:t>
      </w:r>
    </w:p>
    <w:p>
      <w:pPr>
        <w:spacing w:after="0" w:line="16" w:lineRule="exact"/>
        <w:rPr>
          <w:rFonts w:ascii="Times New Roman" w:cs="Times New Roman" w:eastAsia="Times New Roman" w:hAnsi="Times New Roman"/>
          <w:sz w:val="22"/>
          <w:szCs w:val="22"/>
          <w:color w:val="D9AB28"/>
        </w:rPr>
      </w:pPr>
    </w:p>
    <w:p>
      <w:pPr>
        <w:ind w:left="1440" w:right="460" w:hanging="132"/>
        <w:spacing w:after="0" w:line="221"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North Sea Late-Life Management: </w:t>
      </w:r>
      <w:r>
        <w:rPr>
          <w:rFonts w:ascii="Arial" w:cs="Arial" w:eastAsia="Arial" w:hAnsi="Arial"/>
          <w:sz w:val="16"/>
          <w:szCs w:val="16"/>
          <w:color w:val="auto"/>
        </w:rPr>
        <w:t>Continued to optimize late-life operations and advance decommissioning</w:t>
      </w:r>
      <w:r>
        <w:rPr>
          <w:rFonts w:ascii="Arial" w:cs="Arial" w:eastAsia="Arial" w:hAnsi="Arial"/>
          <w:sz w:val="16"/>
          <w:szCs w:val="16"/>
          <w:b w:val="1"/>
          <w:bCs w:val="1"/>
          <w:color w:val="auto"/>
        </w:rPr>
        <w:t xml:space="preserve"> </w:t>
      </w:r>
      <w:r>
        <w:rPr>
          <w:rFonts w:ascii="Arial" w:cs="Arial" w:eastAsia="Arial" w:hAnsi="Arial"/>
          <w:sz w:val="16"/>
          <w:szCs w:val="16"/>
          <w:color w:val="auto"/>
        </w:rPr>
        <w:t>planning, emphasizing cost efficiency, safety, and long-term value</w:t>
      </w:r>
    </w:p>
    <w:p>
      <w:pPr>
        <w:spacing w:after="0" w:line="83" w:lineRule="exact"/>
        <w:rPr>
          <w:rFonts w:ascii="Times New Roman" w:cs="Times New Roman" w:eastAsia="Times New Roman" w:hAnsi="Times New Roman"/>
          <w:sz w:val="22"/>
          <w:szCs w:val="22"/>
          <w:color w:val="D9AB28"/>
        </w:rPr>
      </w:pPr>
    </w:p>
    <w:p>
      <w:pPr>
        <w:ind w:left="1440" w:right="400" w:hanging="132"/>
        <w:spacing w:after="0" w:line="221"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Safety Performance: </w:t>
      </w:r>
      <w:r>
        <w:rPr>
          <w:rFonts w:ascii="Arial" w:cs="Arial" w:eastAsia="Arial" w:hAnsi="Arial"/>
          <w:sz w:val="16"/>
          <w:szCs w:val="16"/>
          <w:color w:val="auto"/>
        </w:rPr>
        <w:t>Achieved the lowest Company Total Recordable Incident Rate (TRIR) in history at 0.13,</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representing an 18% year-over-year improvement, with zero severe injuries globally—a first for the Company</w:t>
      </w:r>
    </w:p>
    <w:p>
      <w:pPr>
        <w:spacing w:after="0" w:line="16" w:lineRule="exact"/>
        <w:rPr>
          <w:rFonts w:ascii="Times New Roman" w:cs="Times New Roman" w:eastAsia="Times New Roman" w:hAnsi="Times New Roman"/>
          <w:sz w:val="22"/>
          <w:szCs w:val="22"/>
          <w:color w:val="D9AB28"/>
        </w:rPr>
      </w:pPr>
    </w:p>
    <w:p>
      <w:pPr>
        <w:jc w:val="both"/>
        <w:ind w:left="1440" w:right="220" w:hanging="132"/>
        <w:spacing w:after="0" w:line="229"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Environmental Progress: </w:t>
      </w:r>
      <w:r>
        <w:rPr>
          <w:rFonts w:ascii="Arial" w:cs="Arial" w:eastAsia="Arial" w:hAnsi="Arial"/>
          <w:sz w:val="16"/>
          <w:szCs w:val="16"/>
          <w:color w:val="auto"/>
        </w:rPr>
        <w:t>Reduced Permian flaring intensity to 0.84%, a 31% improvement compared to 2024,</w:t>
      </w:r>
      <w:r>
        <w:rPr>
          <w:rFonts w:ascii="Arial" w:cs="Arial" w:eastAsia="Arial" w:hAnsi="Arial"/>
          <w:sz w:val="16"/>
          <w:szCs w:val="16"/>
          <w:b w:val="1"/>
          <w:bCs w:val="1"/>
          <w:color w:val="auto"/>
        </w:rPr>
        <w:t xml:space="preserve"> </w:t>
      </w:r>
      <w:r>
        <w:rPr>
          <w:rFonts w:ascii="Arial" w:cs="Arial" w:eastAsia="Arial" w:hAnsi="Arial"/>
          <w:sz w:val="16"/>
          <w:szCs w:val="16"/>
          <w:color w:val="auto"/>
        </w:rPr>
        <w:t>and achieved Oil and Gas Methane Partnership (OGMP) 2.0 Gold Standard Pathway Recognition for the second consecutive year</w:t>
      </w:r>
    </w:p>
    <w:p>
      <w:pPr>
        <w:spacing w:after="0" w:line="15" w:lineRule="exact"/>
        <w:rPr>
          <w:rFonts w:ascii="Times New Roman" w:cs="Times New Roman" w:eastAsia="Times New Roman" w:hAnsi="Times New Roman"/>
          <w:sz w:val="22"/>
          <w:szCs w:val="22"/>
          <w:color w:val="D9AB28"/>
        </w:rPr>
      </w:pPr>
    </w:p>
    <w:p>
      <w:pPr>
        <w:ind w:left="1440" w:right="160" w:hanging="132"/>
        <w:spacing w:after="0" w:line="229"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Greenhouse Gas (GHG) and Methane Emissions Reduction: </w:t>
      </w:r>
      <w:r>
        <w:rPr>
          <w:rFonts w:ascii="Arial" w:cs="Arial" w:eastAsia="Arial" w:hAnsi="Arial"/>
          <w:sz w:val="16"/>
          <w:szCs w:val="16"/>
          <w:color w:val="auto"/>
        </w:rPr>
        <w:t>Continued to advance long-term GHG and</w:t>
      </w:r>
      <w:r>
        <w:rPr>
          <w:rFonts w:ascii="Arial" w:cs="Arial" w:eastAsia="Arial" w:hAnsi="Arial"/>
          <w:sz w:val="16"/>
          <w:szCs w:val="16"/>
          <w:b w:val="1"/>
          <w:bCs w:val="1"/>
          <w:color w:val="auto"/>
        </w:rPr>
        <w:t xml:space="preserve"> </w:t>
      </w:r>
      <w:r>
        <w:rPr>
          <w:rFonts w:ascii="Arial" w:cs="Arial" w:eastAsia="Arial" w:hAnsi="Arial"/>
          <w:sz w:val="16"/>
          <w:szCs w:val="16"/>
          <w:color w:val="auto"/>
        </w:rPr>
        <w:t>methane reduction targets through projects focused on intensity improvements and methane mitigation initiatives, including pneumatic device conversions</w:t>
      </w:r>
    </w:p>
    <w:p>
      <w:pPr>
        <w:spacing w:after="0" w:line="15" w:lineRule="exact"/>
        <w:rPr>
          <w:rFonts w:ascii="Times New Roman" w:cs="Times New Roman" w:eastAsia="Times New Roman" w:hAnsi="Times New Roman"/>
          <w:sz w:val="22"/>
          <w:szCs w:val="22"/>
          <w:color w:val="D9AB28"/>
        </w:rPr>
      </w:pPr>
    </w:p>
    <w:p>
      <w:pPr>
        <w:ind w:left="1440" w:right="20" w:hanging="132"/>
        <w:spacing w:after="0" w:line="233" w:lineRule="auto"/>
        <w:tabs>
          <w:tab w:leader="none" w:pos="1440" w:val="left"/>
        </w:tabs>
        <w:numPr>
          <w:ilvl w:val="0"/>
          <w:numId w:val="81"/>
        </w:numPr>
        <w:rPr>
          <w:rFonts w:ascii="Times New Roman" w:cs="Times New Roman" w:eastAsia="Times New Roman" w:hAnsi="Times New Roman"/>
          <w:sz w:val="22"/>
          <w:szCs w:val="22"/>
          <w:color w:val="D9AB28"/>
        </w:rPr>
      </w:pPr>
      <w:r>
        <w:rPr>
          <w:rFonts w:ascii="Arial" w:cs="Arial" w:eastAsia="Arial" w:hAnsi="Arial"/>
          <w:sz w:val="16"/>
          <w:szCs w:val="16"/>
          <w:b w:val="1"/>
          <w:bCs w:val="1"/>
          <w:color w:val="auto"/>
        </w:rPr>
        <w:t xml:space="preserve">Community Environmental Stewardship: </w:t>
      </w:r>
      <w:r>
        <w:rPr>
          <w:rFonts w:ascii="Arial" w:cs="Arial" w:eastAsia="Arial" w:hAnsi="Arial"/>
          <w:sz w:val="16"/>
          <w:szCs w:val="16"/>
          <w:color w:val="auto"/>
        </w:rPr>
        <w:t>The Apache Tree Grant Program reached a significant milestone,</w:t>
      </w:r>
      <w:r>
        <w:rPr>
          <w:rFonts w:ascii="Arial" w:cs="Arial" w:eastAsia="Arial" w:hAnsi="Arial"/>
          <w:sz w:val="16"/>
          <w:szCs w:val="16"/>
          <w:b w:val="1"/>
          <w:bCs w:val="1"/>
          <w:color w:val="auto"/>
        </w:rPr>
        <w:t xml:space="preserve"> </w:t>
      </w:r>
      <w:r>
        <w:rPr>
          <w:rFonts w:ascii="Arial" w:cs="Arial" w:eastAsia="Arial" w:hAnsi="Arial"/>
          <w:sz w:val="16"/>
          <w:szCs w:val="16"/>
          <w:color w:val="auto"/>
        </w:rPr>
        <w:t>surpassing its 5 millionth tree and advancing long-standing reforestation and community partnership efforts; additionally, the Company completed year two of a three-year study with the Borderlands Research Institute evaluating biodiversity and site reclamation practices, with a comprehensive report expected to be released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-4918710</wp:posOffset>
            </wp:positionV>
            <wp:extent cx="6172200" cy="51092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72200" cy="5109210"/>
                    </a:xfrm>
                    <a:prstGeom prst="rect">
                      <a:avLst/>
                    </a:prstGeom>
                    <a:noFill/>
                  </pic:spPr>
                </pic:pic>
              </a:graphicData>
            </a:graphic>
          </wp:anchor>
        </w:drawing>
      </w: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Further details regarding our sustainability approach can be found on the Sustainability portion of our website.</w:t>
      </w:r>
    </w:p>
    <w:p>
      <w:pPr>
        <w:spacing w:after="0" w:line="143" w:lineRule="exact"/>
        <w:rPr>
          <w:sz w:val="20"/>
          <w:szCs w:val="20"/>
          <w:color w:val="auto"/>
        </w:rPr>
      </w:pPr>
    </w:p>
    <w:p>
      <w:pPr>
        <w:ind w:left="240" w:right="240" w:hanging="236"/>
        <w:spacing w:after="0" w:line="246" w:lineRule="auto"/>
        <w:tabs>
          <w:tab w:leader="none" w:pos="240" w:val="left"/>
        </w:tabs>
        <w:numPr>
          <w:ilvl w:val="0"/>
          <w:numId w:val="82"/>
        </w:numPr>
        <w:rPr>
          <w:rFonts w:ascii="Arial" w:cs="Arial" w:eastAsia="Arial" w:hAnsi="Arial"/>
          <w:sz w:val="14"/>
          <w:szCs w:val="14"/>
          <w:color w:val="595959"/>
        </w:rPr>
      </w:pPr>
      <w:r>
        <w:rPr>
          <w:rFonts w:ascii="Arial" w:cs="Arial" w:eastAsia="Arial" w:hAnsi="Arial"/>
          <w:sz w:val="14"/>
          <w:szCs w:val="14"/>
          <w:i w:val="1"/>
          <w:iCs w:val="1"/>
          <w:color w:val="595959"/>
        </w:rPr>
        <w:t xml:space="preserve">Free Cash Flow </w:t>
      </w:r>
      <w:r>
        <w:rPr>
          <w:rFonts w:ascii="Arial" w:cs="Arial" w:eastAsia="Arial" w:hAnsi="Arial"/>
          <w:sz w:val="14"/>
          <w:szCs w:val="14"/>
          <w:color w:val="595959"/>
        </w:rPr>
        <w:t>for goal metrics is defined as cash flows from operations before changes in operating assets and liabilities, less upstream capital,</w:t>
      </w:r>
      <w:r>
        <w:rPr>
          <w:rFonts w:ascii="Arial" w:cs="Arial" w:eastAsia="Arial" w:hAnsi="Arial"/>
          <w:sz w:val="14"/>
          <w:szCs w:val="14"/>
          <w:i w:val="1"/>
          <w:iCs w:val="1"/>
          <w:color w:val="595959"/>
        </w:rPr>
        <w:t xml:space="preserve"> </w:t>
      </w:r>
      <w:r>
        <w:rPr>
          <w:rFonts w:ascii="Arial" w:cs="Arial" w:eastAsia="Arial" w:hAnsi="Arial"/>
          <w:sz w:val="14"/>
          <w:szCs w:val="14"/>
          <w:color w:val="595959"/>
        </w:rPr>
        <w:t>leasehold, capitalized interest, and decommissioning spend. It is then adjusted to add back impacts from stock compensation, Transaction, Reorganization, and Separation (TRS) expense, and Gulf of America decommissioning spend. The final result is then adjusted for sales and acquisitions, as well as timing of Suriname development spend.</w:t>
      </w:r>
    </w:p>
    <w:p>
      <w:pPr>
        <w:spacing w:after="0" w:line="1" w:lineRule="exact"/>
        <w:rPr>
          <w:rFonts w:ascii="Arial" w:cs="Arial" w:eastAsia="Arial" w:hAnsi="Arial"/>
          <w:sz w:val="14"/>
          <w:szCs w:val="14"/>
          <w:color w:val="595959"/>
        </w:rPr>
      </w:pPr>
    </w:p>
    <w:p>
      <w:pPr>
        <w:ind w:left="240" w:hanging="236"/>
        <w:spacing w:after="0"/>
        <w:tabs>
          <w:tab w:leader="none" w:pos="240" w:val="left"/>
        </w:tabs>
        <w:numPr>
          <w:ilvl w:val="0"/>
          <w:numId w:val="82"/>
        </w:numPr>
        <w:rPr>
          <w:rFonts w:ascii="Arial" w:cs="Arial" w:eastAsia="Arial" w:hAnsi="Arial"/>
          <w:sz w:val="14"/>
          <w:szCs w:val="14"/>
          <w:color w:val="595959"/>
        </w:rPr>
      </w:pPr>
      <w:r>
        <w:rPr>
          <w:rFonts w:ascii="Arial" w:cs="Arial" w:eastAsia="Arial" w:hAnsi="Arial"/>
          <w:sz w:val="14"/>
          <w:szCs w:val="14"/>
          <w:color w:val="595959"/>
        </w:rPr>
        <w:t xml:space="preserve">Refer to the </w:t>
      </w:r>
      <w:r>
        <w:rPr>
          <w:rFonts w:ascii="Arial" w:cs="Arial" w:eastAsia="Arial" w:hAnsi="Arial"/>
          <w:sz w:val="14"/>
          <w:szCs w:val="14"/>
          <w:i w:val="1"/>
          <w:iCs w:val="1"/>
          <w:color w:val="595959"/>
        </w:rPr>
        <w:t>Non-GAAP Financial Measures</w:t>
      </w:r>
      <w:r>
        <w:rPr>
          <w:rFonts w:ascii="Arial" w:cs="Arial" w:eastAsia="Arial" w:hAnsi="Arial"/>
          <w:sz w:val="14"/>
          <w:szCs w:val="14"/>
          <w:color w:val="595959"/>
        </w:rPr>
        <w:t xml:space="preserve"> section in this proxy statement for a reconciliation of this non-GAAP financial measure.</w:t>
      </w:r>
    </w:p>
    <w:p>
      <w:pPr>
        <w:spacing w:after="0" w:line="198"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26" w:right="1099" w:bottom="1440" w:gutter="0" w:footer="0" w:header="0"/>
        </w:sectPr>
      </w:pPr>
    </w:p>
    <w:bookmarkStart w:id="21" w:name="page22"/>
    <w:bookmarkEnd w:id="21"/>
    <w:p>
      <w:pPr>
        <w:ind w:left="660"/>
        <w:spacing w:after="0"/>
        <w:rPr>
          <w:sz w:val="20"/>
          <w:szCs w:val="20"/>
          <w:color w:val="auto"/>
        </w:rPr>
      </w:pPr>
      <w:r>
        <w:rPr>
          <w:rFonts w:ascii="Arial" w:cs="Arial" w:eastAsia="Arial" w:hAnsi="Arial"/>
          <w:sz w:val="22"/>
          <w:szCs w:val="22"/>
          <w:b w:val="1"/>
          <w:bCs w:val="1"/>
          <w:color w:val="auto"/>
        </w:rPr>
        <w:t>2025 Compensation Highlights</w:t>
      </w:r>
    </w:p>
    <w:p>
      <w:pPr>
        <w:spacing w:after="0" w:line="112" w:lineRule="exact"/>
        <w:rPr>
          <w:sz w:val="20"/>
          <w:szCs w:val="20"/>
          <w:color w:val="auto"/>
        </w:rPr>
      </w:pPr>
    </w:p>
    <w:p>
      <w:pPr>
        <w:ind w:left="660" w:right="720"/>
        <w:spacing w:after="0" w:line="256" w:lineRule="auto"/>
        <w:rPr>
          <w:sz w:val="20"/>
          <w:szCs w:val="20"/>
          <w:color w:val="auto"/>
        </w:rPr>
      </w:pPr>
      <w:r>
        <w:rPr>
          <w:rFonts w:ascii="Arial" w:cs="Arial" w:eastAsia="Arial" w:hAnsi="Arial"/>
          <w:sz w:val="16"/>
          <w:szCs w:val="16"/>
          <w:color w:val="auto"/>
        </w:rPr>
        <w:t>Our program has three primary elements: base salary, annual incentives, and long-term equity incentives.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long-term sustainable shareholder value creation. Below are key highlights of the executive compensation decisions the MD&amp;C Committee made for fiscal year 2025 related to the NEOs:</w:t>
      </w:r>
    </w:p>
    <w:p>
      <w:pPr>
        <w:spacing w:after="0" w:line="66" w:lineRule="exact"/>
        <w:rPr>
          <w:sz w:val="20"/>
          <w:szCs w:val="20"/>
          <w:color w:val="auto"/>
        </w:rPr>
      </w:pPr>
    </w:p>
    <w:tbl>
      <w:tblPr>
        <w:tblLayout w:type="fixed"/>
        <w:tblInd w:w="660" w:type="dxa"/>
        <w:tblCellMar>
          <w:top w:w="0" w:type="dxa"/>
          <w:left w:w="0" w:type="dxa"/>
          <w:bottom w:w="0" w:type="dxa"/>
          <w:right w:w="0" w:type="dxa"/>
        </w:tblCellMar>
      </w:tblPr>
      <w:tr>
        <w:trPr>
          <w:trHeight w:val="315"/>
        </w:trPr>
        <w:tc>
          <w:tcPr>
            <w:tcW w:w="1460" w:type="dxa"/>
            <w:vAlign w:val="bottom"/>
            <w:tcBorders>
              <w:top w:val="single" w:sz="8" w:color="auto"/>
              <w:bottom w:val="single" w:sz="8" w:color="F3F3F4"/>
            </w:tcBorders>
            <w:shd w:val="clear" w:color="auto" w:fill="F3F3F4"/>
          </w:tcPr>
          <w:p>
            <w:pPr>
              <w:ind w:left="80"/>
              <w:spacing w:after="0"/>
              <w:rPr>
                <w:sz w:val="20"/>
                <w:szCs w:val="20"/>
                <w:color w:val="auto"/>
              </w:rPr>
            </w:pPr>
            <w:r>
              <w:rPr>
                <w:rFonts w:ascii="Arial" w:cs="Arial" w:eastAsia="Arial" w:hAnsi="Arial"/>
                <w:sz w:val="16"/>
                <w:szCs w:val="16"/>
                <w:b w:val="1"/>
                <w:bCs w:val="1"/>
                <w:color w:val="auto"/>
              </w:rPr>
              <w:t>Element</w:t>
            </w:r>
          </w:p>
        </w:tc>
        <w:tc>
          <w:tcPr>
            <w:tcW w:w="8260" w:type="dxa"/>
            <w:vAlign w:val="bottom"/>
            <w:tcBorders>
              <w:top w:val="single" w:sz="8" w:color="auto"/>
              <w:bottom w:val="single" w:sz="8" w:color="F3F3F4"/>
            </w:tcBorders>
            <w:shd w:val="clear" w:color="auto" w:fill="F3F3F4"/>
          </w:tcPr>
          <w:p>
            <w:pPr>
              <w:ind w:left="160"/>
              <w:spacing w:after="0"/>
              <w:rPr>
                <w:sz w:val="20"/>
                <w:szCs w:val="20"/>
                <w:color w:val="auto"/>
              </w:rPr>
            </w:pPr>
            <w:r>
              <w:rPr>
                <w:rFonts w:ascii="Arial" w:cs="Arial" w:eastAsia="Arial" w:hAnsi="Arial"/>
                <w:sz w:val="16"/>
                <w:szCs w:val="16"/>
                <w:b w:val="1"/>
                <w:bCs w:val="1"/>
                <w:color w:val="auto"/>
              </w:rPr>
              <w:t>Key Decisions</w:t>
            </w:r>
          </w:p>
        </w:tc>
      </w:tr>
      <w:tr>
        <w:trPr>
          <w:trHeight w:val="345"/>
        </w:trPr>
        <w:tc>
          <w:tcPr>
            <w:tcW w:w="1460" w:type="dxa"/>
            <w:vAlign w:val="bottom"/>
            <w:tcBorders>
              <w:top w:val="single" w:sz="8" w:color="auto"/>
              <w:bottom w:val="single" w:sz="8" w:color="07877B"/>
            </w:tcBorders>
            <w:shd w:val="clear" w:color="auto" w:fill="07877B"/>
          </w:tcPr>
          <w:p>
            <w:pPr>
              <w:ind w:left="100"/>
              <w:spacing w:after="0"/>
              <w:rPr>
                <w:sz w:val="20"/>
                <w:szCs w:val="20"/>
                <w:color w:val="auto"/>
              </w:rPr>
            </w:pPr>
            <w:r>
              <w:rPr>
                <w:rFonts w:ascii="Arial" w:cs="Arial" w:eastAsia="Arial" w:hAnsi="Arial"/>
                <w:sz w:val="16"/>
                <w:szCs w:val="16"/>
                <w:b w:val="1"/>
                <w:bCs w:val="1"/>
                <w:color w:val="FFFFFF"/>
              </w:rPr>
              <w:t>Base Salaries</w:t>
            </w:r>
          </w:p>
        </w:tc>
        <w:tc>
          <w:tcPr>
            <w:tcW w:w="82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Kept NEO base salaries</w:t>
            </w:r>
            <w:r>
              <w:rPr>
                <w:rFonts w:ascii="Times New Roman" w:cs="Times New Roman" w:eastAsia="Times New Roman" w:hAnsi="Times New Roman"/>
                <w:sz w:val="22"/>
                <w:szCs w:val="22"/>
                <w:color w:val="D9AB28"/>
              </w:rPr>
              <w:t xml:space="preserve"> </w:t>
            </w:r>
            <w:r>
              <w:rPr>
                <w:rFonts w:ascii="Arial" w:cs="Arial" w:eastAsia="Arial" w:hAnsi="Arial"/>
                <w:sz w:val="16"/>
                <w:szCs w:val="16"/>
                <w:b w:val="1"/>
                <w:bCs w:val="1"/>
                <w:color w:val="000000"/>
              </w:rPr>
              <w:t>flat</w:t>
            </w: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in 2025</w:t>
            </w:r>
          </w:p>
        </w:tc>
      </w:tr>
      <w:tr>
        <w:trPr>
          <w:trHeight w:val="236"/>
        </w:trPr>
        <w:tc>
          <w:tcPr>
            <w:tcW w:w="1460" w:type="dxa"/>
            <w:vAlign w:val="bottom"/>
            <w:tcBorders>
              <w:top w:val="single" w:sz="8" w:color="auto"/>
            </w:tcBorders>
            <w:shd w:val="clear" w:color="auto" w:fill="D9AB28"/>
          </w:tcPr>
          <w:p>
            <w:pPr>
              <w:ind w:left="100"/>
              <w:spacing w:after="0"/>
              <w:rPr>
                <w:sz w:val="20"/>
                <w:szCs w:val="20"/>
                <w:color w:val="auto"/>
              </w:rPr>
            </w:pPr>
            <w:r>
              <w:rPr>
                <w:rFonts w:ascii="Arial" w:cs="Arial" w:eastAsia="Arial" w:hAnsi="Arial"/>
                <w:sz w:val="16"/>
                <w:szCs w:val="16"/>
                <w:b w:val="1"/>
                <w:bCs w:val="1"/>
                <w:color w:val="FFFFFF"/>
              </w:rPr>
              <w:t>Annual</w:t>
            </w:r>
          </w:p>
        </w:tc>
        <w:tc>
          <w:tcPr>
            <w:tcW w:w="8260" w:type="dxa"/>
            <w:vAlign w:val="bottom"/>
            <w:tcBorders>
              <w:top w:val="single" w:sz="8" w:color="auto"/>
            </w:tcBorders>
          </w:tcPr>
          <w:p>
            <w:pPr>
              <w:ind w:left="180"/>
              <w:spacing w:after="0" w:line="237" w:lineRule="exact"/>
              <w:rPr>
                <w:sz w:val="20"/>
                <w:szCs w:val="20"/>
                <w:color w:val="auto"/>
              </w:rPr>
            </w:pP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Increased the weighting on</w:t>
            </w:r>
            <w:r>
              <w:rPr>
                <w:rFonts w:ascii="Times New Roman" w:cs="Times New Roman" w:eastAsia="Times New Roman" w:hAnsi="Times New Roman"/>
                <w:sz w:val="22"/>
                <w:szCs w:val="22"/>
                <w:color w:val="D9AB28"/>
              </w:rPr>
              <w:t xml:space="preserve"> </w:t>
            </w:r>
            <w:r>
              <w:rPr>
                <w:rFonts w:ascii="Arial" w:cs="Arial" w:eastAsia="Arial" w:hAnsi="Arial"/>
                <w:sz w:val="16"/>
                <w:szCs w:val="16"/>
                <w:b w:val="1"/>
                <w:bCs w:val="1"/>
                <w:color w:val="000000"/>
              </w:rPr>
              <w:t>objective, formula-based results</w:t>
            </w: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from 80% to 90%, while maintaining a</w:t>
            </w:r>
          </w:p>
        </w:tc>
      </w:tr>
      <w:tr>
        <w:trPr>
          <w:trHeight w:val="215"/>
        </w:trPr>
        <w:tc>
          <w:tcPr>
            <w:tcW w:w="1460" w:type="dxa"/>
            <w:vAlign w:val="bottom"/>
            <w:shd w:val="clear" w:color="auto" w:fill="D9AB28"/>
          </w:tcPr>
          <w:p>
            <w:pPr>
              <w:ind w:left="100"/>
              <w:spacing w:after="0"/>
              <w:rPr>
                <w:sz w:val="20"/>
                <w:szCs w:val="20"/>
                <w:color w:val="auto"/>
              </w:rPr>
            </w:pPr>
            <w:r>
              <w:rPr>
                <w:rFonts w:ascii="Arial" w:cs="Arial" w:eastAsia="Arial" w:hAnsi="Arial"/>
                <w:sz w:val="16"/>
                <w:szCs w:val="16"/>
                <w:b w:val="1"/>
                <w:bCs w:val="1"/>
                <w:color w:val="FFFFFF"/>
              </w:rPr>
              <w:t>Incentives</w:t>
            </w:r>
          </w:p>
        </w:tc>
        <w:tc>
          <w:tcPr>
            <w:tcW w:w="8260" w:type="dxa"/>
            <w:vAlign w:val="bottom"/>
          </w:tcPr>
          <w:p>
            <w:pPr>
              <w:ind w:left="400"/>
              <w:spacing w:after="0"/>
              <w:rPr>
                <w:sz w:val="20"/>
                <w:szCs w:val="20"/>
                <w:color w:val="auto"/>
              </w:rPr>
            </w:pPr>
            <w:r>
              <w:rPr>
                <w:rFonts w:ascii="Arial" w:cs="Arial" w:eastAsia="Arial" w:hAnsi="Arial"/>
                <w:sz w:val="16"/>
                <w:szCs w:val="16"/>
                <w:color w:val="auto"/>
              </w:rPr>
              <w:t>dedicated strategic component to recognize progress on initiatives that materially improve the Company’s</w:t>
            </w:r>
          </w:p>
        </w:tc>
      </w:tr>
      <w:tr>
        <w:trPr>
          <w:trHeight w:val="215"/>
        </w:trPr>
        <w:tc>
          <w:tcPr>
            <w:tcW w:w="1460" w:type="dxa"/>
            <w:vAlign w:val="bottom"/>
            <w:shd w:val="clear" w:color="auto" w:fill="D9AB28"/>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6"/>
                <w:szCs w:val="16"/>
                <w:color w:val="auto"/>
              </w:rPr>
              <w:t>long-term outlook</w:t>
            </w:r>
          </w:p>
        </w:tc>
      </w:tr>
      <w:tr>
        <w:trPr>
          <w:trHeight w:val="258"/>
        </w:trPr>
        <w:tc>
          <w:tcPr>
            <w:tcW w:w="1460" w:type="dxa"/>
            <w:vAlign w:val="bottom"/>
            <w:shd w:val="clear" w:color="auto" w:fill="D9AB28"/>
          </w:tcPr>
          <w:p>
            <w:pPr>
              <w:spacing w:after="0"/>
              <w:rPr>
                <w:sz w:val="22"/>
                <w:szCs w:val="22"/>
                <w:color w:val="auto"/>
              </w:rPr>
            </w:pPr>
          </w:p>
        </w:tc>
        <w:tc>
          <w:tcPr>
            <w:tcW w:w="8260" w:type="dxa"/>
            <w:vAlign w:val="bottom"/>
          </w:tcPr>
          <w:p>
            <w:pPr>
              <w:ind w:left="180"/>
              <w:spacing w:after="0"/>
              <w:rPr>
                <w:sz w:val="20"/>
                <w:szCs w:val="20"/>
                <w:color w:val="auto"/>
              </w:rPr>
            </w:pP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Refined the corporate performance scorecard to</w:t>
            </w:r>
            <w:r>
              <w:rPr>
                <w:rFonts w:ascii="Times New Roman" w:cs="Times New Roman" w:eastAsia="Times New Roman" w:hAnsi="Times New Roman"/>
                <w:sz w:val="22"/>
                <w:szCs w:val="22"/>
                <w:color w:val="D9AB28"/>
              </w:rPr>
              <w:t xml:space="preserve"> </w:t>
            </w:r>
            <w:r>
              <w:rPr>
                <w:rFonts w:ascii="Arial" w:cs="Arial" w:eastAsia="Arial" w:hAnsi="Arial"/>
                <w:sz w:val="16"/>
                <w:szCs w:val="16"/>
                <w:b w:val="1"/>
                <w:bCs w:val="1"/>
                <w:color w:val="000000"/>
              </w:rPr>
              <w:t>improve transparency, strengthen accountability, and</w:t>
            </w:r>
          </w:p>
        </w:tc>
      </w:tr>
      <w:tr>
        <w:trPr>
          <w:trHeight w:val="189"/>
        </w:trPr>
        <w:tc>
          <w:tcPr>
            <w:tcW w:w="1460" w:type="dxa"/>
            <w:vAlign w:val="bottom"/>
            <w:shd w:val="clear" w:color="auto" w:fill="D9AB28"/>
          </w:tcPr>
          <w:p>
            <w:pPr>
              <w:spacing w:after="0"/>
              <w:rPr>
                <w:sz w:val="16"/>
                <w:szCs w:val="16"/>
                <w:color w:val="auto"/>
              </w:rPr>
            </w:pPr>
          </w:p>
        </w:tc>
        <w:tc>
          <w:tcPr>
            <w:tcW w:w="8260" w:type="dxa"/>
            <w:vAlign w:val="bottom"/>
          </w:tcPr>
          <w:p>
            <w:pPr>
              <w:ind w:left="400"/>
              <w:spacing w:after="0"/>
              <w:rPr>
                <w:sz w:val="20"/>
                <w:szCs w:val="20"/>
                <w:color w:val="auto"/>
              </w:rPr>
            </w:pPr>
            <w:r>
              <w:rPr>
                <w:rFonts w:ascii="Arial" w:cs="Arial" w:eastAsia="Arial" w:hAnsi="Arial"/>
                <w:sz w:val="16"/>
                <w:szCs w:val="16"/>
                <w:b w:val="1"/>
                <w:bCs w:val="1"/>
                <w:color w:val="auto"/>
              </w:rPr>
              <w:t xml:space="preserve">align incentives </w:t>
            </w:r>
            <w:r>
              <w:rPr>
                <w:rFonts w:ascii="Arial" w:cs="Arial" w:eastAsia="Arial" w:hAnsi="Arial"/>
                <w:sz w:val="16"/>
                <w:szCs w:val="16"/>
                <w:color w:val="auto"/>
              </w:rPr>
              <w:t>more directly with key value drivers (please see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Key Changes for 2025</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Insights from</w:t>
            </w:r>
          </w:p>
        </w:tc>
      </w:tr>
      <w:tr>
        <w:trPr>
          <w:trHeight w:val="215"/>
        </w:trPr>
        <w:tc>
          <w:tcPr>
            <w:tcW w:w="1460" w:type="dxa"/>
            <w:vAlign w:val="bottom"/>
            <w:shd w:val="clear" w:color="auto" w:fill="D9AB28"/>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6"/>
                <w:szCs w:val="16"/>
                <w:i w:val="1"/>
                <w:iCs w:val="1"/>
                <w:color w:val="auto"/>
              </w:rPr>
              <w:t xml:space="preserve">Juliet S. Ellis, MD&amp;C Committee Chair </w:t>
            </w:r>
            <w:r>
              <w:rPr>
                <w:rFonts w:ascii="Arial" w:cs="Arial" w:eastAsia="Arial" w:hAnsi="Arial"/>
                <w:sz w:val="16"/>
                <w:szCs w:val="16"/>
                <w:color w:val="auto"/>
              </w:rPr>
              <w:t>below for more information)</w:t>
            </w:r>
          </w:p>
        </w:tc>
      </w:tr>
      <w:tr>
        <w:trPr>
          <w:trHeight w:val="298"/>
        </w:trPr>
        <w:tc>
          <w:tcPr>
            <w:tcW w:w="1460" w:type="dxa"/>
            <w:vAlign w:val="bottom"/>
            <w:shd w:val="clear" w:color="auto" w:fill="D9AB28"/>
          </w:tcPr>
          <w:p>
            <w:pPr>
              <w:spacing w:after="0"/>
              <w:rPr>
                <w:sz w:val="24"/>
                <w:szCs w:val="24"/>
                <w:color w:val="auto"/>
              </w:rPr>
            </w:pPr>
          </w:p>
        </w:tc>
        <w:tc>
          <w:tcPr>
            <w:tcW w:w="8260" w:type="dxa"/>
            <w:vAlign w:val="bottom"/>
          </w:tcPr>
          <w:p>
            <w:pPr>
              <w:ind w:left="180"/>
              <w:spacing w:after="0"/>
              <w:rPr>
                <w:sz w:val="20"/>
                <w:szCs w:val="20"/>
                <w:color w:val="auto"/>
              </w:rPr>
            </w:pP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Kept NEO target annual incentive award opportunities</w:t>
            </w:r>
            <w:r>
              <w:rPr>
                <w:rFonts w:ascii="Times New Roman" w:cs="Times New Roman" w:eastAsia="Times New Roman" w:hAnsi="Times New Roman"/>
                <w:sz w:val="22"/>
                <w:szCs w:val="22"/>
                <w:color w:val="D9AB28"/>
              </w:rPr>
              <w:t xml:space="preserve"> </w:t>
            </w:r>
            <w:r>
              <w:rPr>
                <w:rFonts w:ascii="Arial" w:cs="Arial" w:eastAsia="Arial" w:hAnsi="Arial"/>
                <w:sz w:val="16"/>
                <w:szCs w:val="16"/>
                <w:b w:val="1"/>
                <w:bCs w:val="1"/>
                <w:color w:val="000000"/>
              </w:rPr>
              <w:t>unchanged</w:t>
            </w: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from 2024</w:t>
            </w:r>
          </w:p>
        </w:tc>
      </w:tr>
      <w:tr>
        <w:trPr>
          <w:trHeight w:val="319"/>
        </w:trPr>
        <w:tc>
          <w:tcPr>
            <w:tcW w:w="1460" w:type="dxa"/>
            <w:vAlign w:val="bottom"/>
            <w:tcBorders>
              <w:bottom w:val="single" w:sz="8" w:color="D9AB28"/>
            </w:tcBorders>
            <w:shd w:val="clear" w:color="auto" w:fill="D9AB28"/>
          </w:tcPr>
          <w:p>
            <w:pPr>
              <w:spacing w:after="0"/>
              <w:rPr>
                <w:sz w:val="24"/>
                <w:szCs w:val="24"/>
                <w:color w:val="auto"/>
              </w:rPr>
            </w:pPr>
          </w:p>
        </w:tc>
        <w:tc>
          <w:tcPr>
            <w:tcW w:w="8260" w:type="dxa"/>
            <w:vAlign w:val="bottom"/>
          </w:tcPr>
          <w:p>
            <w:pPr>
              <w:ind w:left="180"/>
              <w:spacing w:after="0"/>
              <w:rPr>
                <w:sz w:val="20"/>
                <w:szCs w:val="20"/>
                <w:color w:val="auto"/>
              </w:rPr>
            </w:pPr>
            <w:r>
              <w:rPr>
                <w:rFonts w:ascii="Times New Roman" w:cs="Times New Roman" w:eastAsia="Times New Roman" w:hAnsi="Times New Roman"/>
                <w:sz w:val="22"/>
                <w:szCs w:val="22"/>
                <w:color w:val="D9AB28"/>
              </w:rPr>
              <w:t xml:space="preserve">•  </w:t>
            </w:r>
            <w:r>
              <w:rPr>
                <w:rFonts w:ascii="Arial" w:cs="Arial" w:eastAsia="Arial" w:hAnsi="Arial"/>
                <w:sz w:val="16"/>
                <w:szCs w:val="16"/>
                <w:color w:val="000000"/>
              </w:rPr>
              <w:t>Approved actual annual incentive awards—</w:t>
            </w:r>
            <w:r>
              <w:rPr>
                <w:rFonts w:ascii="Arial" w:cs="Arial" w:eastAsia="Arial" w:hAnsi="Arial"/>
                <w:sz w:val="16"/>
                <w:szCs w:val="16"/>
                <w:b w:val="1"/>
                <w:bCs w:val="1"/>
                <w:color w:val="000000"/>
              </w:rPr>
              <w:t>based on performance</w:t>
            </w:r>
            <w:r>
              <w:rPr>
                <w:rFonts w:ascii="Arial" w:cs="Arial" w:eastAsia="Arial" w:hAnsi="Arial"/>
                <w:sz w:val="16"/>
                <w:szCs w:val="16"/>
                <w:color w:val="000000"/>
              </w:rPr>
              <w:t>—ranging from 189.8% to 200% of target</w:t>
            </w:r>
          </w:p>
        </w:tc>
      </w:tr>
      <w:tr>
        <w:trPr>
          <w:trHeight w:val="20"/>
        </w:trPr>
        <w:tc>
          <w:tcPr>
            <w:tcW w:w="1460" w:type="dxa"/>
            <w:vAlign w:val="bottom"/>
            <w:shd w:val="clear" w:color="auto" w:fill="000000"/>
          </w:tcPr>
          <w:p>
            <w:pPr>
              <w:spacing w:after="0" w:line="20" w:lineRule="exact"/>
              <w:rPr>
                <w:sz w:val="1"/>
                <w:szCs w:val="1"/>
                <w:color w:val="auto"/>
              </w:rPr>
            </w:pPr>
          </w:p>
        </w:tc>
        <w:tc>
          <w:tcPr>
            <w:tcW w:w="82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0</wp:posOffset>
            </wp:positionV>
            <wp:extent cx="6172200" cy="831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72200" cy="831850"/>
                    </a:xfrm>
                    <a:prstGeom prst="rect">
                      <a:avLst/>
                    </a:prstGeom>
                    <a:noFill/>
                  </pic:spPr>
                </pic:pic>
              </a:graphicData>
            </a:graphic>
          </wp:anchor>
        </w:drawing>
      </w:r>
    </w:p>
    <w:p>
      <w:pPr>
        <w:sectPr>
          <w:pgSz w:w="11900" w:h="16838" w:orient="portrait"/>
          <w:cols w:equalWidth="0" w:num="1">
            <w:col w:w="11040"/>
          </w:cols>
          <w:pgMar w:left="420" w:top="1218" w:right="439" w:bottom="1440" w:gutter="0" w:footer="0" w:header="0"/>
        </w:sectPr>
      </w:pPr>
    </w:p>
    <w:p>
      <w:pPr>
        <w:spacing w:after="0" w:line="4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FFFFFF"/>
        </w:rPr>
        <w:t>Long-Term</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FFFFFF"/>
        </w:rPr>
        <w:t>Incentives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230" w:right="1140" w:hanging="230"/>
        <w:spacing w:after="0" w:line="221" w:lineRule="auto"/>
        <w:tabs>
          <w:tab w:leader="none" w:pos="230" w:val="left"/>
        </w:tabs>
        <w:numPr>
          <w:ilvl w:val="0"/>
          <w:numId w:val="83"/>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Granted 2025 awards with a mix of 60% performance awards, 20% stock options, and 20% time-based RSUs (please see </w:t>
      </w:r>
      <w:r>
        <w:rPr>
          <w:rFonts w:ascii="Arial" w:cs="Arial" w:eastAsia="Arial" w:hAnsi="Arial"/>
          <w:sz w:val="16"/>
          <w:szCs w:val="16"/>
          <w:i w:val="1"/>
          <w:iCs w:val="1"/>
          <w:color w:val="auto"/>
        </w:rPr>
        <w:t>Key Changes for 2025</w:t>
      </w:r>
      <w:r>
        <w:rPr>
          <w:rFonts w:ascii="Arial" w:cs="Arial" w:eastAsia="Arial" w:hAnsi="Arial"/>
          <w:sz w:val="16"/>
          <w:szCs w:val="16"/>
          <w:color w:val="auto"/>
        </w:rPr>
        <w:t xml:space="preserve"> below for more information)</w:t>
      </w:r>
    </w:p>
    <w:p>
      <w:pPr>
        <w:spacing w:after="0" w:line="39" w:lineRule="exact"/>
        <w:rPr>
          <w:rFonts w:ascii="Times New Roman" w:cs="Times New Roman" w:eastAsia="Times New Roman" w:hAnsi="Times New Roman"/>
          <w:sz w:val="22"/>
          <w:szCs w:val="22"/>
          <w:color w:val="D9AB28"/>
        </w:rPr>
      </w:pPr>
    </w:p>
    <w:p>
      <w:pPr>
        <w:ind w:left="230" w:hanging="230"/>
        <w:spacing w:after="0"/>
        <w:tabs>
          <w:tab w:leader="none" w:pos="230" w:val="left"/>
        </w:tabs>
        <w:numPr>
          <w:ilvl w:val="0"/>
          <w:numId w:val="83"/>
        </w:numPr>
        <w:rPr>
          <w:rFonts w:ascii="Times New Roman" w:cs="Times New Roman" w:eastAsia="Times New Roman" w:hAnsi="Times New Roman"/>
          <w:sz w:val="22"/>
          <w:szCs w:val="22"/>
          <w:color w:val="D9AB28"/>
        </w:rPr>
      </w:pPr>
      <w:r>
        <w:rPr>
          <w:rFonts w:ascii="Arial" w:cs="Arial" w:eastAsia="Arial" w:hAnsi="Arial"/>
          <w:sz w:val="16"/>
          <w:szCs w:val="16"/>
          <w:color w:val="auto"/>
        </w:rPr>
        <w:t xml:space="preserve">Kept NEO target long-term incentive award opportunities </w:t>
      </w:r>
      <w:r>
        <w:rPr>
          <w:rFonts w:ascii="Arial" w:cs="Arial" w:eastAsia="Arial" w:hAnsi="Arial"/>
          <w:sz w:val="16"/>
          <w:szCs w:val="16"/>
          <w:b w:val="1"/>
          <w:bCs w:val="1"/>
          <w:color w:val="auto"/>
        </w:rPr>
        <w:t>unchanged</w:t>
      </w:r>
      <w:r>
        <w:rPr>
          <w:rFonts w:ascii="Arial" w:cs="Arial" w:eastAsia="Arial" w:hAnsi="Arial"/>
          <w:sz w:val="16"/>
          <w:szCs w:val="16"/>
          <w:color w:val="auto"/>
        </w:rPr>
        <w:t xml:space="preserve"> from 2024</w:t>
      </w:r>
    </w:p>
    <w:p>
      <w:pPr>
        <w:spacing w:after="0" w:line="74" w:lineRule="exact"/>
        <w:rPr>
          <w:rFonts w:ascii="Times New Roman" w:cs="Times New Roman" w:eastAsia="Times New Roman" w:hAnsi="Times New Roman"/>
          <w:sz w:val="22"/>
          <w:szCs w:val="22"/>
          <w:color w:val="D9AB28"/>
        </w:rPr>
      </w:pPr>
    </w:p>
    <w:p>
      <w:pPr>
        <w:ind w:left="230" w:right="1140" w:hanging="230"/>
        <w:spacing w:after="0" w:line="221" w:lineRule="auto"/>
        <w:tabs>
          <w:tab w:leader="none" w:pos="230" w:val="left"/>
        </w:tabs>
        <w:numPr>
          <w:ilvl w:val="0"/>
          <w:numId w:val="83"/>
        </w:numPr>
        <w:rPr>
          <w:rFonts w:ascii="Times New Roman" w:cs="Times New Roman" w:eastAsia="Times New Roman" w:hAnsi="Times New Roman"/>
          <w:sz w:val="22"/>
          <w:szCs w:val="22"/>
          <w:color w:val="D9AB28"/>
        </w:rPr>
      </w:pPr>
      <w:r>
        <w:rPr>
          <w:rFonts w:ascii="Arial" w:cs="Arial" w:eastAsia="Arial" w:hAnsi="Arial"/>
          <w:sz w:val="16"/>
          <w:szCs w:val="16"/>
          <w:color w:val="auto"/>
        </w:rPr>
        <w:t>Awarded performance awards from the 2023 grant at 120% of target, with 50% vested in 2026, and the remaining 50% set to vest in 2027</w:t>
      </w:r>
    </w:p>
    <w:p>
      <w:pPr>
        <w:spacing w:after="0" w:line="137" w:lineRule="exact"/>
        <w:rPr>
          <w:sz w:val="20"/>
          <w:szCs w:val="20"/>
          <w:color w:val="auto"/>
        </w:rPr>
      </w:pPr>
    </w:p>
    <w:p>
      <w:pPr>
        <w:sectPr>
          <w:pgSz w:w="11900" w:h="16838" w:orient="portrait"/>
          <w:cols w:equalWidth="0" w:num="2">
            <w:col w:w="1600" w:space="690"/>
            <w:col w:w="8750"/>
          </w:cols>
          <w:pgMar w:left="420" w:top="1218" w:right="439" w:bottom="1440" w:gutter="0" w:footer="0" w:header="0"/>
          <w:type w:val="continuous"/>
        </w:sectPr>
      </w:pPr>
    </w:p>
    <w:p>
      <w:pPr>
        <w:ind w:left="660"/>
        <w:spacing w:after="0"/>
        <w:rPr>
          <w:sz w:val="20"/>
          <w:szCs w:val="20"/>
          <w:color w:val="auto"/>
        </w:rPr>
      </w:pPr>
      <w:r>
        <w:rPr>
          <w:rFonts w:ascii="Arial" w:cs="Arial" w:eastAsia="Arial" w:hAnsi="Arial"/>
          <w:sz w:val="22"/>
          <w:szCs w:val="22"/>
          <w:b w:val="1"/>
          <w:bCs w:val="1"/>
          <w:color w:val="auto"/>
        </w:rPr>
        <w:t>Key Changes for 2025</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Annual Incentives</w:t>
      </w:r>
    </w:p>
    <w:p>
      <w:pPr>
        <w:spacing w:after="0" w:line="102" w:lineRule="exact"/>
        <w:rPr>
          <w:sz w:val="20"/>
          <w:szCs w:val="20"/>
          <w:color w:val="auto"/>
        </w:rPr>
      </w:pPr>
    </w:p>
    <w:p>
      <w:pPr>
        <w:ind w:left="660" w:right="1120"/>
        <w:spacing w:after="0" w:line="266" w:lineRule="auto"/>
        <w:rPr>
          <w:sz w:val="20"/>
          <w:szCs w:val="20"/>
          <w:color w:val="auto"/>
        </w:rPr>
      </w:pPr>
      <w:r>
        <w:rPr>
          <w:rFonts w:ascii="Arial" w:cs="Arial" w:eastAsia="Arial" w:hAnsi="Arial"/>
          <w:sz w:val="16"/>
          <w:szCs w:val="16"/>
          <w:color w:val="auto"/>
        </w:rPr>
        <w:t>To enhance accountability and emphasize objective performance outcomes, the MD&amp;C Committee increased the weighting on quantitative metrics from 80% to 90%, while maintaining a dedicated strategic component to recognize progress on initiatives that materially improve the Company’s long-term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48895</wp:posOffset>
            </wp:positionV>
            <wp:extent cx="6172200" cy="4457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72200" cy="445770"/>
                    </a:xfrm>
                    <a:prstGeom prst="rect">
                      <a:avLst/>
                    </a:prstGeom>
                    <a:noFill/>
                  </pic:spPr>
                </pic:pic>
              </a:graphicData>
            </a:graphic>
          </wp:anchor>
        </w:drawing>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6800" w:type="dxa"/>
            <w:vAlign w:val="bottom"/>
            <w:shd w:val="clear" w:color="auto" w:fill="D9AB26"/>
          </w:tcPr>
          <w:p>
            <w:pPr>
              <w:jc w:val="center"/>
              <w:spacing w:after="0"/>
              <w:rPr>
                <w:sz w:val="20"/>
                <w:szCs w:val="20"/>
                <w:color w:val="auto"/>
              </w:rPr>
            </w:pPr>
            <w:r>
              <w:rPr>
                <w:rFonts w:ascii="Arial" w:cs="Arial" w:eastAsia="Arial" w:hAnsi="Arial"/>
                <w:sz w:val="16"/>
                <w:szCs w:val="16"/>
                <w:b w:val="1"/>
                <w:bCs w:val="1"/>
                <w:color w:val="FFFFFF"/>
              </w:rPr>
              <w:t>Financial / Operational</w:t>
            </w:r>
          </w:p>
        </w:tc>
        <w:tc>
          <w:tcPr>
            <w:tcW w:w="1960" w:type="dxa"/>
            <w:vAlign w:val="bottom"/>
            <w:shd w:val="clear" w:color="auto" w:fill="00506F"/>
          </w:tcPr>
          <w:p>
            <w:pPr>
              <w:jc w:val="center"/>
              <w:spacing w:after="0"/>
              <w:rPr>
                <w:sz w:val="20"/>
                <w:szCs w:val="20"/>
                <w:color w:val="auto"/>
              </w:rPr>
            </w:pPr>
            <w:r>
              <w:rPr>
                <w:rFonts w:ascii="Arial" w:cs="Arial" w:eastAsia="Arial" w:hAnsi="Arial"/>
                <w:sz w:val="16"/>
                <w:szCs w:val="16"/>
                <w:b w:val="1"/>
                <w:bCs w:val="1"/>
                <w:color w:val="FFFFFF"/>
                <w:w w:val="98"/>
              </w:rPr>
              <w:t>EH&amp;S</w:t>
            </w:r>
          </w:p>
        </w:tc>
        <w:tc>
          <w:tcPr>
            <w:tcW w:w="960" w:type="dxa"/>
            <w:vAlign w:val="bottom"/>
            <w:shd w:val="clear" w:color="auto" w:fill="07877B"/>
          </w:tcPr>
          <w:p>
            <w:pPr>
              <w:jc w:val="center"/>
              <w:spacing w:after="0"/>
              <w:rPr>
                <w:sz w:val="20"/>
                <w:szCs w:val="20"/>
                <w:color w:val="auto"/>
              </w:rPr>
            </w:pPr>
            <w:r>
              <w:rPr>
                <w:rFonts w:ascii="Arial" w:cs="Arial" w:eastAsia="Arial" w:hAnsi="Arial"/>
                <w:sz w:val="16"/>
                <w:szCs w:val="16"/>
                <w:b w:val="1"/>
                <w:bCs w:val="1"/>
                <w:color w:val="FFFFFF"/>
              </w:rPr>
              <w:t>Strategic</w:t>
            </w:r>
          </w:p>
        </w:tc>
      </w:tr>
      <w:tr>
        <w:trPr>
          <w:trHeight w:val="203"/>
        </w:trPr>
        <w:tc>
          <w:tcPr>
            <w:tcW w:w="6800" w:type="dxa"/>
            <w:vAlign w:val="bottom"/>
            <w:shd w:val="clear" w:color="auto" w:fill="D9AB26"/>
          </w:tcPr>
          <w:p>
            <w:pPr>
              <w:jc w:val="right"/>
              <w:ind w:right="3139"/>
              <w:spacing w:after="0"/>
              <w:rPr>
                <w:sz w:val="20"/>
                <w:szCs w:val="20"/>
                <w:color w:val="auto"/>
              </w:rPr>
            </w:pPr>
            <w:r>
              <w:rPr>
                <w:rFonts w:ascii="Arial" w:cs="Arial" w:eastAsia="Arial" w:hAnsi="Arial"/>
                <w:sz w:val="16"/>
                <w:szCs w:val="16"/>
                <w:color w:val="FFFFFF"/>
              </w:rPr>
              <w:t>70%</w:t>
            </w:r>
          </w:p>
        </w:tc>
        <w:tc>
          <w:tcPr>
            <w:tcW w:w="1960" w:type="dxa"/>
            <w:vAlign w:val="bottom"/>
            <w:shd w:val="clear" w:color="auto" w:fill="00506F"/>
          </w:tcPr>
          <w:p>
            <w:pPr>
              <w:jc w:val="right"/>
              <w:ind w:right="759"/>
              <w:spacing w:after="0"/>
              <w:rPr>
                <w:sz w:val="20"/>
                <w:szCs w:val="20"/>
                <w:color w:val="auto"/>
              </w:rPr>
            </w:pPr>
            <w:r>
              <w:rPr>
                <w:rFonts w:ascii="Arial" w:cs="Arial" w:eastAsia="Arial" w:hAnsi="Arial"/>
                <w:sz w:val="16"/>
                <w:szCs w:val="16"/>
                <w:color w:val="FFFFFF"/>
              </w:rPr>
              <w:t>20%</w:t>
            </w:r>
          </w:p>
        </w:tc>
        <w:tc>
          <w:tcPr>
            <w:tcW w:w="960" w:type="dxa"/>
            <w:vAlign w:val="bottom"/>
            <w:shd w:val="clear" w:color="auto" w:fill="07877B"/>
          </w:tcPr>
          <w:p>
            <w:pPr>
              <w:jc w:val="right"/>
              <w:ind w:right="239"/>
              <w:spacing w:after="0"/>
              <w:rPr>
                <w:sz w:val="20"/>
                <w:szCs w:val="20"/>
                <w:color w:val="auto"/>
              </w:rPr>
            </w:pPr>
            <w:r>
              <w:rPr>
                <w:rFonts w:ascii="Arial" w:cs="Arial" w:eastAsia="Arial" w:hAnsi="Arial"/>
                <w:sz w:val="16"/>
                <w:szCs w:val="16"/>
                <w:color w:val="FFFFFF"/>
              </w:rPr>
              <w:t>10%</w:t>
            </w:r>
          </w:p>
        </w:tc>
      </w:tr>
      <w:tr>
        <w:trPr>
          <w:trHeight w:val="263"/>
        </w:trPr>
        <w:tc>
          <w:tcPr>
            <w:tcW w:w="6800" w:type="dxa"/>
            <w:vAlign w:val="bottom"/>
            <w:shd w:val="clear" w:color="auto" w:fill="F3F3F4"/>
          </w:tcPr>
          <w:p>
            <w:pPr>
              <w:ind w:left="3420"/>
              <w:spacing w:after="0"/>
              <w:rPr>
                <w:sz w:val="20"/>
                <w:szCs w:val="20"/>
                <w:color w:val="auto"/>
              </w:rPr>
            </w:pPr>
            <w:r>
              <w:rPr>
                <w:rFonts w:ascii="Arial" w:cs="Arial" w:eastAsia="Arial" w:hAnsi="Arial"/>
                <w:sz w:val="16"/>
                <w:szCs w:val="16"/>
                <w:b w:val="1"/>
                <w:bCs w:val="1"/>
                <w:i w:val="1"/>
                <w:iCs w:val="1"/>
                <w:color w:val="7F7F7F"/>
              </w:rPr>
              <w:t>90% Quantitative Metrics</w:t>
            </w:r>
          </w:p>
        </w:tc>
        <w:tc>
          <w:tcPr>
            <w:tcW w:w="1960" w:type="dxa"/>
            <w:vAlign w:val="bottom"/>
            <w:shd w:val="clear" w:color="auto" w:fill="F3F3F4"/>
          </w:tcPr>
          <w:p>
            <w:pPr>
              <w:spacing w:after="0"/>
              <w:rPr>
                <w:sz w:val="22"/>
                <w:szCs w:val="22"/>
                <w:color w:val="auto"/>
              </w:rPr>
            </w:pPr>
          </w:p>
        </w:tc>
        <w:tc>
          <w:tcPr>
            <w:tcW w:w="960" w:type="dxa"/>
            <w:vAlign w:val="bottom"/>
          </w:tcPr>
          <w:p>
            <w:pPr>
              <w:spacing w:after="0"/>
              <w:rPr>
                <w:sz w:val="22"/>
                <w:szCs w:val="22"/>
                <w:color w:val="auto"/>
              </w:rPr>
            </w:pPr>
          </w:p>
        </w:tc>
      </w:tr>
      <w:tr>
        <w:trPr>
          <w:trHeight w:val="48"/>
        </w:trPr>
        <w:tc>
          <w:tcPr>
            <w:tcW w:w="6800" w:type="dxa"/>
            <w:vAlign w:val="bottom"/>
            <w:shd w:val="clear" w:color="auto" w:fill="F3F3F4"/>
          </w:tcPr>
          <w:p>
            <w:pPr>
              <w:spacing w:after="0"/>
              <w:rPr>
                <w:sz w:val="4"/>
                <w:szCs w:val="4"/>
                <w:color w:val="auto"/>
              </w:rPr>
            </w:pPr>
          </w:p>
        </w:tc>
        <w:tc>
          <w:tcPr>
            <w:tcW w:w="1960" w:type="dxa"/>
            <w:vAlign w:val="bottom"/>
            <w:shd w:val="clear" w:color="auto" w:fill="F3F3F4"/>
          </w:tcPr>
          <w:p>
            <w:pPr>
              <w:spacing w:after="0"/>
              <w:rPr>
                <w:sz w:val="4"/>
                <w:szCs w:val="4"/>
                <w:color w:val="auto"/>
              </w:rPr>
            </w:pPr>
          </w:p>
        </w:tc>
        <w:tc>
          <w:tcPr>
            <w:tcW w:w="960" w:type="dxa"/>
            <w:vAlign w:val="bottom"/>
          </w:tcPr>
          <w:p>
            <w:pPr>
              <w:spacing w:after="0"/>
              <w:rPr>
                <w:sz w:val="4"/>
                <w:szCs w:val="4"/>
                <w:color w:val="auto"/>
              </w:rPr>
            </w:pPr>
          </w:p>
        </w:tc>
      </w:tr>
    </w:tbl>
    <w:p>
      <w:pPr>
        <w:spacing w:after="0" w:line="94" w:lineRule="exact"/>
        <w:rPr>
          <w:sz w:val="20"/>
          <w:szCs w:val="20"/>
          <w:color w:val="auto"/>
        </w:rPr>
      </w:pPr>
    </w:p>
    <w:p>
      <w:pPr>
        <w:ind w:left="660" w:right="780"/>
        <w:spacing w:after="0" w:line="253" w:lineRule="auto"/>
        <w:rPr>
          <w:sz w:val="20"/>
          <w:szCs w:val="20"/>
          <w:color w:val="auto"/>
        </w:rPr>
      </w:pPr>
      <w:r>
        <w:rPr>
          <w:rFonts w:ascii="Arial" w:cs="Arial" w:eastAsia="Arial" w:hAnsi="Arial"/>
          <w:sz w:val="16"/>
          <w:szCs w:val="16"/>
          <w:color w:val="auto"/>
        </w:rPr>
        <w:t>For 2025, the MD&amp;C Committee also approved refinements to the corporate performance scorecard for annual incentives to improve transparency, further strengthen accountability, and align more directly with key value drivers. From 2021 through 2024, the scorecard used a more complex measure of costs, which captured broad spending efficiency but limited visibility into specific cost drivers. Following a comprehensive benchmarking review, the MD&amp;C Committee saw an opportunity to enhance focus by expanding and disaggregating costs into distinct Development Capital Expenditures, Lifting + Workover Costs, and Gross Department Costs metrics. This change provides clearer accountability for each cost category and allows for more targeted management of spending across the business.</w:t>
      </w:r>
    </w:p>
    <w:p>
      <w:pPr>
        <w:spacing w:after="0" w:line="73" w:lineRule="exact"/>
        <w:rPr>
          <w:sz w:val="20"/>
          <w:szCs w:val="20"/>
          <w:color w:val="auto"/>
        </w:rPr>
      </w:pPr>
    </w:p>
    <w:p>
      <w:pPr>
        <w:ind w:left="660" w:right="680"/>
        <w:spacing w:after="0" w:line="253" w:lineRule="auto"/>
        <w:rPr>
          <w:sz w:val="20"/>
          <w:szCs w:val="20"/>
          <w:color w:val="auto"/>
        </w:rPr>
      </w:pPr>
      <w:r>
        <w:rPr>
          <w:rFonts w:ascii="Arial" w:cs="Arial" w:eastAsia="Arial" w:hAnsi="Arial"/>
          <w:sz w:val="16"/>
          <w:szCs w:val="16"/>
          <w:color w:val="auto"/>
        </w:rPr>
        <w:t>Importantly, breaking costs into separate metrics gives employees clearer line of sight to how they can directly impact performance. Field employees can focus on managing Lifting + Workover Costs, support functions on Gross Department Costs, and asset teams on capital efficiency, each with a specific and measurable role in driving results. This greater clarity supports stronger engagement, day-to-day ownership, and a shared commitment to improving Free Cash Flow per share. The 2025 scorecard also reintroduces Net Production (MBOE/D) as a standalone measure to ensure balance between cost discipline and operational execution. By including safety metrics alongside production and cost metrics, the framework reinforces that efficiency should not come at the expense of maintaining reliable, safe, and sustainable operations.</w:t>
      </w:r>
    </w:p>
    <w:p>
      <w:pPr>
        <w:spacing w:after="0" w:line="73" w:lineRule="exact"/>
        <w:rPr>
          <w:sz w:val="20"/>
          <w:szCs w:val="20"/>
          <w:color w:val="auto"/>
        </w:rPr>
      </w:pPr>
    </w:p>
    <w:p>
      <w:pPr>
        <w:ind w:left="660" w:right="700"/>
        <w:spacing w:after="0" w:line="253" w:lineRule="auto"/>
        <w:rPr>
          <w:sz w:val="20"/>
          <w:szCs w:val="20"/>
          <w:color w:val="auto"/>
        </w:rPr>
      </w:pPr>
      <w:r>
        <w:rPr>
          <w:rFonts w:ascii="Arial" w:cs="Arial" w:eastAsia="Arial" w:hAnsi="Arial"/>
          <w:sz w:val="16"/>
          <w:szCs w:val="16"/>
          <w:color w:val="auto"/>
        </w:rPr>
        <w:t>The MD&amp;C Committee also simplified the scorecard by removing Profitability Index (P/I) as a standalone incentive metric. P/I remains a core tool used by management and the Board to evaluate and prioritize capital investments and is regularly discussed in Board meetings as part of capital allocation oversight. Rather than relying on P/I as a single, composite incentive measure, the refined scorecard reflects the same underlying economic principles through a set of discrete financial and operational metrics that provide clearer accountability and line of sight for participants. This approach preserves the capital efficiency discipline embedded in P/I while better aligning employee incentives with the Company’s balanced, returns-driven capital strategy and the Board’s capital allocation framework.</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17</w:t>
            </w:r>
          </w:p>
        </w:tc>
      </w:tr>
      <w:tr>
        <w:trPr>
          <w:trHeight w:val="878"/>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18" w:right="439" w:bottom="1440" w:gutter="0" w:footer="0" w:header="0"/>
          <w:type w:val="continuous"/>
        </w:sectPr>
      </w:pPr>
    </w:p>
    <w:bookmarkStart w:id="22" w:name="page23"/>
    <w:bookmarkEnd w:id="22"/>
    <w:p>
      <w:pPr>
        <w:ind w:right="20"/>
        <w:spacing w:after="0" w:line="266" w:lineRule="auto"/>
        <w:rPr>
          <w:sz w:val="20"/>
          <w:szCs w:val="20"/>
          <w:color w:val="auto"/>
        </w:rPr>
      </w:pPr>
      <w:r>
        <w:rPr>
          <w:rFonts w:ascii="Arial" w:cs="Arial" w:eastAsia="Arial" w:hAnsi="Arial"/>
          <w:sz w:val="16"/>
          <w:szCs w:val="16"/>
          <w:color w:val="auto"/>
        </w:rPr>
        <w:t xml:space="preserve">For a closer look at the MD&amp;C Committee’s rationale for the new scorecard, please see </w:t>
      </w:r>
      <w:r>
        <w:rPr>
          <w:rFonts w:ascii="Arial" w:cs="Arial" w:eastAsia="Arial" w:hAnsi="Arial"/>
          <w:sz w:val="16"/>
          <w:szCs w:val="16"/>
          <w:i w:val="1"/>
          <w:iCs w:val="1"/>
          <w:color w:val="auto"/>
        </w:rPr>
        <w:t>Insights from Juliet S. Ellis, MD&amp;C Committee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Chair </w:t>
      </w:r>
      <w:r>
        <w:rPr>
          <w:rFonts w:ascii="Arial" w:cs="Arial" w:eastAsia="Arial" w:hAnsi="Arial"/>
          <w:sz w:val="16"/>
          <w:szCs w:val="16"/>
          <w:color w:val="auto"/>
        </w:rPr>
        <w:t>below for more information. In addition, please see the</w:t>
      </w:r>
      <w:r>
        <w:rPr>
          <w:rFonts w:ascii="Arial" w:cs="Arial" w:eastAsia="Arial" w:hAnsi="Arial"/>
          <w:sz w:val="16"/>
          <w:szCs w:val="16"/>
          <w:i w:val="1"/>
          <w:iCs w:val="1"/>
          <w:color w:val="auto"/>
        </w:rPr>
        <w:t xml:space="preserve"> Annual Incentive Compensation Plan </w:t>
      </w:r>
      <w:r>
        <w:rPr>
          <w:rFonts w:ascii="Arial" w:cs="Arial" w:eastAsia="Arial" w:hAnsi="Arial"/>
          <w:sz w:val="16"/>
          <w:szCs w:val="16"/>
          <w:color w:val="auto"/>
        </w:rPr>
        <w:t>section below for a full description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how annual incentives work and a detailed explanation of the 2025 corporate performance scorecard and results.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Long-Term Incentives</w:t>
      </w:r>
    </w:p>
    <w:p>
      <w:pPr>
        <w:spacing w:after="0" w:line="10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To better align executive decision-making with shareholder interests and strengthen the link between pay and stock performance, the MD&amp;C Committee refined the 2025 equity mix by adding stock options, increasing the mix of performance-based long-term incentives from 60% to 80%. Unlike performance awards, which focus on specific financial goals, stock options create value only with stock price growth, increasing at-risk compensation and promoting long-term value creation. This change also reduced the proportion of time-based Restricted Stock Units (RSUs), placing greater emphasis on performance-driven rewards,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617220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72200" cy="21463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Long-Term Incentive Award Mix</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auto"/>
              </w:rPr>
              <w:t>2024</w:t>
            </w:r>
          </w:p>
        </w:tc>
        <w:tc>
          <w:tcPr>
            <w:tcW w:w="5560" w:type="dxa"/>
            <w:vAlign w:val="bottom"/>
            <w:shd w:val="clear" w:color="auto" w:fill="D9AB26"/>
          </w:tcPr>
          <w:p>
            <w:pPr>
              <w:jc w:val="center"/>
              <w:spacing w:after="0"/>
              <w:rPr>
                <w:sz w:val="20"/>
                <w:szCs w:val="20"/>
                <w:color w:val="auto"/>
              </w:rPr>
            </w:pPr>
            <w:r>
              <w:rPr>
                <w:rFonts w:ascii="Arial" w:cs="Arial" w:eastAsia="Arial" w:hAnsi="Arial"/>
                <w:sz w:val="16"/>
                <w:szCs w:val="16"/>
                <w:b w:val="1"/>
                <w:bCs w:val="1"/>
                <w:color w:val="FFFFFF"/>
              </w:rPr>
              <w:t>Performance Awards</w:t>
            </w:r>
          </w:p>
        </w:tc>
        <w:tc>
          <w:tcPr>
            <w:tcW w:w="1520" w:type="dxa"/>
            <w:vAlign w:val="bottom"/>
            <w:shd w:val="clear" w:color="auto" w:fill="00506F"/>
          </w:tcPr>
          <w:p>
            <w:pPr>
              <w:spacing w:after="0"/>
              <w:rPr>
                <w:sz w:val="16"/>
                <w:szCs w:val="16"/>
                <w:color w:val="auto"/>
              </w:rPr>
            </w:pPr>
          </w:p>
        </w:tc>
        <w:tc>
          <w:tcPr>
            <w:tcW w:w="2140" w:type="dxa"/>
            <w:vAlign w:val="bottom"/>
            <w:gridSpan w:val="2"/>
            <w:shd w:val="clear" w:color="auto" w:fill="00506F"/>
          </w:tcPr>
          <w:p>
            <w:pPr>
              <w:jc w:val="center"/>
              <w:ind w:right="1459"/>
              <w:spacing w:after="0"/>
              <w:rPr>
                <w:sz w:val="20"/>
                <w:szCs w:val="20"/>
                <w:color w:val="auto"/>
              </w:rPr>
            </w:pPr>
            <w:r>
              <w:rPr>
                <w:rFonts w:ascii="Arial" w:cs="Arial" w:eastAsia="Arial" w:hAnsi="Arial"/>
                <w:sz w:val="16"/>
                <w:szCs w:val="16"/>
                <w:b w:val="1"/>
                <w:bCs w:val="1"/>
                <w:color w:val="FFFFFF"/>
              </w:rPr>
              <w:t>RSUs</w:t>
            </w:r>
          </w:p>
        </w:tc>
        <w:tc>
          <w:tcPr>
            <w:tcW w:w="0" w:type="dxa"/>
            <w:vAlign w:val="bottom"/>
          </w:tcPr>
          <w:p>
            <w:pPr>
              <w:spacing w:after="0"/>
              <w:rPr>
                <w:sz w:val="1"/>
                <w:szCs w:val="1"/>
                <w:color w:val="auto"/>
              </w:rPr>
            </w:pPr>
          </w:p>
        </w:tc>
      </w:tr>
      <w:tr>
        <w:trPr>
          <w:trHeight w:val="128"/>
        </w:trPr>
        <w:tc>
          <w:tcPr>
            <w:tcW w:w="440" w:type="dxa"/>
            <w:vAlign w:val="bottom"/>
            <w:vMerge w:val="continue"/>
          </w:tcPr>
          <w:p>
            <w:pPr>
              <w:spacing w:after="0"/>
              <w:rPr>
                <w:sz w:val="11"/>
                <w:szCs w:val="11"/>
                <w:color w:val="auto"/>
              </w:rPr>
            </w:pPr>
          </w:p>
        </w:tc>
        <w:tc>
          <w:tcPr>
            <w:tcW w:w="5560" w:type="dxa"/>
            <w:vAlign w:val="bottom"/>
            <w:vMerge w:val="restart"/>
            <w:shd w:val="clear" w:color="auto" w:fill="D9AB26"/>
          </w:tcPr>
          <w:p>
            <w:pPr>
              <w:jc w:val="center"/>
              <w:spacing w:after="0"/>
              <w:rPr>
                <w:sz w:val="20"/>
                <w:szCs w:val="20"/>
                <w:color w:val="auto"/>
              </w:rPr>
            </w:pPr>
            <w:r>
              <w:rPr>
                <w:rFonts w:ascii="Arial" w:cs="Arial" w:eastAsia="Arial" w:hAnsi="Arial"/>
                <w:sz w:val="16"/>
                <w:szCs w:val="16"/>
                <w:color w:val="FFFFFF"/>
              </w:rPr>
              <w:t>60%</w:t>
            </w:r>
          </w:p>
        </w:tc>
        <w:tc>
          <w:tcPr>
            <w:tcW w:w="1520" w:type="dxa"/>
            <w:vAlign w:val="bottom"/>
            <w:shd w:val="clear" w:color="auto" w:fill="00506F"/>
          </w:tcPr>
          <w:p>
            <w:pPr>
              <w:spacing w:after="0"/>
              <w:rPr>
                <w:sz w:val="11"/>
                <w:szCs w:val="11"/>
                <w:color w:val="auto"/>
              </w:rPr>
            </w:pPr>
          </w:p>
        </w:tc>
        <w:tc>
          <w:tcPr>
            <w:tcW w:w="2140" w:type="dxa"/>
            <w:vAlign w:val="bottom"/>
            <w:gridSpan w:val="2"/>
            <w:vMerge w:val="restart"/>
            <w:shd w:val="clear" w:color="auto" w:fill="00506F"/>
          </w:tcPr>
          <w:p>
            <w:pPr>
              <w:jc w:val="right"/>
              <w:ind w:right="1599"/>
              <w:spacing w:after="0"/>
              <w:rPr>
                <w:sz w:val="20"/>
                <w:szCs w:val="20"/>
                <w:color w:val="auto"/>
              </w:rPr>
            </w:pPr>
            <w:r>
              <w:rPr>
                <w:rFonts w:ascii="Arial" w:cs="Arial" w:eastAsia="Arial" w:hAnsi="Arial"/>
                <w:sz w:val="16"/>
                <w:szCs w:val="16"/>
                <w:color w:val="FFFFFF"/>
              </w:rPr>
              <w:t>40%</w:t>
            </w: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5560" w:type="dxa"/>
            <w:vAlign w:val="bottom"/>
            <w:vMerge w:val="continue"/>
            <w:shd w:val="clear" w:color="auto" w:fill="D9AB26"/>
          </w:tcPr>
          <w:p>
            <w:pPr>
              <w:spacing w:after="0"/>
              <w:rPr>
                <w:sz w:val="6"/>
                <w:szCs w:val="6"/>
                <w:color w:val="auto"/>
              </w:rPr>
            </w:pPr>
          </w:p>
        </w:tc>
        <w:tc>
          <w:tcPr>
            <w:tcW w:w="1520" w:type="dxa"/>
            <w:vAlign w:val="bottom"/>
            <w:shd w:val="clear" w:color="auto" w:fill="00506F"/>
          </w:tcPr>
          <w:p>
            <w:pPr>
              <w:spacing w:after="0"/>
              <w:rPr>
                <w:sz w:val="6"/>
                <w:szCs w:val="6"/>
                <w:color w:val="auto"/>
              </w:rPr>
            </w:pPr>
          </w:p>
        </w:tc>
        <w:tc>
          <w:tcPr>
            <w:tcW w:w="2140" w:type="dxa"/>
            <w:vAlign w:val="bottom"/>
            <w:gridSpan w:val="2"/>
            <w:vMerge w:val="continue"/>
            <w:shd w:val="clear" w:color="auto" w:fill="00506F"/>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55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06F"/>
              </w:rPr>
              <w:t>2025</w:t>
            </w:r>
          </w:p>
        </w:tc>
        <w:tc>
          <w:tcPr>
            <w:tcW w:w="5560" w:type="dxa"/>
            <w:vAlign w:val="bottom"/>
            <w:shd w:val="clear" w:color="auto" w:fill="D9AB26"/>
          </w:tcPr>
          <w:p>
            <w:pPr>
              <w:jc w:val="center"/>
              <w:spacing w:after="0" w:line="175" w:lineRule="exact"/>
              <w:rPr>
                <w:sz w:val="20"/>
                <w:szCs w:val="20"/>
                <w:color w:val="auto"/>
              </w:rPr>
            </w:pPr>
            <w:r>
              <w:rPr>
                <w:rFonts w:ascii="Arial" w:cs="Arial" w:eastAsia="Arial" w:hAnsi="Arial"/>
                <w:sz w:val="16"/>
                <w:szCs w:val="16"/>
                <w:b w:val="1"/>
                <w:bCs w:val="1"/>
                <w:color w:val="FFFFFF"/>
              </w:rPr>
              <w:t>Performance Awards</w:t>
            </w:r>
          </w:p>
        </w:tc>
        <w:tc>
          <w:tcPr>
            <w:tcW w:w="1520" w:type="dxa"/>
            <w:vAlign w:val="bottom"/>
            <w:shd w:val="clear" w:color="auto" w:fill="07877B"/>
          </w:tcPr>
          <w:p>
            <w:pPr>
              <w:jc w:val="center"/>
              <w:ind w:left="179"/>
              <w:spacing w:after="0" w:line="175" w:lineRule="exact"/>
              <w:rPr>
                <w:sz w:val="20"/>
                <w:szCs w:val="20"/>
                <w:color w:val="auto"/>
              </w:rPr>
            </w:pPr>
            <w:r>
              <w:rPr>
                <w:rFonts w:ascii="Arial" w:cs="Arial" w:eastAsia="Arial" w:hAnsi="Arial"/>
                <w:sz w:val="16"/>
                <w:szCs w:val="16"/>
                <w:b w:val="1"/>
                <w:bCs w:val="1"/>
                <w:color w:val="FFFFFF"/>
              </w:rPr>
              <w:t>Stock Options</w:t>
            </w:r>
          </w:p>
        </w:tc>
        <w:tc>
          <w:tcPr>
            <w:tcW w:w="300" w:type="dxa"/>
            <w:vAlign w:val="bottom"/>
            <w:shd w:val="clear" w:color="auto" w:fill="07877B"/>
          </w:tcPr>
          <w:p>
            <w:pPr>
              <w:spacing w:after="0"/>
              <w:rPr>
                <w:sz w:val="15"/>
                <w:szCs w:val="15"/>
                <w:color w:val="auto"/>
              </w:rPr>
            </w:pPr>
          </w:p>
        </w:tc>
        <w:tc>
          <w:tcPr>
            <w:tcW w:w="1840" w:type="dxa"/>
            <w:vAlign w:val="bottom"/>
            <w:shd w:val="clear" w:color="auto" w:fill="00506F"/>
          </w:tcPr>
          <w:p>
            <w:pPr>
              <w:jc w:val="center"/>
              <w:spacing w:after="0" w:line="175" w:lineRule="exact"/>
              <w:rPr>
                <w:sz w:val="20"/>
                <w:szCs w:val="20"/>
                <w:color w:val="auto"/>
              </w:rPr>
            </w:pPr>
            <w:r>
              <w:rPr>
                <w:rFonts w:ascii="Arial" w:cs="Arial" w:eastAsia="Arial" w:hAnsi="Arial"/>
                <w:sz w:val="16"/>
                <w:szCs w:val="16"/>
                <w:b w:val="1"/>
                <w:bCs w:val="1"/>
                <w:color w:val="FFFFFF"/>
              </w:rPr>
              <w:t>RSUs</w:t>
            </w:r>
          </w:p>
        </w:tc>
        <w:tc>
          <w:tcPr>
            <w:tcW w:w="0" w:type="dxa"/>
            <w:vAlign w:val="bottom"/>
          </w:tcPr>
          <w:p>
            <w:pPr>
              <w:spacing w:after="0"/>
              <w:rPr>
                <w:sz w:val="1"/>
                <w:szCs w:val="1"/>
                <w:color w:val="auto"/>
              </w:rPr>
            </w:pPr>
          </w:p>
        </w:tc>
      </w:tr>
      <w:tr>
        <w:trPr>
          <w:trHeight w:val="128"/>
        </w:trPr>
        <w:tc>
          <w:tcPr>
            <w:tcW w:w="440" w:type="dxa"/>
            <w:vAlign w:val="bottom"/>
            <w:vMerge w:val="continue"/>
          </w:tcPr>
          <w:p>
            <w:pPr>
              <w:spacing w:after="0"/>
              <w:rPr>
                <w:sz w:val="11"/>
                <w:szCs w:val="11"/>
                <w:color w:val="auto"/>
              </w:rPr>
            </w:pPr>
          </w:p>
        </w:tc>
        <w:tc>
          <w:tcPr>
            <w:tcW w:w="5560" w:type="dxa"/>
            <w:vAlign w:val="bottom"/>
            <w:vMerge w:val="restart"/>
            <w:shd w:val="clear" w:color="auto" w:fill="D9AB26"/>
          </w:tcPr>
          <w:p>
            <w:pPr>
              <w:jc w:val="center"/>
              <w:spacing w:after="0"/>
              <w:rPr>
                <w:sz w:val="20"/>
                <w:szCs w:val="20"/>
                <w:color w:val="auto"/>
              </w:rPr>
            </w:pPr>
            <w:r>
              <w:rPr>
                <w:rFonts w:ascii="Arial" w:cs="Arial" w:eastAsia="Arial" w:hAnsi="Arial"/>
                <w:sz w:val="16"/>
                <w:szCs w:val="16"/>
                <w:color w:val="FFFFFF"/>
              </w:rPr>
              <w:t>60%</w:t>
            </w:r>
          </w:p>
        </w:tc>
        <w:tc>
          <w:tcPr>
            <w:tcW w:w="1520" w:type="dxa"/>
            <w:vAlign w:val="bottom"/>
            <w:vMerge w:val="restart"/>
            <w:shd w:val="clear" w:color="auto" w:fill="07877B"/>
          </w:tcPr>
          <w:p>
            <w:pPr>
              <w:jc w:val="right"/>
              <w:ind w:right="379"/>
              <w:spacing w:after="0"/>
              <w:rPr>
                <w:sz w:val="20"/>
                <w:szCs w:val="20"/>
                <w:color w:val="auto"/>
              </w:rPr>
            </w:pPr>
            <w:r>
              <w:rPr>
                <w:rFonts w:ascii="Arial" w:cs="Arial" w:eastAsia="Arial" w:hAnsi="Arial"/>
                <w:sz w:val="16"/>
                <w:szCs w:val="16"/>
                <w:color w:val="FFFFFF"/>
              </w:rPr>
              <w:t>20%</w:t>
            </w:r>
          </w:p>
        </w:tc>
        <w:tc>
          <w:tcPr>
            <w:tcW w:w="300" w:type="dxa"/>
            <w:vAlign w:val="bottom"/>
            <w:shd w:val="clear" w:color="auto" w:fill="07877B"/>
          </w:tcPr>
          <w:p>
            <w:pPr>
              <w:spacing w:after="0"/>
              <w:rPr>
                <w:sz w:val="11"/>
                <w:szCs w:val="11"/>
                <w:color w:val="auto"/>
              </w:rPr>
            </w:pPr>
          </w:p>
        </w:tc>
        <w:tc>
          <w:tcPr>
            <w:tcW w:w="1840" w:type="dxa"/>
            <w:vAlign w:val="bottom"/>
            <w:vMerge w:val="restart"/>
            <w:shd w:val="clear" w:color="auto" w:fill="00506F"/>
          </w:tcPr>
          <w:p>
            <w:pPr>
              <w:jc w:val="right"/>
              <w:ind w:right="679"/>
              <w:spacing w:after="0"/>
              <w:rPr>
                <w:sz w:val="20"/>
                <w:szCs w:val="20"/>
                <w:color w:val="auto"/>
              </w:rPr>
            </w:pPr>
            <w:r>
              <w:rPr>
                <w:rFonts w:ascii="Arial" w:cs="Arial" w:eastAsia="Arial" w:hAnsi="Arial"/>
                <w:sz w:val="16"/>
                <w:szCs w:val="16"/>
                <w:color w:val="FFFFFF"/>
              </w:rPr>
              <w:t>20%</w:t>
            </w: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5560" w:type="dxa"/>
            <w:vAlign w:val="bottom"/>
            <w:vMerge w:val="continue"/>
            <w:shd w:val="clear" w:color="auto" w:fill="D9AB26"/>
          </w:tcPr>
          <w:p>
            <w:pPr>
              <w:spacing w:after="0"/>
              <w:rPr>
                <w:sz w:val="6"/>
                <w:szCs w:val="6"/>
                <w:color w:val="auto"/>
              </w:rPr>
            </w:pPr>
          </w:p>
        </w:tc>
        <w:tc>
          <w:tcPr>
            <w:tcW w:w="1520" w:type="dxa"/>
            <w:vAlign w:val="bottom"/>
            <w:vMerge w:val="continue"/>
            <w:shd w:val="clear" w:color="auto" w:fill="07877B"/>
          </w:tcPr>
          <w:p>
            <w:pPr>
              <w:spacing w:after="0"/>
              <w:rPr>
                <w:sz w:val="6"/>
                <w:szCs w:val="6"/>
                <w:color w:val="auto"/>
              </w:rPr>
            </w:pPr>
          </w:p>
        </w:tc>
        <w:tc>
          <w:tcPr>
            <w:tcW w:w="300" w:type="dxa"/>
            <w:vAlign w:val="bottom"/>
            <w:shd w:val="clear" w:color="auto" w:fill="07877B"/>
          </w:tcPr>
          <w:p>
            <w:pPr>
              <w:spacing w:after="0"/>
              <w:rPr>
                <w:sz w:val="6"/>
                <w:szCs w:val="6"/>
                <w:color w:val="auto"/>
              </w:rPr>
            </w:pPr>
          </w:p>
        </w:tc>
        <w:tc>
          <w:tcPr>
            <w:tcW w:w="1840" w:type="dxa"/>
            <w:vAlign w:val="bottom"/>
            <w:vMerge w:val="continue"/>
            <w:shd w:val="clear" w:color="auto" w:fill="00506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-248285</wp:posOffset>
            </wp:positionV>
            <wp:extent cx="4697730" cy="4457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97730" cy="445770"/>
                    </a:xfrm>
                    <a:prstGeom prst="rect">
                      <a:avLst/>
                    </a:prstGeom>
                    <a:noFill/>
                  </pic:spPr>
                </pic:pic>
              </a:graphicData>
            </a:graphic>
          </wp:anchor>
        </w:drawing>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6"/>
          <w:szCs w:val="16"/>
          <w:b w:val="1"/>
          <w:bCs w:val="1"/>
          <w:i w:val="1"/>
          <w:iCs w:val="1"/>
          <w:color w:val="7F7F7F"/>
        </w:rPr>
        <w:t>80% Performance-Based</w:t>
      </w:r>
    </w:p>
    <w:p>
      <w:pPr>
        <w:spacing w:after="0" w:line="17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addition, performance awards granted in 2025 will place greater emphasis on relative TSR, which will comprise the majority of the award, alongside Cash Return on Invested Capital (CROIC), as shown below. The shift from a sustainability metric to an increased TSR weighting serves two purposes: (1) it sharpens the focus on delivering long-term shareholder value by aligning award payouts with stockholder returns; and (2) reflects investor preferences for formula-based, quantitative market or financial metrics in long-term incentive plans. Importantly, the Company’s commitment to sustainability remains intact, with quantifiable Environmental, Health &amp; Safety (EH&amp;S) goals continuing to shape annual incentive payouts even as the long-term program shifts to a more market-aligned metric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6172200" cy="2139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72200" cy="213995"/>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Performance Award Mix</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5"/>
              </w:rPr>
              <w:t>2024</w:t>
            </w:r>
          </w:p>
        </w:tc>
        <w:tc>
          <w:tcPr>
            <w:tcW w:w="3700" w:type="dxa"/>
            <w:vAlign w:val="bottom"/>
            <w:shd w:val="clear" w:color="auto" w:fill="00506F"/>
          </w:tcPr>
          <w:p>
            <w:pPr>
              <w:jc w:val="center"/>
              <w:spacing w:after="0"/>
              <w:rPr>
                <w:sz w:val="20"/>
                <w:szCs w:val="20"/>
                <w:color w:val="auto"/>
              </w:rPr>
            </w:pPr>
            <w:r>
              <w:rPr>
                <w:rFonts w:ascii="Arial" w:cs="Arial" w:eastAsia="Arial" w:hAnsi="Arial"/>
                <w:sz w:val="16"/>
                <w:szCs w:val="16"/>
                <w:b w:val="1"/>
                <w:bCs w:val="1"/>
                <w:color w:val="FFFFFF"/>
              </w:rPr>
              <w:t>CROIC</w:t>
            </w:r>
          </w:p>
        </w:tc>
        <w:tc>
          <w:tcPr>
            <w:tcW w:w="3960" w:type="dxa"/>
            <w:vAlign w:val="bottom"/>
            <w:shd w:val="clear" w:color="auto" w:fill="D9AB26"/>
          </w:tcPr>
          <w:p>
            <w:pPr>
              <w:jc w:val="center"/>
              <w:spacing w:after="0"/>
              <w:rPr>
                <w:sz w:val="20"/>
                <w:szCs w:val="20"/>
                <w:color w:val="auto"/>
              </w:rPr>
            </w:pPr>
            <w:r>
              <w:rPr>
                <w:rFonts w:ascii="Arial" w:cs="Arial" w:eastAsia="Arial" w:hAnsi="Arial"/>
                <w:sz w:val="16"/>
                <w:szCs w:val="16"/>
                <w:b w:val="1"/>
                <w:bCs w:val="1"/>
                <w:color w:val="FFFFFF"/>
              </w:rPr>
              <w:t>Relative TSR</w:t>
            </w:r>
          </w:p>
        </w:tc>
        <w:tc>
          <w:tcPr>
            <w:tcW w:w="1560" w:type="dxa"/>
            <w:vAlign w:val="bottom"/>
            <w:shd w:val="clear" w:color="auto" w:fill="07877B"/>
          </w:tcPr>
          <w:p>
            <w:pPr>
              <w:jc w:val="center"/>
              <w:spacing w:after="0"/>
              <w:rPr>
                <w:sz w:val="20"/>
                <w:szCs w:val="20"/>
                <w:color w:val="auto"/>
              </w:rPr>
            </w:pPr>
            <w:r>
              <w:rPr>
                <w:rFonts w:ascii="Arial" w:cs="Arial" w:eastAsia="Arial" w:hAnsi="Arial"/>
                <w:sz w:val="16"/>
                <w:szCs w:val="16"/>
                <w:b w:val="1"/>
                <w:bCs w:val="1"/>
                <w:color w:val="FFFFFF"/>
              </w:rPr>
              <w:t>Sustainability</w:t>
            </w:r>
          </w:p>
        </w:tc>
        <w:tc>
          <w:tcPr>
            <w:tcW w:w="0" w:type="dxa"/>
            <w:vAlign w:val="bottom"/>
          </w:tcPr>
          <w:p>
            <w:pPr>
              <w:spacing w:after="0"/>
              <w:rPr>
                <w:sz w:val="1"/>
                <w:szCs w:val="1"/>
                <w:color w:val="auto"/>
              </w:rPr>
            </w:pPr>
          </w:p>
        </w:tc>
      </w:tr>
      <w:tr>
        <w:trPr>
          <w:trHeight w:val="128"/>
        </w:trPr>
        <w:tc>
          <w:tcPr>
            <w:tcW w:w="440" w:type="dxa"/>
            <w:vAlign w:val="bottom"/>
            <w:vMerge w:val="continue"/>
          </w:tcPr>
          <w:p>
            <w:pPr>
              <w:spacing w:after="0"/>
              <w:rPr>
                <w:sz w:val="11"/>
                <w:szCs w:val="11"/>
                <w:color w:val="auto"/>
              </w:rPr>
            </w:pPr>
          </w:p>
        </w:tc>
        <w:tc>
          <w:tcPr>
            <w:tcW w:w="3700" w:type="dxa"/>
            <w:vAlign w:val="bottom"/>
            <w:vMerge w:val="restart"/>
            <w:shd w:val="clear" w:color="auto" w:fill="00506F"/>
          </w:tcPr>
          <w:p>
            <w:pPr>
              <w:jc w:val="center"/>
              <w:spacing w:after="0"/>
              <w:rPr>
                <w:sz w:val="20"/>
                <w:szCs w:val="20"/>
                <w:color w:val="auto"/>
              </w:rPr>
            </w:pPr>
            <w:r>
              <w:rPr>
                <w:rFonts w:ascii="Arial" w:cs="Arial" w:eastAsia="Arial" w:hAnsi="Arial"/>
                <w:sz w:val="16"/>
                <w:szCs w:val="16"/>
                <w:color w:val="FFFFFF"/>
                <w:w w:val="99"/>
              </w:rPr>
              <w:t>40%</w:t>
            </w:r>
          </w:p>
        </w:tc>
        <w:tc>
          <w:tcPr>
            <w:tcW w:w="3960" w:type="dxa"/>
            <w:vAlign w:val="bottom"/>
            <w:vMerge w:val="restart"/>
            <w:shd w:val="clear" w:color="auto" w:fill="D9AB26"/>
          </w:tcPr>
          <w:p>
            <w:pPr>
              <w:jc w:val="right"/>
              <w:ind w:right="1739"/>
              <w:spacing w:after="0"/>
              <w:rPr>
                <w:sz w:val="20"/>
                <w:szCs w:val="20"/>
                <w:color w:val="auto"/>
              </w:rPr>
            </w:pPr>
            <w:r>
              <w:rPr>
                <w:rFonts w:ascii="Arial" w:cs="Arial" w:eastAsia="Arial" w:hAnsi="Arial"/>
                <w:sz w:val="16"/>
                <w:szCs w:val="16"/>
                <w:color w:val="FFFFFF"/>
              </w:rPr>
              <w:t>40%</w:t>
            </w:r>
          </w:p>
        </w:tc>
        <w:tc>
          <w:tcPr>
            <w:tcW w:w="1560" w:type="dxa"/>
            <w:vAlign w:val="bottom"/>
            <w:vMerge w:val="restart"/>
            <w:shd w:val="clear" w:color="auto" w:fill="07877B"/>
          </w:tcPr>
          <w:p>
            <w:pPr>
              <w:jc w:val="right"/>
              <w:ind w:right="539"/>
              <w:spacing w:after="0"/>
              <w:rPr>
                <w:sz w:val="20"/>
                <w:szCs w:val="20"/>
                <w:color w:val="auto"/>
              </w:rPr>
            </w:pPr>
            <w:r>
              <w:rPr>
                <w:rFonts w:ascii="Arial" w:cs="Arial" w:eastAsia="Arial" w:hAnsi="Arial"/>
                <w:sz w:val="16"/>
                <w:szCs w:val="16"/>
                <w:color w:val="FFFFFF"/>
              </w:rPr>
              <w:t>20%</w:t>
            </w: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3700" w:type="dxa"/>
            <w:vAlign w:val="bottom"/>
            <w:vMerge w:val="continue"/>
            <w:shd w:val="clear" w:color="auto" w:fill="00506F"/>
          </w:tcPr>
          <w:p>
            <w:pPr>
              <w:spacing w:after="0"/>
              <w:rPr>
                <w:sz w:val="6"/>
                <w:szCs w:val="6"/>
                <w:color w:val="auto"/>
              </w:rPr>
            </w:pPr>
          </w:p>
        </w:tc>
        <w:tc>
          <w:tcPr>
            <w:tcW w:w="3960" w:type="dxa"/>
            <w:vAlign w:val="bottom"/>
            <w:vMerge w:val="continue"/>
            <w:shd w:val="clear" w:color="auto" w:fill="D9AB26"/>
          </w:tcPr>
          <w:p>
            <w:pPr>
              <w:spacing w:after="0"/>
              <w:rPr>
                <w:sz w:val="6"/>
                <w:szCs w:val="6"/>
                <w:color w:val="auto"/>
              </w:rPr>
            </w:pPr>
          </w:p>
        </w:tc>
        <w:tc>
          <w:tcPr>
            <w:tcW w:w="1560" w:type="dxa"/>
            <w:vAlign w:val="bottom"/>
            <w:vMerge w:val="continue"/>
            <w:shd w:val="clear" w:color="auto" w:fill="07877B"/>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00506F"/>
                <w:w w:val="95"/>
              </w:rPr>
              <w:t>2025</w:t>
            </w:r>
          </w:p>
        </w:tc>
        <w:tc>
          <w:tcPr>
            <w:tcW w:w="3700" w:type="dxa"/>
            <w:vAlign w:val="bottom"/>
            <w:shd w:val="clear" w:color="auto" w:fill="00506F"/>
          </w:tcPr>
          <w:p>
            <w:pPr>
              <w:jc w:val="center"/>
              <w:spacing w:after="0" w:line="175" w:lineRule="exact"/>
              <w:rPr>
                <w:sz w:val="20"/>
                <w:szCs w:val="20"/>
                <w:color w:val="auto"/>
              </w:rPr>
            </w:pPr>
            <w:r>
              <w:rPr>
                <w:rFonts w:ascii="Arial" w:cs="Arial" w:eastAsia="Arial" w:hAnsi="Arial"/>
                <w:sz w:val="16"/>
                <w:szCs w:val="16"/>
                <w:b w:val="1"/>
                <w:bCs w:val="1"/>
                <w:color w:val="FFFFFF"/>
              </w:rPr>
              <w:t>CROIC</w:t>
            </w:r>
          </w:p>
        </w:tc>
        <w:tc>
          <w:tcPr>
            <w:tcW w:w="3960" w:type="dxa"/>
            <w:vAlign w:val="bottom"/>
            <w:shd w:val="clear" w:color="auto" w:fill="D9AB26"/>
          </w:tcPr>
          <w:p>
            <w:pPr>
              <w:jc w:val="center"/>
              <w:ind w:left="1479"/>
              <w:spacing w:after="0" w:line="175" w:lineRule="exact"/>
              <w:rPr>
                <w:sz w:val="20"/>
                <w:szCs w:val="20"/>
                <w:color w:val="auto"/>
              </w:rPr>
            </w:pPr>
            <w:r>
              <w:rPr>
                <w:rFonts w:ascii="Arial" w:cs="Arial" w:eastAsia="Arial" w:hAnsi="Arial"/>
                <w:sz w:val="16"/>
                <w:szCs w:val="16"/>
                <w:b w:val="1"/>
                <w:bCs w:val="1"/>
                <w:color w:val="FFFFFF"/>
              </w:rPr>
              <w:t>Relative TSR</w:t>
            </w:r>
          </w:p>
        </w:tc>
        <w:tc>
          <w:tcPr>
            <w:tcW w:w="1560" w:type="dxa"/>
            <w:vAlign w:val="bottom"/>
            <w:shd w:val="clear" w:color="auto" w:fill="D9AB26"/>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40" w:type="dxa"/>
            <w:vAlign w:val="bottom"/>
            <w:vMerge w:val="continue"/>
          </w:tcPr>
          <w:p>
            <w:pPr>
              <w:spacing w:after="0"/>
              <w:rPr>
                <w:sz w:val="11"/>
                <w:szCs w:val="11"/>
                <w:color w:val="auto"/>
              </w:rPr>
            </w:pPr>
          </w:p>
        </w:tc>
        <w:tc>
          <w:tcPr>
            <w:tcW w:w="3700" w:type="dxa"/>
            <w:vAlign w:val="bottom"/>
            <w:vMerge w:val="restart"/>
            <w:shd w:val="clear" w:color="auto" w:fill="00506F"/>
          </w:tcPr>
          <w:p>
            <w:pPr>
              <w:jc w:val="center"/>
              <w:spacing w:after="0"/>
              <w:rPr>
                <w:sz w:val="20"/>
                <w:szCs w:val="20"/>
                <w:color w:val="auto"/>
              </w:rPr>
            </w:pPr>
            <w:r>
              <w:rPr>
                <w:rFonts w:ascii="Arial" w:cs="Arial" w:eastAsia="Arial" w:hAnsi="Arial"/>
                <w:sz w:val="16"/>
                <w:szCs w:val="16"/>
                <w:color w:val="FFFFFF"/>
                <w:w w:val="99"/>
              </w:rPr>
              <w:t>40%</w:t>
            </w:r>
          </w:p>
        </w:tc>
        <w:tc>
          <w:tcPr>
            <w:tcW w:w="3960" w:type="dxa"/>
            <w:vAlign w:val="bottom"/>
            <w:vMerge w:val="restart"/>
            <w:shd w:val="clear" w:color="auto" w:fill="D9AB26"/>
          </w:tcPr>
          <w:p>
            <w:pPr>
              <w:jc w:val="right"/>
              <w:ind w:right="959"/>
              <w:spacing w:after="0"/>
              <w:rPr>
                <w:sz w:val="20"/>
                <w:szCs w:val="20"/>
                <w:color w:val="auto"/>
              </w:rPr>
            </w:pPr>
            <w:r>
              <w:rPr>
                <w:rFonts w:ascii="Arial" w:cs="Arial" w:eastAsia="Arial" w:hAnsi="Arial"/>
                <w:sz w:val="16"/>
                <w:szCs w:val="16"/>
                <w:color w:val="FFFFFF"/>
              </w:rPr>
              <w:t>60%</w:t>
            </w:r>
          </w:p>
        </w:tc>
        <w:tc>
          <w:tcPr>
            <w:tcW w:w="1560" w:type="dxa"/>
            <w:vAlign w:val="bottom"/>
            <w:shd w:val="clear" w:color="auto" w:fill="D9AB26"/>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40" w:type="dxa"/>
            <w:vAlign w:val="bottom"/>
          </w:tcPr>
          <w:p>
            <w:pPr>
              <w:spacing w:after="0"/>
              <w:rPr>
                <w:sz w:val="6"/>
                <w:szCs w:val="6"/>
                <w:color w:val="auto"/>
              </w:rPr>
            </w:pPr>
          </w:p>
        </w:tc>
        <w:tc>
          <w:tcPr>
            <w:tcW w:w="3700" w:type="dxa"/>
            <w:vAlign w:val="bottom"/>
            <w:vMerge w:val="continue"/>
            <w:shd w:val="clear" w:color="auto" w:fill="00506F"/>
          </w:tcPr>
          <w:p>
            <w:pPr>
              <w:spacing w:after="0"/>
              <w:rPr>
                <w:sz w:val="6"/>
                <w:szCs w:val="6"/>
                <w:color w:val="auto"/>
              </w:rPr>
            </w:pPr>
          </w:p>
        </w:tc>
        <w:tc>
          <w:tcPr>
            <w:tcW w:w="3960" w:type="dxa"/>
            <w:vAlign w:val="bottom"/>
            <w:vMerge w:val="continue"/>
            <w:shd w:val="clear" w:color="auto" w:fill="D9AB26"/>
          </w:tcPr>
          <w:p>
            <w:pPr>
              <w:spacing w:after="0"/>
              <w:rPr>
                <w:sz w:val="6"/>
                <w:szCs w:val="6"/>
                <w:color w:val="auto"/>
              </w:rPr>
            </w:pPr>
          </w:p>
        </w:tc>
        <w:tc>
          <w:tcPr>
            <w:tcW w:w="1560" w:type="dxa"/>
            <w:vAlign w:val="bottom"/>
            <w:shd w:val="clear" w:color="auto" w:fill="D9AB26"/>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Insights from Juliet S. Ellis, MD&amp;C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157480</wp:posOffset>
            </wp:positionV>
            <wp:extent cx="1611630" cy="1448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11630" cy="1448435"/>
                    </a:xfrm>
                    <a:prstGeom prst="rect">
                      <a:avLst/>
                    </a:prstGeom>
                    <a:noFill/>
                  </pic:spPr>
                </pic:pic>
              </a:graphicData>
            </a:graphic>
          </wp:anchor>
        </w:drawing>
      </w:r>
    </w:p>
    <w:p>
      <w:pPr>
        <w:sectPr>
          <w:pgSz w:w="11900" w:h="16838" w:orient="portrait"/>
          <w:cols w:equalWidth="0" w:num="1">
            <w:col w:w="9720"/>
          </w:cols>
          <w:pgMar w:left="1080" w:top="1232"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D7AF00"/>
        </w:rPr>
        <w:t>Juliet S. Ellis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FFFFFF"/>
        </w:rPr>
        <w:t>Committee Chair</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feedback is vital in shaping our executive compensation discussions.</w:t>
      </w:r>
    </w:p>
    <w:p>
      <w:pPr>
        <w:spacing w:after="0" w:line="113"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 xml:space="preserve">We strive to ensure our investors understand that our decisions reflect the unique complexities and organizational priorities of APA Corporation. Factors such as the significant volatility of commodity markets, operational risks, geopolitical shifts, and resource constraints require </w:t>
      </w:r>
      <w:r>
        <w:rPr>
          <w:rFonts w:ascii="Arial" w:cs="Arial" w:eastAsia="Arial" w:hAnsi="Arial"/>
          <w:sz w:val="16"/>
          <w:szCs w:val="16"/>
          <w:b w:val="1"/>
          <w:bCs w:val="1"/>
          <w:color w:val="auto"/>
        </w:rPr>
        <w:t>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tailored strategy—one that drives long-term value while balancing agility and stability. </w:t>
      </w:r>
      <w:r>
        <w:rPr>
          <w:rFonts w:ascii="Arial" w:cs="Arial" w:eastAsia="Arial" w:hAnsi="Arial"/>
          <w:sz w:val="16"/>
          <w:szCs w:val="16"/>
          <w:color w:val="auto"/>
        </w:rPr>
        <w:t>Consequently, our approach to executive compensation may diverge from standard</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practices in more stable or growth-oriented industries, as it is tailored to better align with our business needs.</w:t>
      </w:r>
    </w:p>
    <w:p>
      <w:pPr>
        <w:spacing w:after="0" w:line="75"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i w:val="1"/>
          <w:iCs w:val="1"/>
          <w:color w:val="auto"/>
        </w:rPr>
        <w:t>Below are insights from Juliet S. Ellis, the Chair of our MD&amp;C Committee, based on representative questions we have received throughout our shareholder engagement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160655</wp:posOffset>
            </wp:positionV>
            <wp:extent cx="61722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2020" w:space="720"/>
            <w:col w:w="6980"/>
          </w:cols>
          <w:pgMar w:left="1080" w:top="1232" w:right="1099" w:bottom="1440" w:gutter="0" w:footer="0" w:header="0"/>
          <w:type w:val="continuous"/>
        </w:sectPr>
      </w:pPr>
    </w:p>
    <w:p>
      <w:pPr>
        <w:spacing w:after="0" w:line="50" w:lineRule="exact"/>
        <w:rPr>
          <w:sz w:val="20"/>
          <w:szCs w:val="20"/>
          <w:color w:val="auto"/>
        </w:rPr>
      </w:pPr>
    </w:p>
    <w:p>
      <w:pPr>
        <w:ind w:left="240" w:right="320" w:hanging="236"/>
        <w:spacing w:after="0" w:line="296" w:lineRule="auto"/>
        <w:tabs>
          <w:tab w:leader="none" w:pos="240" w:val="left"/>
        </w:tabs>
        <w:numPr>
          <w:ilvl w:val="0"/>
          <w:numId w:val="84"/>
        </w:numPr>
        <w:rPr>
          <w:rFonts w:ascii="Arial" w:cs="Arial" w:eastAsia="Arial" w:hAnsi="Arial"/>
          <w:sz w:val="16"/>
          <w:szCs w:val="16"/>
          <w:b w:val="1"/>
          <w:bCs w:val="1"/>
          <w:color w:val="00506F"/>
        </w:rPr>
      </w:pPr>
      <w:r>
        <w:rPr>
          <w:rFonts w:ascii="Arial" w:cs="Arial" w:eastAsia="Arial" w:hAnsi="Arial"/>
          <w:sz w:val="16"/>
          <w:szCs w:val="16"/>
          <w:b w:val="1"/>
          <w:bCs w:val="1"/>
          <w:color w:val="00506F"/>
        </w:rPr>
        <w:t>Why did the MD&amp;C Committee decide that 2025 was the right time to redesign the corporate performance scorecard for 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-29845</wp:posOffset>
            </wp:positionV>
            <wp:extent cx="61722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ind w:right="60"/>
        <w:spacing w:after="0" w:line="252" w:lineRule="auto"/>
        <w:rPr>
          <w:sz w:val="20"/>
          <w:szCs w:val="20"/>
          <w:color w:val="auto"/>
        </w:rPr>
      </w:pPr>
      <w:r>
        <w:rPr>
          <w:rFonts w:ascii="Arial" w:cs="Arial" w:eastAsia="Arial" w:hAnsi="Arial"/>
          <w:sz w:val="16"/>
          <w:szCs w:val="16"/>
          <w:color w:val="auto"/>
        </w:rPr>
        <w:t xml:space="preserve">As we entered 2025, the MD&amp;C Committee saw an opportunity to refine the corporate performance scorecard to better reflect APA’s operational focus and evolving cost profile. In recent years, the Company’s portfolio has become more balanced across regions and asset types, and managing costs with precision has become an even greater driver of performance. The MD&amp;C Committee determined that this was the right time to bring </w:t>
      </w:r>
      <w:r>
        <w:rPr>
          <w:rFonts w:ascii="Arial" w:cs="Arial" w:eastAsia="Arial" w:hAnsi="Arial"/>
          <w:sz w:val="16"/>
          <w:szCs w:val="16"/>
          <w:b w:val="1"/>
          <w:bCs w:val="1"/>
          <w:color w:val="auto"/>
        </w:rPr>
        <w:t>more clarity and accountability to the scorecard</w:t>
      </w:r>
      <w:r>
        <w:rPr>
          <w:rFonts w:ascii="Arial" w:cs="Arial" w:eastAsia="Arial" w:hAnsi="Arial"/>
          <w:sz w:val="16"/>
          <w:szCs w:val="16"/>
          <w:color w:val="auto"/>
        </w:rPr>
        <w:t xml:space="preserve"> by disaggregating costs into distinct Development Capital Expenditures, Lifting + Workover Costs, and Gross Department Costs metrics. This design provides clearer visibility into the factors that most directly impact results and allows employees across the organization to see how their decisions influence outcomes. We also reintroduced production as a standalone measure to ensure continued balance between cost discipline and reliable execution. Together, these refinements strengthen line-of-sight performance management and reinforce the MD&amp;C Committee’s </w:t>
      </w:r>
      <w:r>
        <w:rPr>
          <w:rFonts w:ascii="Arial" w:cs="Arial" w:eastAsia="Arial" w:hAnsi="Arial"/>
          <w:sz w:val="16"/>
          <w:szCs w:val="16"/>
          <w:b w:val="1"/>
          <w:bCs w:val="1"/>
          <w:color w:val="auto"/>
        </w:rPr>
        <w:t>commitment to transparency and alignment with long-term shareholder value creation</w:t>
      </w:r>
      <w:r>
        <w:rPr>
          <w:rFonts w:ascii="Arial" w:cs="Arial" w:eastAsia="Arial" w:hAnsi="Arial"/>
          <w:sz w:val="16"/>
          <w:szCs w:val="16"/>
          <w:color w:val="auto"/>
        </w:rPr>
        <w:t>.</w:t>
      </w:r>
    </w:p>
    <w:p>
      <w:pPr>
        <w:spacing w:after="0" w:line="300"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556895</wp:posOffset>
            </wp:positionV>
            <wp:extent cx="703770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32" w:right="1099" w:bottom="1440" w:gutter="0" w:footer="0" w:header="0"/>
          <w:type w:val="continuous"/>
        </w:sectPr>
      </w:pPr>
    </w:p>
    <w:bookmarkStart w:id="23" w:name="page24"/>
    <w:bookmarkEnd w:id="23"/>
    <w:p>
      <w:pPr>
        <w:ind w:left="660"/>
        <w:spacing w:after="0"/>
        <w:rPr>
          <w:sz w:val="20"/>
          <w:szCs w:val="20"/>
          <w:color w:val="auto"/>
        </w:rPr>
      </w:pPr>
      <w:r>
        <w:rPr>
          <w:rFonts w:ascii="Arial" w:cs="Arial" w:eastAsia="Arial" w:hAnsi="Arial"/>
          <w:sz w:val="16"/>
          <w:szCs w:val="16"/>
          <w:b w:val="1"/>
          <w:bCs w:val="1"/>
          <w:u w:val="single" w:color="auto"/>
          <w:color w:val="00506F"/>
        </w:rPr>
        <w:drawing>
          <wp:anchor simplePos="0" relativeHeight="251657728" behindDoc="1" locked="0" layoutInCell="0" allowOverlap="1">
            <wp:simplePos x="0" y="0"/>
            <wp:positionH relativeFrom="page">
              <wp:posOffset>688340</wp:posOffset>
            </wp:positionH>
            <wp:positionV relativeFrom="page">
              <wp:posOffset>757555</wp:posOffset>
            </wp:positionV>
            <wp:extent cx="61722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72200" cy="8890"/>
                    </a:xfrm>
                    <a:prstGeom prst="rect">
                      <a:avLst/>
                    </a:prstGeom>
                    <a:noFill/>
                  </pic:spPr>
                </pic:pic>
              </a:graphicData>
            </a:graphic>
          </wp:anchor>
        </w:drawing>
        <w:t>2. How does removing Profitability Index (P/I) from the scorecard align with APA’s ongoing commitment to capital discipline?</w:t>
      </w:r>
    </w:p>
    <w:p>
      <w:pPr>
        <w:spacing w:after="0" w:line="86" w:lineRule="exact"/>
        <w:rPr>
          <w:sz w:val="20"/>
          <w:szCs w:val="20"/>
          <w:color w:val="auto"/>
        </w:rPr>
      </w:pPr>
    </w:p>
    <w:p>
      <w:pPr>
        <w:ind w:left="660" w:right="800"/>
        <w:spacing w:after="0" w:line="259" w:lineRule="auto"/>
        <w:rPr>
          <w:sz w:val="20"/>
          <w:szCs w:val="20"/>
          <w:color w:val="auto"/>
        </w:rPr>
      </w:pPr>
      <w:r>
        <w:rPr>
          <w:rFonts w:ascii="Arial" w:cs="Arial" w:eastAsia="Arial" w:hAnsi="Arial"/>
          <w:sz w:val="16"/>
          <w:szCs w:val="16"/>
          <w:color w:val="auto"/>
        </w:rPr>
        <w:t>Removing P/I from the annual incentive scorecard does not represent a shift away from capital discipline. P/I remains a core tool used by management and the Board to evaluate and prioritize capital investments and is regularly discussed in Board meetings as part of capital allocation oversight. The economic principles reflected in P/I continue to inform capital decision-making and are inherently embedded in the design and calibration of the APA performance framework.</w:t>
      </w:r>
    </w:p>
    <w:p>
      <w:pPr>
        <w:spacing w:after="0" w:line="70" w:lineRule="exact"/>
        <w:rPr>
          <w:sz w:val="20"/>
          <w:szCs w:val="20"/>
          <w:color w:val="auto"/>
        </w:rPr>
      </w:pPr>
    </w:p>
    <w:p>
      <w:pPr>
        <w:ind w:left="660" w:right="960"/>
        <w:spacing w:after="0" w:line="259" w:lineRule="auto"/>
        <w:rPr>
          <w:sz w:val="20"/>
          <w:szCs w:val="20"/>
          <w:color w:val="auto"/>
        </w:rPr>
      </w:pPr>
      <w:r>
        <w:rPr>
          <w:rFonts w:ascii="Arial" w:cs="Arial" w:eastAsia="Arial" w:hAnsi="Arial"/>
          <w:sz w:val="16"/>
          <w:szCs w:val="16"/>
          <w:color w:val="auto"/>
        </w:rPr>
        <w:t xml:space="preserve">Rather than relying on P/I as a single, composite incentive measure, the refined corporate performance scorecard reflects the same underlying economic principles through a set of </w:t>
      </w:r>
      <w:r>
        <w:rPr>
          <w:rFonts w:ascii="Arial" w:cs="Arial" w:eastAsia="Arial" w:hAnsi="Arial"/>
          <w:sz w:val="16"/>
          <w:szCs w:val="16"/>
          <w:b w:val="1"/>
          <w:bCs w:val="1"/>
          <w:color w:val="auto"/>
        </w:rPr>
        <w:t>discrete financial and operational metrics</w:t>
      </w:r>
      <w:r>
        <w:rPr>
          <w:rFonts w:ascii="Arial" w:cs="Arial" w:eastAsia="Arial" w:hAnsi="Arial"/>
          <w:sz w:val="16"/>
          <w:szCs w:val="16"/>
          <w:color w:val="auto"/>
        </w:rPr>
        <w:t xml:space="preserve"> that are more transparent and directly linked to execution. These measures provide clearer accountability and line of sight for participants, while collectively reinforcing disciplined capital deployment, cost management, and operational performance.</w:t>
      </w:r>
    </w:p>
    <w:p>
      <w:pPr>
        <w:spacing w:after="0" w:line="70" w:lineRule="exact"/>
        <w:rPr>
          <w:sz w:val="20"/>
          <w:szCs w:val="20"/>
          <w:color w:val="auto"/>
        </w:rPr>
      </w:pPr>
    </w:p>
    <w:p>
      <w:pPr>
        <w:ind w:left="660" w:right="840"/>
        <w:spacing w:after="0" w:line="259" w:lineRule="auto"/>
        <w:rPr>
          <w:sz w:val="20"/>
          <w:szCs w:val="20"/>
          <w:color w:val="auto"/>
        </w:rPr>
      </w:pPr>
      <w:r>
        <w:rPr>
          <w:rFonts w:ascii="Arial" w:cs="Arial" w:eastAsia="Arial" w:hAnsi="Arial"/>
          <w:sz w:val="16"/>
          <w:szCs w:val="16"/>
          <w:color w:val="auto"/>
        </w:rPr>
        <w:t xml:space="preserve">This approach preserves the capital efficiency discipline embedded in P/I while better </w:t>
      </w:r>
      <w:r>
        <w:rPr>
          <w:rFonts w:ascii="Arial" w:cs="Arial" w:eastAsia="Arial" w:hAnsi="Arial"/>
          <w:sz w:val="16"/>
          <w:szCs w:val="16"/>
          <w:b w:val="1"/>
          <w:bCs w:val="1"/>
          <w:color w:val="auto"/>
        </w:rPr>
        <w:t>aligning employee incentives</w:t>
      </w:r>
      <w:r>
        <w:rPr>
          <w:rFonts w:ascii="Arial" w:cs="Arial" w:eastAsia="Arial" w:hAnsi="Arial"/>
          <w:sz w:val="16"/>
          <w:szCs w:val="16"/>
          <w:color w:val="auto"/>
        </w:rPr>
        <w:t xml:space="preserve"> with APA’s balanced, returns-driven capital strategy and the Board’s capital allocation framework. As a result, employees remain focused on the key drivers of value creation, and capital discipline continues to be reinforced consistently across governance, management decision-making, and incentive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53340</wp:posOffset>
            </wp:positionV>
            <wp:extent cx="61722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90" w:lineRule="exact"/>
        <w:rPr>
          <w:sz w:val="20"/>
          <w:szCs w:val="20"/>
          <w:color w:val="auto"/>
        </w:rPr>
      </w:pPr>
    </w:p>
    <w:p>
      <w:pPr>
        <w:ind w:left="900" w:right="1180" w:hanging="236"/>
        <w:spacing w:after="0" w:line="296" w:lineRule="auto"/>
        <w:tabs>
          <w:tab w:leader="none" w:pos="900" w:val="left"/>
        </w:tabs>
        <w:numPr>
          <w:ilvl w:val="0"/>
          <w:numId w:val="85"/>
        </w:numPr>
        <w:rPr>
          <w:rFonts w:ascii="Arial" w:cs="Arial" w:eastAsia="Arial" w:hAnsi="Arial"/>
          <w:sz w:val="16"/>
          <w:szCs w:val="16"/>
          <w:b w:val="1"/>
          <w:bCs w:val="1"/>
          <w:color w:val="00506F"/>
        </w:rPr>
      </w:pPr>
      <w:r>
        <w:rPr>
          <w:rFonts w:ascii="Arial" w:cs="Arial" w:eastAsia="Arial" w:hAnsi="Arial"/>
          <w:sz w:val="16"/>
          <w:szCs w:val="16"/>
          <w:b w:val="1"/>
          <w:bCs w:val="1"/>
          <w:color w:val="00506F"/>
        </w:rPr>
        <w:t>What evidence has the MD&amp;C Committee seen that the redesigned corporate performance scorecard is achieving its intended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-29845</wp:posOffset>
            </wp:positionV>
            <wp:extent cx="61722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ind w:left="660" w:right="1060"/>
        <w:spacing w:after="0" w:line="266" w:lineRule="auto"/>
        <w:rPr>
          <w:sz w:val="20"/>
          <w:szCs w:val="20"/>
          <w:color w:val="auto"/>
        </w:rPr>
      </w:pPr>
      <w:r>
        <w:rPr>
          <w:rFonts w:ascii="Arial" w:cs="Arial" w:eastAsia="Arial" w:hAnsi="Arial"/>
          <w:sz w:val="16"/>
          <w:szCs w:val="16"/>
          <w:color w:val="auto"/>
        </w:rPr>
        <w:t xml:space="preserve">The MD&amp;C Committee has seen encouraging evidence that the revised corporate performance scorecard is </w:t>
      </w:r>
      <w:r>
        <w:rPr>
          <w:rFonts w:ascii="Arial" w:cs="Arial" w:eastAsia="Arial" w:hAnsi="Arial"/>
          <w:sz w:val="16"/>
          <w:szCs w:val="16"/>
          <w:b w:val="1"/>
          <w:bCs w:val="1"/>
          <w:color w:val="auto"/>
        </w:rPr>
        <w:t>driving the intended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outcomes </w:t>
      </w:r>
      <w:r>
        <w:rPr>
          <w:rFonts w:ascii="Arial" w:cs="Arial" w:eastAsia="Arial" w:hAnsi="Arial"/>
          <w:sz w:val="16"/>
          <w:szCs w:val="16"/>
          <w:color w:val="auto"/>
        </w:rPr>
        <w:t>across the portfolio. The disaggregation of cost metrics has improved accountability and created greater visibility into</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management at both the corporate and asset levels.</w:t>
      </w:r>
    </w:p>
    <w:p>
      <w:pPr>
        <w:spacing w:after="0" w:line="63" w:lineRule="exact"/>
        <w:rPr>
          <w:sz w:val="20"/>
          <w:szCs w:val="20"/>
          <w:color w:val="auto"/>
        </w:rPr>
      </w:pPr>
    </w:p>
    <w:p>
      <w:pPr>
        <w:ind w:left="660" w:right="860"/>
        <w:spacing w:after="0" w:line="266" w:lineRule="auto"/>
        <w:rPr>
          <w:sz w:val="20"/>
          <w:szCs w:val="20"/>
          <w:color w:val="auto"/>
        </w:rPr>
      </w:pPr>
      <w:r>
        <w:rPr>
          <w:rFonts w:ascii="Arial" w:cs="Arial" w:eastAsia="Arial" w:hAnsi="Arial"/>
          <w:sz w:val="16"/>
          <w:szCs w:val="16"/>
          <w:color w:val="auto"/>
        </w:rPr>
        <w:t xml:space="preserve">Operationally, APA maintained stable, efficient production in Egypt, and continued to execute safely and reliably across U.S. assets with fewer active rigs and lower capital spending. This reflects the </w:t>
      </w:r>
      <w:r>
        <w:rPr>
          <w:rFonts w:ascii="Arial" w:cs="Arial" w:eastAsia="Arial" w:hAnsi="Arial"/>
          <w:sz w:val="16"/>
          <w:szCs w:val="16"/>
          <w:b w:val="1"/>
          <w:bCs w:val="1"/>
          <w:color w:val="auto"/>
        </w:rPr>
        <w:t>balance between cost discipline and production reliability</w:t>
      </w:r>
      <w:r>
        <w:rPr>
          <w:rFonts w:ascii="Arial" w:cs="Arial" w:eastAsia="Arial" w:hAnsi="Arial"/>
          <w:sz w:val="16"/>
          <w:szCs w:val="16"/>
          <w:color w:val="auto"/>
        </w:rPr>
        <w:t xml:space="preserve"> that the revised framework was designed to achieve.</w:t>
      </w:r>
    </w:p>
    <w:p>
      <w:pPr>
        <w:spacing w:after="0" w:line="63" w:lineRule="exact"/>
        <w:rPr>
          <w:sz w:val="20"/>
          <w:szCs w:val="20"/>
          <w:color w:val="auto"/>
        </w:rPr>
      </w:pPr>
    </w:p>
    <w:p>
      <w:pPr>
        <w:ind w:left="660" w:right="1220"/>
        <w:spacing w:after="0" w:line="286" w:lineRule="auto"/>
        <w:rPr>
          <w:sz w:val="20"/>
          <w:szCs w:val="20"/>
          <w:color w:val="auto"/>
        </w:rPr>
      </w:pPr>
      <w:r>
        <w:rPr>
          <w:rFonts w:ascii="Arial" w:cs="Arial" w:eastAsia="Arial" w:hAnsi="Arial"/>
          <w:sz w:val="16"/>
          <w:szCs w:val="16"/>
          <w:color w:val="auto"/>
        </w:rPr>
        <w:t>Financially, APA reduced net debt* by more than $1.4 billion and reached a $350 million cost savings run-rate goal by year-end, signaling tangible progress in managing costs and optimizing capital deployment.</w:t>
      </w:r>
    </w:p>
    <w:p>
      <w:pPr>
        <w:spacing w:after="0" w:line="48" w:lineRule="exact"/>
        <w:rPr>
          <w:sz w:val="20"/>
          <w:szCs w:val="20"/>
          <w:color w:val="auto"/>
        </w:rPr>
      </w:pPr>
    </w:p>
    <w:p>
      <w:pPr>
        <w:ind w:left="660" w:right="740"/>
        <w:spacing w:after="0" w:line="266" w:lineRule="auto"/>
        <w:rPr>
          <w:sz w:val="20"/>
          <w:szCs w:val="20"/>
          <w:color w:val="auto"/>
        </w:rPr>
      </w:pPr>
      <w:r>
        <w:rPr>
          <w:rFonts w:ascii="Arial" w:cs="Arial" w:eastAsia="Arial" w:hAnsi="Arial"/>
          <w:sz w:val="16"/>
          <w:szCs w:val="16"/>
          <w:color w:val="auto"/>
        </w:rPr>
        <w:t xml:space="preserve">The MD&amp;C Committee views these results as confirmation that </w:t>
      </w:r>
      <w:r>
        <w:rPr>
          <w:rFonts w:ascii="Arial" w:cs="Arial" w:eastAsia="Arial" w:hAnsi="Arial"/>
          <w:sz w:val="16"/>
          <w:szCs w:val="16"/>
          <w:b w:val="1"/>
          <w:bCs w:val="1"/>
          <w:color w:val="auto"/>
        </w:rPr>
        <w:t>the scorecard’s design is strengthening alignment</w:t>
      </w:r>
      <w:r>
        <w:rPr>
          <w:rFonts w:ascii="Arial" w:cs="Arial" w:eastAsia="Arial" w:hAnsi="Arial"/>
          <w:sz w:val="16"/>
          <w:szCs w:val="16"/>
          <w:color w:val="auto"/>
        </w:rPr>
        <w:t xml:space="preserve"> between leadership priorities, operational execution, and free cash flow generation. We will continue to monitor quantitative performance and shareholder feedback to ensure the framework remains transparent, balanced, and supportive of long-term shareholder value creation.</w:t>
      </w:r>
    </w:p>
    <w:p>
      <w:pPr>
        <w:spacing w:after="0" w:line="68" w:lineRule="exact"/>
        <w:rPr>
          <w:sz w:val="20"/>
          <w:szCs w:val="20"/>
          <w:color w:val="auto"/>
        </w:rPr>
      </w:pPr>
    </w:p>
    <w:p>
      <w:pPr>
        <w:ind w:left="760" w:hanging="96"/>
        <w:spacing w:after="0"/>
        <w:tabs>
          <w:tab w:leader="none" w:pos="760" w:val="left"/>
        </w:tabs>
        <w:numPr>
          <w:ilvl w:val="0"/>
          <w:numId w:val="86"/>
        </w:numPr>
        <w:rPr>
          <w:rFonts w:ascii="Arial" w:cs="Arial" w:eastAsia="Arial" w:hAnsi="Arial"/>
          <w:sz w:val="14"/>
          <w:szCs w:val="14"/>
          <w:color w:val="595959"/>
        </w:rPr>
      </w:pPr>
      <w:r>
        <w:rPr>
          <w:rFonts w:ascii="Arial" w:cs="Arial" w:eastAsia="Arial" w:hAnsi="Arial"/>
          <w:sz w:val="14"/>
          <w:szCs w:val="14"/>
          <w:color w:val="595959"/>
        </w:rPr>
        <w:t xml:space="preserve">Refer to the </w:t>
      </w:r>
      <w:r>
        <w:rPr>
          <w:rFonts w:ascii="Arial" w:cs="Arial" w:eastAsia="Arial" w:hAnsi="Arial"/>
          <w:sz w:val="14"/>
          <w:szCs w:val="14"/>
          <w:i w:val="1"/>
          <w:iCs w:val="1"/>
          <w:color w:val="595959"/>
        </w:rPr>
        <w:t>Non-GAAP Financial Measures</w:t>
      </w:r>
      <w:r>
        <w:rPr>
          <w:rFonts w:ascii="Arial" w:cs="Arial" w:eastAsia="Arial" w:hAnsi="Arial"/>
          <w:sz w:val="14"/>
          <w:szCs w:val="14"/>
          <w:color w:val="595959"/>
        </w:rPr>
        <w:t xml:space="preserve"> section of this proxy statement for a reconciliation of this non-GAAP financial measure.</w:t>
      </w:r>
    </w:p>
    <w:p>
      <w:pPr>
        <w:spacing w:after="0" w:line="77" w:lineRule="exact"/>
        <w:rPr>
          <w:rFonts w:ascii="Arial" w:cs="Arial" w:eastAsia="Arial" w:hAnsi="Arial"/>
          <w:sz w:val="14"/>
          <w:szCs w:val="14"/>
          <w:color w:val="595959"/>
        </w:rPr>
      </w:pPr>
    </w:p>
    <w:p>
      <w:pPr>
        <w:ind w:left="660"/>
        <w:spacing w:after="0"/>
        <w:rPr>
          <w:rFonts w:ascii="Arial" w:cs="Arial" w:eastAsia="Arial" w:hAnsi="Arial"/>
          <w:sz w:val="14"/>
          <w:szCs w:val="14"/>
          <w:color w:val="595959"/>
        </w:rPr>
      </w:pPr>
      <w:r>
        <w:rPr>
          <w:rFonts w:ascii="Arial" w:cs="Arial" w:eastAsia="Arial" w:hAnsi="Arial"/>
          <w:sz w:val="16"/>
          <w:szCs w:val="16"/>
          <w:b w:val="1"/>
          <w:bCs w:val="1"/>
          <w:color w:val="00506F"/>
        </w:rPr>
        <w:t>4. How have changes to the leadership team helped to drive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-124460</wp:posOffset>
            </wp:positionV>
            <wp:extent cx="61722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421640</wp:posOffset>
            </wp:positionH>
            <wp:positionV relativeFrom="paragraph">
              <wp:posOffset>29210</wp:posOffset>
            </wp:positionV>
            <wp:extent cx="61722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80" w:lineRule="exact"/>
        <w:rPr>
          <w:sz w:val="20"/>
          <w:szCs w:val="20"/>
          <w:color w:val="auto"/>
        </w:rPr>
      </w:pPr>
    </w:p>
    <w:p>
      <w:pPr>
        <w:ind w:left="660" w:right="680"/>
        <w:spacing w:after="0" w:line="251" w:lineRule="auto"/>
        <w:rPr>
          <w:sz w:val="20"/>
          <w:szCs w:val="20"/>
          <w:color w:val="auto"/>
        </w:rPr>
      </w:pPr>
      <w:r>
        <w:rPr>
          <w:rFonts w:ascii="Arial" w:cs="Arial" w:eastAsia="Arial" w:hAnsi="Arial"/>
          <w:sz w:val="16"/>
          <w:szCs w:val="16"/>
          <w:color w:val="auto"/>
        </w:rPr>
        <w:t xml:space="preserve">Over the past two years, APA has undergone a </w:t>
      </w:r>
      <w:r>
        <w:rPr>
          <w:rFonts w:ascii="Arial" w:cs="Arial" w:eastAsia="Arial" w:hAnsi="Arial"/>
          <w:sz w:val="16"/>
          <w:szCs w:val="16"/>
          <w:b w:val="1"/>
          <w:bCs w:val="1"/>
          <w:color w:val="auto"/>
        </w:rPr>
        <w:t>thoughtful evolution in its leadership structure</w:t>
      </w:r>
      <w:r>
        <w:rPr>
          <w:rFonts w:ascii="Arial" w:cs="Arial" w:eastAsia="Arial" w:hAnsi="Arial"/>
          <w:sz w:val="16"/>
          <w:szCs w:val="16"/>
          <w:color w:val="auto"/>
        </w:rPr>
        <w:t xml:space="preserve"> to better align capabilities with the Company’s strategic and operational priorities. These changes brought together leaders with deep experience in capital discipline, operational execution, and financial stewardship—areas that directly reflect the focus of our redesigned corporate performance scorecard. The Company’s sharpened focus under this leadership framework supports </w:t>
      </w:r>
      <w:r>
        <w:rPr>
          <w:rFonts w:ascii="Arial" w:cs="Arial" w:eastAsia="Arial" w:hAnsi="Arial"/>
          <w:sz w:val="16"/>
          <w:szCs w:val="16"/>
          <w:b w:val="1"/>
          <w:bCs w:val="1"/>
          <w:color w:val="auto"/>
        </w:rPr>
        <w:t>clear accountability</w:t>
      </w:r>
      <w:r>
        <w:rPr>
          <w:rFonts w:ascii="Arial" w:cs="Arial" w:eastAsia="Arial" w:hAnsi="Arial"/>
          <w:sz w:val="16"/>
          <w:szCs w:val="16"/>
          <w:color w:val="auto"/>
        </w:rPr>
        <w:t xml:space="preserve"> across functions and provides a transparent framework for assessing performance and driving results. We have an extremely capable workforce at APA, and through streamlined and better-aligned leadership we are releasing those capabilities to enable rapid change and improved performance. In short, as the Company strengthened and clarified operational responsibilities, the MD&amp;C Committee ensured that our incentive design evolved in parallel, reinforcing alignment between leadership priorities, business execution, and long-term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180340</wp:posOffset>
            </wp:positionV>
            <wp:extent cx="61722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506F"/>
        </w:rPr>
        <w:t>5. Can you describe how the Board views alignment of CEO pay and Company performance in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20955</wp:posOffset>
            </wp:positionV>
            <wp:extent cx="61722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66" w:lineRule="exact"/>
        <w:rPr>
          <w:sz w:val="20"/>
          <w:szCs w:val="20"/>
          <w:color w:val="auto"/>
        </w:rPr>
      </w:pPr>
    </w:p>
    <w:p>
      <w:pPr>
        <w:ind w:left="660" w:right="700"/>
        <w:spacing w:after="0" w:line="252" w:lineRule="auto"/>
        <w:rPr>
          <w:sz w:val="20"/>
          <w:szCs w:val="20"/>
          <w:color w:val="auto"/>
        </w:rPr>
      </w:pPr>
      <w:r>
        <w:rPr>
          <w:rFonts w:ascii="Arial" w:cs="Arial" w:eastAsia="Arial" w:hAnsi="Arial"/>
          <w:sz w:val="16"/>
          <w:szCs w:val="16"/>
          <w:color w:val="auto"/>
        </w:rPr>
        <w:t xml:space="preserve">Performance-based pay is a </w:t>
      </w:r>
      <w:r>
        <w:rPr>
          <w:rFonts w:ascii="Arial" w:cs="Arial" w:eastAsia="Arial" w:hAnsi="Arial"/>
          <w:sz w:val="16"/>
          <w:szCs w:val="16"/>
          <w:b w:val="1"/>
          <w:bCs w:val="1"/>
          <w:color w:val="auto"/>
        </w:rPr>
        <w:t>core principle</w:t>
      </w:r>
      <w:r>
        <w:rPr>
          <w:rFonts w:ascii="Arial" w:cs="Arial" w:eastAsia="Arial" w:hAnsi="Arial"/>
          <w:sz w:val="16"/>
          <w:szCs w:val="16"/>
          <w:color w:val="auto"/>
        </w:rPr>
        <w:t xml:space="preserve"> of our compensation plan, and we believe the performance measures used in our incentive plans are the right ones to position APA for </w:t>
      </w:r>
      <w:r>
        <w:rPr>
          <w:rFonts w:ascii="Arial" w:cs="Arial" w:eastAsia="Arial" w:hAnsi="Arial"/>
          <w:sz w:val="16"/>
          <w:szCs w:val="16"/>
          <w:b w:val="1"/>
          <w:bCs w:val="1"/>
          <w:color w:val="auto"/>
        </w:rPr>
        <w:t>long-term success</w:t>
      </w:r>
      <w:r>
        <w:rPr>
          <w:rFonts w:ascii="Arial" w:cs="Arial" w:eastAsia="Arial" w:hAnsi="Arial"/>
          <w:sz w:val="16"/>
          <w:szCs w:val="16"/>
          <w:color w:val="auto"/>
        </w:rPr>
        <w:t xml:space="preserve"> and create </w:t>
      </w:r>
      <w:r>
        <w:rPr>
          <w:rFonts w:ascii="Arial" w:cs="Arial" w:eastAsia="Arial" w:hAnsi="Arial"/>
          <w:sz w:val="16"/>
          <w:szCs w:val="16"/>
          <w:b w:val="1"/>
          <w:bCs w:val="1"/>
          <w:color w:val="auto"/>
        </w:rPr>
        <w:t>sustainable shareholder value</w:t>
      </w:r>
      <w:r>
        <w:rPr>
          <w:rFonts w:ascii="Arial" w:cs="Arial" w:eastAsia="Arial" w:hAnsi="Arial"/>
          <w:sz w:val="16"/>
          <w:szCs w:val="16"/>
          <w:color w:val="auto"/>
        </w:rPr>
        <w:t xml:space="preserve">, and we are beginning to see results in shareholder value based on our stock price performance in 2025. Given the cyclical nature and highly volatile landscape of the E&amp;P sector, our executive compensation program is designed to keep leadership focused on executing key initiatives and driving </w:t>
      </w:r>
      <w:r>
        <w:rPr>
          <w:rFonts w:ascii="Arial" w:cs="Arial" w:eastAsia="Arial" w:hAnsi="Arial"/>
          <w:sz w:val="16"/>
          <w:szCs w:val="16"/>
          <w:b w:val="1"/>
          <w:bCs w:val="1"/>
          <w:color w:val="auto"/>
        </w:rPr>
        <w:t>sustainable growth and returns</w:t>
      </w:r>
      <w:r>
        <w:rPr>
          <w:rFonts w:ascii="Arial" w:cs="Arial" w:eastAsia="Arial" w:hAnsi="Arial"/>
          <w:sz w:val="16"/>
          <w:szCs w:val="16"/>
          <w:color w:val="auto"/>
        </w:rPr>
        <w:t>, positioning the Company to capitalize on opportunities and deliver value as market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improve. This approach balances rewarding business achievements with maintaining alignment to long-term shareholder outcomes, even during challenging periods. For example, in 2025 the Company’s share price rose nearly 6%, with the Company ranking second among thirteen oil peers in share price performance despite oil prices declining 20% over the same period.</w:t>
      </w:r>
    </w:p>
    <w:p>
      <w:pPr>
        <w:spacing w:after="0" w:line="75" w:lineRule="exact"/>
        <w:rPr>
          <w:sz w:val="20"/>
          <w:szCs w:val="20"/>
          <w:color w:val="auto"/>
        </w:rPr>
      </w:pPr>
    </w:p>
    <w:p>
      <w:pPr>
        <w:ind w:left="660" w:right="700"/>
        <w:spacing w:after="0" w:line="256" w:lineRule="auto"/>
        <w:rPr>
          <w:sz w:val="20"/>
          <w:szCs w:val="20"/>
          <w:color w:val="auto"/>
        </w:rPr>
      </w:pPr>
      <w:r>
        <w:rPr>
          <w:rFonts w:ascii="Arial" w:cs="Arial" w:eastAsia="Arial" w:hAnsi="Arial"/>
          <w:sz w:val="16"/>
          <w:szCs w:val="16"/>
          <w:color w:val="auto"/>
        </w:rPr>
        <w:t xml:space="preserve">We target total compensation opportunity at the </w:t>
      </w:r>
      <w:r>
        <w:rPr>
          <w:rFonts w:ascii="Arial" w:cs="Arial" w:eastAsia="Arial" w:hAnsi="Arial"/>
          <w:sz w:val="16"/>
          <w:szCs w:val="16"/>
          <w:b w:val="1"/>
          <w:bCs w:val="1"/>
          <w:color w:val="auto"/>
        </w:rPr>
        <w:t>median of our compensation peer group</w:t>
      </w:r>
      <w:r>
        <w:rPr>
          <w:rFonts w:ascii="Arial" w:cs="Arial" w:eastAsia="Arial" w:hAnsi="Arial"/>
          <w:sz w:val="16"/>
          <w:szCs w:val="16"/>
          <w:color w:val="auto"/>
        </w:rPr>
        <w:t>, with realizable pay determined by performance—executives can earn above or below their target opportunities based on actual performance results. For example, results linked to annual incentive awards have exceeded target performance levels, reflecting meaningful progress in key business areas, while the portion of long-term performance awards linked to relative TSR have generally yielded below target payouts, which is consistent with our philosophy of aligning executive compensation with shareholder returns.</w:t>
      </w:r>
    </w:p>
    <w:p>
      <w:pPr>
        <w:spacing w:after="0" w:line="72" w:lineRule="exact"/>
        <w:rPr>
          <w:sz w:val="20"/>
          <w:szCs w:val="20"/>
          <w:color w:val="auto"/>
        </w:rPr>
      </w:pPr>
    </w:p>
    <w:p>
      <w:pPr>
        <w:ind w:left="660" w:right="720"/>
        <w:spacing w:after="0" w:line="259" w:lineRule="auto"/>
        <w:rPr>
          <w:sz w:val="20"/>
          <w:szCs w:val="20"/>
          <w:color w:val="auto"/>
        </w:rPr>
      </w:pPr>
      <w:r>
        <w:rPr>
          <w:rFonts w:ascii="Arial" w:cs="Arial" w:eastAsia="Arial" w:hAnsi="Arial"/>
          <w:sz w:val="16"/>
          <w:szCs w:val="16"/>
          <w:color w:val="auto"/>
        </w:rPr>
        <w:t xml:space="preserve">As shown in the chart below, our CEO’s target total compensation opportunities (APA Target) in 2023 and 2024 were </w:t>
      </w:r>
      <w:r>
        <w:rPr>
          <w:rFonts w:ascii="Arial" w:cs="Arial" w:eastAsia="Arial" w:hAnsi="Arial"/>
          <w:sz w:val="16"/>
          <w:szCs w:val="16"/>
          <w:b w:val="1"/>
          <w:bCs w:val="1"/>
          <w:color w:val="auto"/>
        </w:rPr>
        <w:t>below</w:t>
      </w:r>
      <w:r>
        <w:rPr>
          <w:rFonts w:ascii="Arial" w:cs="Arial" w:eastAsia="Arial" w:hAnsi="Arial"/>
          <w:sz w:val="16"/>
          <w:szCs w:val="16"/>
          <w:color w:val="auto"/>
        </w:rPr>
        <w:t xml:space="preserve"> the Peer Median Target, and his realizable pay (APA Realizable) fell </w:t>
      </w:r>
      <w:r>
        <w:rPr>
          <w:rFonts w:ascii="Arial" w:cs="Arial" w:eastAsia="Arial" w:hAnsi="Arial"/>
          <w:sz w:val="16"/>
          <w:szCs w:val="16"/>
          <w:b w:val="1"/>
          <w:bCs w:val="1"/>
          <w:color w:val="auto"/>
        </w:rPr>
        <w:t>below</w:t>
      </w:r>
      <w:r>
        <w:rPr>
          <w:rFonts w:ascii="Arial" w:cs="Arial" w:eastAsia="Arial" w:hAnsi="Arial"/>
          <w:sz w:val="16"/>
          <w:szCs w:val="16"/>
          <w:color w:val="auto"/>
        </w:rPr>
        <w:t xml:space="preserve"> both the APA Target and Peer Median Target, demonstrating that our CEO’s realizable pay history is aligned with stock performance. In 2025, the CEO’s APA Target was again set in alignment with the Peer Median Target. Improved performance during the year, reflected in the increase in APA’s relative TSR ranking, resulted in APA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19</w:t>
            </w:r>
          </w:p>
        </w:tc>
      </w:tr>
      <w:tr>
        <w:trPr>
          <w:trHeight w:val="865"/>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05" w:right="439" w:bottom="1440" w:gutter="0" w:footer="0" w:header="0"/>
        </w:sectPr>
      </w:pPr>
    </w:p>
    <w:bookmarkStart w:id="24" w:name="page25"/>
    <w:bookmarkEnd w:id="24"/>
    <w:p>
      <w:pPr>
        <w:ind w:right="400"/>
        <w:spacing w:after="0" w:line="266" w:lineRule="auto"/>
        <w:rPr>
          <w:sz w:val="20"/>
          <w:szCs w:val="20"/>
          <w:color w:val="auto"/>
        </w:rPr>
      </w:pPr>
      <w:r>
        <w:rPr>
          <w:rFonts w:ascii="Arial" w:cs="Arial" w:eastAsia="Arial" w:hAnsi="Arial"/>
          <w:sz w:val="16"/>
          <w:szCs w:val="16"/>
          <w:color w:val="auto"/>
        </w:rPr>
        <w:t xml:space="preserve">Realizable pay exceeding target. The MD&amp;C Committee views this outcome as a key result of the Company’s refocused corporate performance scorecard, which is designed to drive performance and align incentive outcomes with long-term shareholder value creation. </w:t>
      </w:r>
      <w:r>
        <w:rPr>
          <w:rFonts w:ascii="Arial" w:cs="Arial" w:eastAsia="Arial" w:hAnsi="Arial"/>
          <w:sz w:val="16"/>
          <w:szCs w:val="16"/>
          <w:i w:val="1"/>
          <w:iCs w:val="1"/>
          <w:color w:val="auto"/>
        </w:rPr>
        <w:t>Note: At the time of our proxy statement filing, we did not have 2025 pay data for our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48895</wp:posOffset>
            </wp:positionV>
            <wp:extent cx="5486400" cy="19291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8640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Best Practices and Policies</w:t>
      </w:r>
    </w:p>
    <w:p>
      <w:pPr>
        <w:spacing w:after="0" w:line="112"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We believe the following practices and policies promote sound compensation governance and are in the best interests of our shareholders and executives.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20" w:type="dxa"/>
            <w:vAlign w:val="bottom"/>
            <w:tcBorders>
              <w:top w:val="single" w:sz="8" w:color="auto"/>
              <w:bottom w:val="single" w:sz="8" w:color="auto"/>
            </w:tcBorders>
            <w:shd w:val="clear" w:color="auto" w:fill="F3F3F4"/>
          </w:tcPr>
          <w:p>
            <w:pPr>
              <w:ind w:left="1980"/>
              <w:spacing w:after="0"/>
              <w:rPr>
                <w:sz w:val="20"/>
                <w:szCs w:val="20"/>
                <w:color w:val="auto"/>
              </w:rPr>
            </w:pPr>
            <w:r>
              <w:rPr>
                <w:rFonts w:ascii="Arial" w:cs="Arial" w:eastAsia="Arial" w:hAnsi="Arial"/>
                <w:sz w:val="16"/>
                <w:szCs w:val="16"/>
                <w:b w:val="1"/>
                <w:bCs w:val="1"/>
                <w:color w:val="auto"/>
              </w:rPr>
              <w:t>What We Do</w:t>
            </w:r>
          </w:p>
        </w:tc>
        <w:tc>
          <w:tcPr>
            <w:tcW w:w="340" w:type="dxa"/>
            <w:vAlign w:val="bottom"/>
            <w:tcBorders>
              <w:top w:val="single" w:sz="8" w:color="auto"/>
              <w:bottom w:val="single" w:sz="8" w:color="auto"/>
            </w:tcBorders>
            <w:shd w:val="clear" w:color="auto" w:fill="F3F3F4"/>
          </w:tcPr>
          <w:p>
            <w:pPr>
              <w:spacing w:after="0"/>
              <w:rPr>
                <w:sz w:val="22"/>
                <w:szCs w:val="22"/>
                <w:color w:val="auto"/>
              </w:rPr>
            </w:pPr>
          </w:p>
        </w:tc>
        <w:tc>
          <w:tcPr>
            <w:tcW w:w="4460" w:type="dxa"/>
            <w:vAlign w:val="bottom"/>
            <w:tcBorders>
              <w:top w:val="single" w:sz="8" w:color="auto"/>
              <w:bottom w:val="single" w:sz="8" w:color="auto"/>
            </w:tcBorders>
            <w:gridSpan w:val="3"/>
            <w:shd w:val="clear" w:color="auto" w:fill="F3F3F4"/>
          </w:tcPr>
          <w:p>
            <w:pPr>
              <w:ind w:left="1540"/>
              <w:spacing w:after="0"/>
              <w:rPr>
                <w:sz w:val="20"/>
                <w:szCs w:val="20"/>
                <w:color w:val="auto"/>
              </w:rPr>
            </w:pPr>
            <w:r>
              <w:rPr>
                <w:rFonts w:ascii="Arial" w:cs="Arial" w:eastAsia="Arial" w:hAnsi="Arial"/>
                <w:sz w:val="16"/>
                <w:szCs w:val="16"/>
                <w:b w:val="1"/>
                <w:bCs w:val="1"/>
                <w:color w:val="auto"/>
              </w:rPr>
              <w:t>What We Don’t Do</w:t>
            </w:r>
          </w:p>
        </w:tc>
        <w:tc>
          <w:tcPr>
            <w:tcW w:w="0" w:type="dxa"/>
            <w:vAlign w:val="bottom"/>
          </w:tcPr>
          <w:p>
            <w:pPr>
              <w:spacing w:after="0"/>
              <w:rPr>
                <w:sz w:val="1"/>
                <w:szCs w:val="1"/>
                <w:color w:val="auto"/>
              </w:rPr>
            </w:pPr>
          </w:p>
        </w:tc>
      </w:tr>
      <w:tr>
        <w:trPr>
          <w:trHeight w:val="264"/>
        </w:trPr>
        <w:tc>
          <w:tcPr>
            <w:tcW w:w="4920" w:type="dxa"/>
            <w:vAlign w:val="bottom"/>
          </w:tcPr>
          <w:p>
            <w:pPr>
              <w:ind w:left="420"/>
              <w:spacing w:after="0"/>
              <w:rPr>
                <w:sz w:val="20"/>
                <w:szCs w:val="20"/>
                <w:color w:val="auto"/>
              </w:rPr>
            </w:pPr>
            <w:r>
              <w:rPr>
                <w:rFonts w:ascii="Arial" w:cs="Arial" w:eastAsia="Arial" w:hAnsi="Arial"/>
                <w:sz w:val="16"/>
                <w:szCs w:val="16"/>
                <w:color w:val="auto"/>
              </w:rPr>
              <w:t xml:space="preserve">Place a significant emphasis on </w:t>
            </w:r>
            <w:r>
              <w:rPr>
                <w:rFonts w:ascii="Arial" w:cs="Arial" w:eastAsia="Arial" w:hAnsi="Arial"/>
                <w:sz w:val="16"/>
                <w:szCs w:val="16"/>
                <w:b w:val="1"/>
                <w:bCs w:val="1"/>
                <w:color w:val="auto"/>
              </w:rPr>
              <w:t>performance-based</w:t>
            </w:r>
            <w:r>
              <w:rPr>
                <w:rFonts w:ascii="Arial" w:cs="Arial" w:eastAsia="Arial" w:hAnsi="Arial"/>
                <w:sz w:val="16"/>
                <w:szCs w:val="16"/>
                <w:color w:val="auto"/>
              </w:rPr>
              <w:t>, at-risk,</w:t>
            </w:r>
          </w:p>
        </w:tc>
        <w:tc>
          <w:tcPr>
            <w:tcW w:w="4800" w:type="dxa"/>
            <w:vAlign w:val="bottom"/>
            <w:gridSpan w:val="4"/>
          </w:tcPr>
          <w:p>
            <w:pPr>
              <w:ind w:left="120"/>
              <w:spacing w:after="0" w:line="196" w:lineRule="exact"/>
              <w:rPr>
                <w:sz w:val="20"/>
                <w:szCs w:val="20"/>
                <w:color w:val="auto"/>
              </w:rPr>
            </w:pPr>
            <w:r>
              <w:rPr>
                <w:rFonts w:ascii="MS PGothic" w:cs="MS PGothic" w:eastAsia="MS PGothic" w:hAnsi="MS PGothic"/>
                <w:sz w:val="17"/>
                <w:szCs w:val="17"/>
                <w:color w:val="E82605"/>
              </w:rPr>
              <w:t>✕</w:t>
            </w:r>
            <w:r>
              <w:rPr>
                <w:rFonts w:ascii="Arial" w:cs="Arial" w:eastAsia="Arial" w:hAnsi="Arial"/>
                <w:sz w:val="16"/>
                <w:szCs w:val="16"/>
                <w:color w:val="auto"/>
              </w:rPr>
              <w:t xml:space="preserve"> Reprice underwater stock options</w:t>
            </w:r>
          </w:p>
        </w:tc>
        <w:tc>
          <w:tcPr>
            <w:tcW w:w="0" w:type="dxa"/>
            <w:vAlign w:val="bottom"/>
          </w:tcPr>
          <w:p>
            <w:pPr>
              <w:spacing w:after="0"/>
              <w:rPr>
                <w:sz w:val="1"/>
                <w:szCs w:val="1"/>
                <w:color w:val="auto"/>
              </w:rPr>
            </w:pPr>
          </w:p>
        </w:tc>
      </w:tr>
      <w:tr>
        <w:trPr>
          <w:trHeight w:val="162"/>
        </w:trPr>
        <w:tc>
          <w:tcPr>
            <w:tcW w:w="4920" w:type="dxa"/>
            <w:vAlign w:val="bottom"/>
            <w:tcBorders>
              <w:bottom w:val="single" w:sz="8" w:color="auto"/>
            </w:tcBorders>
          </w:tcPr>
          <w:p>
            <w:pPr>
              <w:ind w:left="420"/>
              <w:spacing w:after="0" w:line="162" w:lineRule="exact"/>
              <w:rPr>
                <w:sz w:val="20"/>
                <w:szCs w:val="20"/>
                <w:color w:val="auto"/>
              </w:rPr>
            </w:pPr>
            <w:r>
              <w:rPr>
                <w:rFonts w:ascii="Arial" w:cs="Arial" w:eastAsia="Arial" w:hAnsi="Arial"/>
                <w:sz w:val="16"/>
                <w:szCs w:val="16"/>
                <w:color w:val="auto"/>
              </w:rPr>
              <w:t>long-term compensation</w:t>
            </w:r>
          </w:p>
        </w:tc>
        <w:tc>
          <w:tcPr>
            <w:tcW w:w="3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920" w:type="dxa"/>
            <w:vAlign w:val="bottom"/>
          </w:tcPr>
          <w:p>
            <w:pPr>
              <w:ind w:left="420"/>
              <w:spacing w:after="0"/>
              <w:rPr>
                <w:sz w:val="20"/>
                <w:szCs w:val="20"/>
                <w:color w:val="auto"/>
              </w:rPr>
            </w:pPr>
            <w:r>
              <w:rPr>
                <w:rFonts w:ascii="Arial" w:cs="Arial" w:eastAsia="Arial" w:hAnsi="Arial"/>
                <w:sz w:val="16"/>
                <w:szCs w:val="16"/>
                <w:b w:val="1"/>
                <w:bCs w:val="1"/>
                <w:color w:val="auto"/>
              </w:rPr>
              <w:t xml:space="preserve">Extend vesting </w:t>
            </w:r>
            <w:r>
              <w:rPr>
                <w:rFonts w:ascii="Arial" w:cs="Arial" w:eastAsia="Arial" w:hAnsi="Arial"/>
                <w:sz w:val="16"/>
                <w:szCs w:val="16"/>
                <w:color w:val="auto"/>
              </w:rPr>
              <w:t>for performance awards beyond the typical</w:t>
            </w:r>
          </w:p>
        </w:tc>
        <w:tc>
          <w:tcPr>
            <w:tcW w:w="4800" w:type="dxa"/>
            <w:vAlign w:val="bottom"/>
            <w:gridSpan w:val="4"/>
            <w:vMerge w:val="restart"/>
          </w:tcPr>
          <w:p>
            <w:pPr>
              <w:ind w:left="120"/>
              <w:spacing w:after="0" w:line="196" w:lineRule="exact"/>
              <w:rPr>
                <w:sz w:val="20"/>
                <w:szCs w:val="20"/>
                <w:color w:val="auto"/>
              </w:rPr>
            </w:pPr>
            <w:r>
              <w:rPr>
                <w:rFonts w:ascii="MS PGothic" w:cs="MS PGothic" w:eastAsia="MS PGothic" w:hAnsi="MS PGothic"/>
                <w:sz w:val="17"/>
                <w:szCs w:val="17"/>
                <w:color w:val="E82605"/>
              </w:rPr>
              <w:t>✕</w:t>
            </w:r>
            <w:r>
              <w:rPr>
                <w:rFonts w:ascii="Arial" w:cs="Arial" w:eastAsia="Arial" w:hAnsi="Arial"/>
                <w:sz w:val="16"/>
                <w:szCs w:val="16"/>
                <w:color w:val="auto"/>
              </w:rPr>
              <w:t xml:space="preserve"> Provide excessive perquisites</w:t>
            </w:r>
          </w:p>
        </w:tc>
        <w:tc>
          <w:tcPr>
            <w:tcW w:w="0" w:type="dxa"/>
            <w:vAlign w:val="bottom"/>
          </w:tcPr>
          <w:p>
            <w:pPr>
              <w:spacing w:after="0"/>
              <w:rPr>
                <w:sz w:val="1"/>
                <w:szCs w:val="1"/>
                <w:color w:val="auto"/>
              </w:rPr>
            </w:pPr>
          </w:p>
        </w:tc>
      </w:tr>
      <w:tr>
        <w:trPr>
          <w:trHeight w:val="189"/>
        </w:trPr>
        <w:tc>
          <w:tcPr>
            <w:tcW w:w="4920" w:type="dxa"/>
            <w:vAlign w:val="bottom"/>
          </w:tcPr>
          <w:p>
            <w:pPr>
              <w:ind w:left="420"/>
              <w:spacing w:after="0"/>
              <w:rPr>
                <w:sz w:val="20"/>
                <w:szCs w:val="20"/>
                <w:color w:val="auto"/>
              </w:rPr>
            </w:pPr>
            <w:r>
              <w:rPr>
                <w:rFonts w:ascii="Arial" w:cs="Arial" w:eastAsia="Arial" w:hAnsi="Arial"/>
                <w:sz w:val="16"/>
                <w:szCs w:val="16"/>
                <w:color w:val="auto"/>
              </w:rPr>
              <w:t>three-year timeline—half (50%) vests at the end of year</w:t>
            </w:r>
          </w:p>
        </w:tc>
        <w:tc>
          <w:tcPr>
            <w:tcW w:w="48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three and the other half (50%) at the end of year four</w:t>
            </w: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20" w:type="dxa"/>
            <w:vAlign w:val="bottom"/>
          </w:tcPr>
          <w:p>
            <w:pPr>
              <w:ind w:left="420"/>
              <w:spacing w:after="0"/>
              <w:rPr>
                <w:sz w:val="20"/>
                <w:szCs w:val="20"/>
                <w:color w:val="auto"/>
              </w:rPr>
            </w:pPr>
            <w:r>
              <w:rPr>
                <w:rFonts w:ascii="Arial" w:cs="Arial" w:eastAsia="Arial" w:hAnsi="Arial"/>
                <w:sz w:val="16"/>
                <w:szCs w:val="16"/>
                <w:b w:val="1"/>
                <w:bCs w:val="1"/>
                <w:color w:val="auto"/>
              </w:rPr>
              <w:t xml:space="preserve">Cap </w:t>
            </w:r>
            <w:r>
              <w:rPr>
                <w:rFonts w:ascii="Arial" w:cs="Arial" w:eastAsia="Arial" w:hAnsi="Arial"/>
                <w:sz w:val="16"/>
                <w:szCs w:val="16"/>
                <w:color w:val="auto"/>
              </w:rPr>
              <w:t>our TSR payouts at target if TSR is negative and</w:t>
            </w:r>
          </w:p>
        </w:tc>
        <w:tc>
          <w:tcPr>
            <w:tcW w:w="4800" w:type="dxa"/>
            <w:vAlign w:val="bottom"/>
            <w:gridSpan w:val="4"/>
            <w:vMerge w:val="restart"/>
          </w:tcPr>
          <w:p>
            <w:pPr>
              <w:ind w:left="120"/>
              <w:spacing w:after="0" w:line="196" w:lineRule="exact"/>
              <w:rPr>
                <w:sz w:val="20"/>
                <w:szCs w:val="20"/>
                <w:color w:val="auto"/>
              </w:rPr>
            </w:pPr>
            <w:r>
              <w:rPr>
                <w:rFonts w:ascii="MS PGothic" w:cs="MS PGothic" w:eastAsia="MS PGothic" w:hAnsi="MS PGothic"/>
                <w:sz w:val="17"/>
                <w:szCs w:val="17"/>
                <w:color w:val="E82605"/>
              </w:rPr>
              <w:t>✕</w:t>
            </w:r>
            <w:r>
              <w:rPr>
                <w:rFonts w:ascii="Arial" w:cs="Arial" w:eastAsia="Arial" w:hAnsi="Arial"/>
                <w:sz w:val="16"/>
                <w:szCs w:val="16"/>
                <w:color w:val="auto"/>
              </w:rPr>
              <w:t xml:space="preserve"> Utilize executive officer employment contracts</w:t>
            </w:r>
          </w:p>
        </w:tc>
        <w:tc>
          <w:tcPr>
            <w:tcW w:w="0" w:type="dxa"/>
            <w:vAlign w:val="bottom"/>
          </w:tcPr>
          <w:p>
            <w:pPr>
              <w:spacing w:after="0"/>
              <w:rPr>
                <w:sz w:val="1"/>
                <w:szCs w:val="1"/>
                <w:color w:val="auto"/>
              </w:rPr>
            </w:pPr>
          </w:p>
        </w:tc>
      </w:tr>
      <w:tr>
        <w:trPr>
          <w:trHeight w:val="189"/>
        </w:trPr>
        <w:tc>
          <w:tcPr>
            <w:tcW w:w="4920" w:type="dxa"/>
            <w:vAlign w:val="bottom"/>
          </w:tcPr>
          <w:p>
            <w:pPr>
              <w:ind w:left="420"/>
              <w:spacing w:after="0"/>
              <w:rPr>
                <w:sz w:val="20"/>
                <w:szCs w:val="20"/>
                <w:color w:val="auto"/>
              </w:rPr>
            </w:pPr>
            <w:r>
              <w:rPr>
                <w:rFonts w:ascii="Arial" w:cs="Arial" w:eastAsia="Arial" w:hAnsi="Arial"/>
                <w:sz w:val="16"/>
                <w:szCs w:val="16"/>
                <w:color w:val="auto"/>
              </w:rPr>
              <w:t>require above-median TSR performance to earn a target</w:t>
            </w:r>
          </w:p>
        </w:tc>
        <w:tc>
          <w:tcPr>
            <w:tcW w:w="48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payout</w:t>
            </w: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Double trigger </w:t>
            </w:r>
            <w:r>
              <w:rPr>
                <w:rFonts w:ascii="Arial" w:cs="Arial" w:eastAsia="Arial" w:hAnsi="Arial"/>
                <w:sz w:val="16"/>
                <w:szCs w:val="16"/>
                <w:color w:val="auto"/>
              </w:rPr>
              <w:t>change in control provisions</w:t>
            </w:r>
          </w:p>
        </w:tc>
        <w:tc>
          <w:tcPr>
            <w:tcW w:w="4800" w:type="dxa"/>
            <w:vAlign w:val="bottom"/>
            <w:tcBorders>
              <w:bottom w:val="single" w:sz="8" w:color="auto"/>
            </w:tcBorders>
            <w:gridSpan w:val="4"/>
          </w:tcPr>
          <w:p>
            <w:pPr>
              <w:ind w:left="120"/>
              <w:spacing w:after="0" w:line="196" w:lineRule="exact"/>
              <w:rPr>
                <w:sz w:val="20"/>
                <w:szCs w:val="20"/>
                <w:color w:val="auto"/>
              </w:rPr>
            </w:pPr>
            <w:r>
              <w:rPr>
                <w:rFonts w:ascii="MS PGothic" w:cs="MS PGothic" w:eastAsia="MS PGothic" w:hAnsi="MS PGothic"/>
                <w:sz w:val="17"/>
                <w:szCs w:val="17"/>
                <w:color w:val="E82605"/>
              </w:rPr>
              <w:t>✕</w:t>
            </w:r>
            <w:r>
              <w:rPr>
                <w:rFonts w:ascii="Arial" w:cs="Arial" w:eastAsia="Arial" w:hAnsi="Arial"/>
                <w:sz w:val="16"/>
                <w:szCs w:val="16"/>
                <w:color w:val="auto"/>
              </w:rPr>
              <w:t xml:space="preserve"> Provide guaranteed bonuses or uncapped incentives</w:t>
            </w:r>
          </w:p>
        </w:tc>
        <w:tc>
          <w:tcPr>
            <w:tcW w:w="0" w:type="dxa"/>
            <w:vAlign w:val="bottom"/>
          </w:tcPr>
          <w:p>
            <w:pPr>
              <w:spacing w:after="0"/>
              <w:rPr>
                <w:sz w:val="1"/>
                <w:szCs w:val="1"/>
                <w:color w:val="auto"/>
              </w:rPr>
            </w:pPr>
          </w:p>
        </w:tc>
      </w:tr>
      <w:tr>
        <w:trPr>
          <w:trHeight w:val="211"/>
        </w:trPr>
        <w:tc>
          <w:tcPr>
            <w:tcW w:w="4920" w:type="dxa"/>
            <w:vAlign w:val="bottom"/>
          </w:tcPr>
          <w:p>
            <w:pPr>
              <w:ind w:left="420"/>
              <w:spacing w:after="0"/>
              <w:rPr>
                <w:sz w:val="20"/>
                <w:szCs w:val="20"/>
                <w:color w:val="auto"/>
              </w:rPr>
            </w:pPr>
            <w:r>
              <w:rPr>
                <w:rFonts w:ascii="Arial" w:cs="Arial" w:eastAsia="Arial" w:hAnsi="Arial"/>
                <w:sz w:val="16"/>
                <w:szCs w:val="16"/>
                <w:color w:val="auto"/>
              </w:rPr>
              <w:t xml:space="preserve">Maintain a </w:t>
            </w:r>
            <w:r>
              <w:rPr>
                <w:rFonts w:ascii="Arial" w:cs="Arial" w:eastAsia="Arial" w:hAnsi="Arial"/>
                <w:sz w:val="16"/>
                <w:szCs w:val="16"/>
                <w:b w:val="1"/>
                <w:bCs w:val="1"/>
                <w:color w:val="auto"/>
              </w:rPr>
              <w:t>robust clawback policy</w:t>
            </w:r>
            <w:r>
              <w:rPr>
                <w:rFonts w:ascii="Arial" w:cs="Arial" w:eastAsia="Arial" w:hAnsi="Arial"/>
                <w:sz w:val="16"/>
                <w:szCs w:val="16"/>
                <w:color w:val="auto"/>
              </w:rPr>
              <w:t xml:space="preserve">, and </w:t>
            </w:r>
            <w:r>
              <w:rPr>
                <w:rFonts w:ascii="Arial" w:cs="Arial" w:eastAsia="Arial" w:hAnsi="Arial"/>
                <w:sz w:val="16"/>
                <w:szCs w:val="16"/>
                <w:b w:val="1"/>
                <w:bCs w:val="1"/>
                <w:color w:val="auto"/>
              </w:rPr>
              <w:t>rigorous stock</w:t>
            </w: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E82605"/>
              </w:rPr>
              <w:t>✕</w:t>
            </w:r>
          </w:p>
        </w:tc>
        <w:tc>
          <w:tcPr>
            <w:tcW w:w="4460" w:type="dxa"/>
            <w:vAlign w:val="bottom"/>
            <w:gridSpan w:val="3"/>
          </w:tcPr>
          <w:p>
            <w:pPr>
              <w:ind w:left="80"/>
              <w:spacing w:after="0"/>
              <w:rPr>
                <w:sz w:val="20"/>
                <w:szCs w:val="20"/>
                <w:color w:val="auto"/>
              </w:rPr>
            </w:pPr>
            <w:r>
              <w:rPr>
                <w:rFonts w:ascii="Arial" w:cs="Arial" w:eastAsia="Arial" w:hAnsi="Arial"/>
                <w:sz w:val="16"/>
                <w:szCs w:val="16"/>
                <w:color w:val="auto"/>
              </w:rPr>
              <w:t>Pay tax gross ups, except for standard expatriate tax</w:t>
            </w:r>
          </w:p>
        </w:tc>
        <w:tc>
          <w:tcPr>
            <w:tcW w:w="0" w:type="dxa"/>
            <w:vAlign w:val="bottom"/>
          </w:tcPr>
          <w:p>
            <w:pPr>
              <w:spacing w:after="0"/>
              <w:rPr>
                <w:sz w:val="1"/>
                <w:szCs w:val="1"/>
                <w:color w:val="auto"/>
              </w:rPr>
            </w:pPr>
          </w:p>
        </w:tc>
      </w:tr>
      <w:tr>
        <w:trPr>
          <w:trHeight w:val="214"/>
        </w:trPr>
        <w:tc>
          <w:tcPr>
            <w:tcW w:w="49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 xml:space="preserve">ownership requirements </w:t>
            </w:r>
            <w:r>
              <w:rPr>
                <w:rFonts w:ascii="Arial" w:cs="Arial" w:eastAsia="Arial" w:hAnsi="Arial"/>
                <w:sz w:val="16"/>
                <w:szCs w:val="16"/>
                <w:color w:val="auto"/>
              </w:rPr>
              <w:t>for our officers and directors</w:t>
            </w:r>
          </w:p>
        </w:tc>
        <w:tc>
          <w:tcPr>
            <w:tcW w:w="34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rPr>
              <w:t>equalization benefits available to all similar employees</w:t>
            </w:r>
          </w:p>
        </w:tc>
        <w:tc>
          <w:tcPr>
            <w:tcW w:w="0" w:type="dxa"/>
            <w:vAlign w:val="bottom"/>
          </w:tcPr>
          <w:p>
            <w:pPr>
              <w:spacing w:after="0"/>
              <w:rPr>
                <w:sz w:val="1"/>
                <w:szCs w:val="1"/>
                <w:color w:val="auto"/>
              </w:rPr>
            </w:pPr>
          </w:p>
        </w:tc>
      </w:tr>
      <w:tr>
        <w:trPr>
          <w:trHeight w:val="211"/>
        </w:trPr>
        <w:tc>
          <w:tcPr>
            <w:tcW w:w="4920" w:type="dxa"/>
            <w:vAlign w:val="bottom"/>
          </w:tcPr>
          <w:p>
            <w:pPr>
              <w:ind w:left="420"/>
              <w:spacing w:after="0"/>
              <w:rPr>
                <w:sz w:val="20"/>
                <w:szCs w:val="20"/>
                <w:color w:val="auto"/>
              </w:rPr>
            </w:pPr>
            <w:r>
              <w:rPr>
                <w:rFonts w:ascii="Arial" w:cs="Arial" w:eastAsia="Arial" w:hAnsi="Arial"/>
                <w:sz w:val="16"/>
                <w:szCs w:val="16"/>
                <w:color w:val="auto"/>
              </w:rPr>
              <w:t xml:space="preserve">Use an </w:t>
            </w:r>
            <w:r>
              <w:rPr>
                <w:rFonts w:ascii="Arial" w:cs="Arial" w:eastAsia="Arial" w:hAnsi="Arial"/>
                <w:sz w:val="16"/>
                <w:szCs w:val="16"/>
                <w:b w:val="1"/>
                <w:bCs w:val="1"/>
                <w:color w:val="auto"/>
              </w:rPr>
              <w:t>independent</w:t>
            </w:r>
            <w:r>
              <w:rPr>
                <w:rFonts w:ascii="Arial" w:cs="Arial" w:eastAsia="Arial" w:hAnsi="Arial"/>
                <w:sz w:val="16"/>
                <w:szCs w:val="16"/>
                <w:color w:val="auto"/>
              </w:rPr>
              <w:t>, external compensation consultant, and</w:t>
            </w: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E82605"/>
              </w:rPr>
              <w:t>✕</w:t>
            </w:r>
          </w:p>
        </w:tc>
        <w:tc>
          <w:tcPr>
            <w:tcW w:w="4460" w:type="dxa"/>
            <w:vAlign w:val="bottom"/>
            <w:gridSpan w:val="3"/>
          </w:tcPr>
          <w:p>
            <w:pPr>
              <w:ind w:left="80"/>
              <w:spacing w:after="0"/>
              <w:rPr>
                <w:sz w:val="20"/>
                <w:szCs w:val="20"/>
                <w:color w:val="auto"/>
              </w:rPr>
            </w:pPr>
            <w:r>
              <w:rPr>
                <w:rFonts w:ascii="Arial" w:cs="Arial" w:eastAsia="Arial" w:hAnsi="Arial"/>
                <w:sz w:val="16"/>
                <w:szCs w:val="16"/>
                <w:color w:val="auto"/>
              </w:rPr>
              <w:t>Allow pledging or hedging of Company securities by</w:t>
            </w:r>
          </w:p>
        </w:tc>
        <w:tc>
          <w:tcPr>
            <w:tcW w:w="0" w:type="dxa"/>
            <w:vAlign w:val="bottom"/>
          </w:tcPr>
          <w:p>
            <w:pPr>
              <w:spacing w:after="0"/>
              <w:rPr>
                <w:sz w:val="1"/>
                <w:szCs w:val="1"/>
                <w:color w:val="auto"/>
              </w:rPr>
            </w:pPr>
          </w:p>
        </w:tc>
      </w:tr>
      <w:tr>
        <w:trPr>
          <w:trHeight w:val="214"/>
        </w:trPr>
        <w:tc>
          <w:tcPr>
            <w:tcW w:w="49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all members of the MD&amp;C Committee are independent</w:t>
            </w:r>
          </w:p>
        </w:tc>
        <w:tc>
          <w:tcPr>
            <w:tcW w:w="34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rPr>
              <w:t>directors or executive officers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-1731010</wp:posOffset>
            </wp:positionV>
            <wp:extent cx="85725" cy="774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-1388110</wp:posOffset>
            </wp:positionV>
            <wp:extent cx="85725" cy="774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-985520</wp:posOffset>
            </wp:positionV>
            <wp:extent cx="85725" cy="774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-694055</wp:posOffset>
            </wp:positionV>
            <wp:extent cx="85725" cy="774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-471170</wp:posOffset>
            </wp:positionV>
            <wp:extent cx="85725" cy="774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-187960</wp:posOffset>
            </wp:positionV>
            <wp:extent cx="85725" cy="768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7683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What Guides Our Program</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APA’s Guiding Principles and Executive Compensation Philosophy</w:t>
      </w:r>
    </w:p>
    <w:p>
      <w:pPr>
        <w:spacing w:after="0" w:line="112"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The executive compensation program is designed to keep our senior leadership team focused on executing the Company’s strategic plan, with the goal of delivering shareholder value over the long term. As such, executive compensation program decisions are grounded in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172200" cy="13455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72200" cy="1345565"/>
                    </a:xfrm>
                    <a:prstGeom prst="rect">
                      <a:avLst/>
                    </a:prstGeom>
                    <a:noFill/>
                  </pic:spPr>
                </pic:pic>
              </a:graphicData>
            </a:graphic>
          </wp:anchor>
        </w:drawing>
      </w:r>
    </w:p>
    <w:p>
      <w:pPr>
        <w:spacing w:after="0" w:line="124" w:lineRule="exact"/>
        <w:rPr>
          <w:sz w:val="20"/>
          <w:szCs w:val="20"/>
          <w:color w:val="auto"/>
        </w:rPr>
      </w:pPr>
    </w:p>
    <w:p>
      <w:pPr>
        <w:ind w:left="1360" w:right="60"/>
        <w:spacing w:after="0" w:line="266" w:lineRule="auto"/>
        <w:rPr>
          <w:sz w:val="20"/>
          <w:szCs w:val="20"/>
          <w:color w:val="auto"/>
        </w:rPr>
      </w:pPr>
      <w:r>
        <w:rPr>
          <w:rFonts w:ascii="Arial" w:cs="Arial" w:eastAsia="Arial" w:hAnsi="Arial"/>
          <w:sz w:val="16"/>
          <w:szCs w:val="16"/>
          <w:b w:val="1"/>
          <w:bCs w:val="1"/>
          <w:color w:val="auto"/>
        </w:rPr>
        <w:t xml:space="preserve">Alignment with shareholder interests. </w:t>
      </w:r>
      <w:r>
        <w:rPr>
          <w:rFonts w:ascii="Arial" w:cs="Arial" w:eastAsia="Arial" w:hAnsi="Arial"/>
          <w:sz w:val="16"/>
          <w:szCs w:val="16"/>
          <w:color w:val="auto"/>
        </w:rPr>
        <w:t>Executives should be compensated through market-competitive pay</w:t>
      </w:r>
      <w:r>
        <w:rPr>
          <w:rFonts w:ascii="Arial" w:cs="Arial" w:eastAsia="Arial" w:hAnsi="Arial"/>
          <w:sz w:val="16"/>
          <w:szCs w:val="16"/>
          <w:b w:val="1"/>
          <w:bCs w:val="1"/>
          <w:color w:val="auto"/>
        </w:rPr>
        <w:t xml:space="preserve"> </w:t>
      </w:r>
      <w:r>
        <w:rPr>
          <w:rFonts w:ascii="Arial" w:cs="Arial" w:eastAsia="Arial" w:hAnsi="Arial"/>
          <w:sz w:val="16"/>
          <w:szCs w:val="16"/>
          <w:color w:val="auto"/>
        </w:rPr>
        <w:t>elements based on short-term and long-term performance goals that align executive compensation with the creation of long-term value for our shareholders.</w:t>
      </w:r>
    </w:p>
    <w:p>
      <w:pPr>
        <w:spacing w:after="0" w:line="90" w:lineRule="exact"/>
        <w:rPr>
          <w:sz w:val="20"/>
          <w:szCs w:val="20"/>
          <w:color w:val="auto"/>
        </w:rPr>
      </w:pPr>
    </w:p>
    <w:p>
      <w:pPr>
        <w:jc w:val="both"/>
        <w:ind w:left="1360"/>
        <w:spacing w:after="0" w:line="266" w:lineRule="auto"/>
        <w:rPr>
          <w:sz w:val="20"/>
          <w:szCs w:val="20"/>
          <w:color w:val="auto"/>
        </w:rPr>
      </w:pPr>
      <w:r>
        <w:rPr>
          <w:rFonts w:ascii="Arial" w:cs="Arial" w:eastAsia="Arial" w:hAnsi="Arial"/>
          <w:sz w:val="16"/>
          <w:szCs w:val="16"/>
          <w:b w:val="1"/>
          <w:bCs w:val="1"/>
          <w:color w:val="auto"/>
        </w:rPr>
        <w:t xml:space="preserve">Pay for performance. </w:t>
      </w:r>
      <w:r>
        <w:rPr>
          <w:rFonts w:ascii="Arial" w:cs="Arial" w:eastAsia="Arial" w:hAnsi="Arial"/>
          <w:sz w:val="16"/>
          <w:szCs w:val="16"/>
          <w:color w:val="auto"/>
        </w:rPr>
        <w:t>A substantial portion of executives’ compensation should be linked to the achievement of pre-determined financial, operational, and other key strategic metrics with challenging performance targets that align with APA’s business strategy and long-term objectives.</w:t>
      </w:r>
    </w:p>
    <w:p>
      <w:pPr>
        <w:spacing w:after="0" w:line="90" w:lineRule="exact"/>
        <w:rPr>
          <w:sz w:val="20"/>
          <w:szCs w:val="20"/>
          <w:color w:val="auto"/>
        </w:rPr>
      </w:pPr>
    </w:p>
    <w:p>
      <w:pPr>
        <w:ind w:left="1360" w:right="40"/>
        <w:spacing w:after="0" w:line="266" w:lineRule="auto"/>
        <w:rPr>
          <w:sz w:val="20"/>
          <w:szCs w:val="20"/>
          <w:color w:val="auto"/>
        </w:rPr>
      </w:pPr>
      <w:r>
        <w:rPr>
          <w:rFonts w:ascii="Arial" w:cs="Arial" w:eastAsia="Arial" w:hAnsi="Arial"/>
          <w:sz w:val="16"/>
          <w:szCs w:val="16"/>
          <w:b w:val="1"/>
          <w:bCs w:val="1"/>
          <w:color w:val="auto"/>
        </w:rPr>
        <w:t xml:space="preserve">Commitment to Environmental, Health, and Safety (EH&amp;S) goals. </w:t>
      </w:r>
      <w:r>
        <w:rPr>
          <w:rFonts w:ascii="Arial" w:cs="Arial" w:eastAsia="Arial" w:hAnsi="Arial"/>
          <w:sz w:val="16"/>
          <w:szCs w:val="16"/>
          <w:color w:val="auto"/>
        </w:rPr>
        <w:t>Our program should include quantifiable</w:t>
      </w:r>
      <w:r>
        <w:rPr>
          <w:rFonts w:ascii="Arial" w:cs="Arial" w:eastAsia="Arial" w:hAnsi="Arial"/>
          <w:sz w:val="16"/>
          <w:szCs w:val="16"/>
          <w:b w:val="1"/>
          <w:bCs w:val="1"/>
          <w:color w:val="auto"/>
        </w:rPr>
        <w:t xml:space="preserve"> </w:t>
      </w:r>
      <w:r>
        <w:rPr>
          <w:rFonts w:ascii="Arial" w:cs="Arial" w:eastAsia="Arial" w:hAnsi="Arial"/>
          <w:sz w:val="16"/>
          <w:szCs w:val="16"/>
          <w:color w:val="auto"/>
        </w:rPr>
        <w:t>EH&amp;S goals, the achievement of which impact actual incentive award payouts. Considerable focus should be on metrics that demonstrate our commitment to worker safety and to measurable improvements in emissions reduction.</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32" w:right="1099" w:bottom="1440" w:gutter="0" w:footer="0" w:header="0"/>
        </w:sectPr>
      </w:pPr>
    </w:p>
    <w:bookmarkStart w:id="25" w:name="page26"/>
    <w:bookmarkEnd w:id="25"/>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Executive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primary components of compensation support our 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6172200" cy="5657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72200" cy="565785"/>
                    </a:xfrm>
                    <a:prstGeom prst="rect">
                      <a:avLst/>
                    </a:prstGeom>
                    <a:noFill/>
                  </pic:spPr>
                </pic:pic>
              </a:graphicData>
            </a:graphic>
          </wp:anchor>
        </w:drawing>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Co</w:t>
      </w:r>
    </w:p>
    <w:p>
      <w:pPr>
        <w:ind w:left="460"/>
        <w:spacing w:after="0" w:line="182" w:lineRule="auto"/>
        <w:tabs>
          <w:tab w:leader="none" w:pos="4040" w:val="left"/>
        </w:tabs>
        <w:rPr>
          <w:sz w:val="20"/>
          <w:szCs w:val="20"/>
          <w:color w:val="auto"/>
        </w:rPr>
      </w:pPr>
      <w:r>
        <w:rPr>
          <w:rFonts w:ascii="Arial" w:cs="Arial" w:eastAsia="Arial" w:hAnsi="Arial"/>
          <w:sz w:val="24"/>
          <w:szCs w:val="24"/>
          <w:b w:val="1"/>
          <w:bCs w:val="1"/>
          <w:color w:val="auto"/>
          <w:vertAlign w:val="superscript"/>
        </w:rPr>
        <w:t>mp</w:t>
      </w:r>
      <w:r>
        <w:rPr>
          <w:rFonts w:ascii="Arial" w:cs="Arial" w:eastAsia="Arial" w:hAnsi="Arial"/>
          <w:sz w:val="13"/>
          <w:szCs w:val="13"/>
          <w:b w:val="1"/>
          <w:bCs w:val="1"/>
          <w:color w:val="auto"/>
        </w:rPr>
        <w:t xml:space="preserve">  Purpose</w:t>
      </w:r>
      <w:r>
        <w:rPr>
          <w:sz w:val="20"/>
          <w:szCs w:val="20"/>
          <w:color w:val="auto"/>
        </w:rPr>
        <w:tab/>
      </w:r>
      <w:r>
        <w:rPr>
          <w:rFonts w:ascii="Arial" w:cs="Arial" w:eastAsia="Arial" w:hAnsi="Arial"/>
          <w:sz w:val="15"/>
          <w:szCs w:val="15"/>
          <w:b w:val="1"/>
          <w:bCs w:val="1"/>
          <w:color w:val="auto"/>
        </w:rPr>
        <w:t>Key Features</w:t>
      </w:r>
    </w:p>
    <w:p>
      <w:pPr>
        <w:ind w:left="460"/>
        <w:spacing w:after="0" w:line="180" w:lineRule="auto"/>
        <w:rPr>
          <w:sz w:val="20"/>
          <w:szCs w:val="20"/>
          <w:color w:val="auto"/>
        </w:rPr>
      </w:pPr>
      <w:r>
        <w:rPr>
          <w:rFonts w:ascii="Arial" w:cs="Arial" w:eastAsia="Arial" w:hAnsi="Arial"/>
          <w:sz w:val="24"/>
          <w:szCs w:val="24"/>
          <w:b w:val="1"/>
          <w:bCs w:val="1"/>
          <w:color w:val="auto"/>
          <w:vertAlign w:val="subscript"/>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6172200" cy="6111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72200" cy="6111875"/>
                    </a:xfrm>
                    <a:prstGeom prst="rect">
                      <a:avLst/>
                    </a:prstGeom>
                    <a:noFill/>
                  </pic:spPr>
                </pic:pic>
              </a:graphicData>
            </a:graphic>
          </wp:anchor>
        </w:drawing>
      </w:r>
    </w:p>
    <w:p>
      <w:pPr>
        <w:sectPr>
          <w:pgSz w:w="11900" w:h="16870" w:orient="portrait"/>
          <w:cols w:equalWidth="0" w:num="1">
            <w:col w:w="9720"/>
          </w:cols>
          <w:pgMar w:left="1080" w:top="1218" w:right="1099" w:bottom="0" w:gutter="0" w:footer="0" w:header="0"/>
        </w:sectPr>
      </w:pPr>
    </w:p>
    <w:p>
      <w:pPr>
        <w:spacing w:after="0" w:line="277" w:lineRule="exact"/>
        <w:rPr>
          <w:sz w:val="20"/>
          <w:szCs w:val="20"/>
          <w:color w:val="auto"/>
        </w:rPr>
      </w:pPr>
    </w:p>
    <w:p>
      <w:pPr>
        <w:jc w:val="both"/>
        <w:ind w:left="520" w:firstLine="5"/>
        <w:spacing w:after="0" w:line="253" w:lineRule="auto"/>
        <w:tabs>
          <w:tab w:leader="none" w:pos="833" w:val="left"/>
        </w:tabs>
        <w:numPr>
          <w:ilvl w:val="0"/>
          <w:numId w:val="87"/>
        </w:numPr>
        <w:rPr>
          <w:rFonts w:ascii="Arial" w:cs="Arial" w:eastAsia="Arial" w:hAnsi="Arial"/>
          <w:sz w:val="16"/>
          <w:szCs w:val="16"/>
          <w:b w:val="1"/>
          <w:bCs w:val="1"/>
          <w:color w:val="FFFFFF"/>
        </w:rPr>
      </w:pPr>
      <w:r>
        <w:rPr>
          <w:rFonts w:ascii="Arial" w:cs="Arial" w:eastAsia="Arial" w:hAnsi="Arial"/>
          <w:sz w:val="16"/>
          <w:szCs w:val="16"/>
          <w:color w:val="auto"/>
        </w:rPr>
        <w:t xml:space="preserve">Provide market-competitive base pay, </w:t>
      </w:r>
      <w:r>
        <w:rPr>
          <w:rFonts w:ascii="Arial" w:cs="Arial" w:eastAsia="Arial" w:hAnsi="Arial"/>
          <w:sz w:val="16"/>
          <w:szCs w:val="16"/>
          <w:b w:val="1"/>
          <w:bCs w:val="1"/>
          <w:color w:val="FFFFFF"/>
        </w:rPr>
        <w:t xml:space="preserve">as </w:t>
      </w:r>
      <w:r>
        <w:rPr>
          <w:rFonts w:ascii="Arial" w:cs="Arial" w:eastAsia="Arial" w:hAnsi="Arial"/>
          <w:sz w:val="16"/>
          <w:szCs w:val="16"/>
          <w:color w:val="000000"/>
        </w:rPr>
        <w:t>reflective of an executive officer’s role,</w:t>
      </w:r>
      <w:r>
        <w:rPr>
          <w:rFonts w:ascii="Arial" w:cs="Arial" w:eastAsia="Arial" w:hAnsi="Arial"/>
          <w:sz w:val="16"/>
          <w:szCs w:val="16"/>
          <w:b w:val="1"/>
          <w:bCs w:val="1"/>
          <w:color w:val="FFFFFF"/>
        </w:rPr>
        <w:t xml:space="preserve"> e </w:t>
      </w:r>
      <w:r>
        <w:rPr>
          <w:rFonts w:ascii="Arial" w:cs="Arial" w:eastAsia="Arial" w:hAnsi="Arial"/>
          <w:sz w:val="16"/>
          <w:szCs w:val="16"/>
          <w:color w:val="000000"/>
        </w:rPr>
        <w:t>responsibilities, and individual</w:t>
      </w:r>
    </w:p>
    <w:p>
      <w:pPr>
        <w:spacing w:after="0" w:line="1" w:lineRule="exact"/>
        <w:rPr>
          <w:rFonts w:ascii="Arial" w:cs="Arial" w:eastAsia="Arial" w:hAnsi="Arial"/>
          <w:sz w:val="16"/>
          <w:szCs w:val="16"/>
          <w:b w:val="1"/>
          <w:bCs w:val="1"/>
          <w:color w:val="FFFFFF"/>
        </w:rPr>
      </w:pPr>
    </w:p>
    <w:p>
      <w:pPr>
        <w:ind w:left="520" w:right="100"/>
        <w:spacing w:after="0" w:line="246" w:lineRule="auto"/>
        <w:rPr>
          <w:rFonts w:ascii="Arial" w:cs="Arial" w:eastAsia="Arial" w:hAnsi="Arial"/>
          <w:sz w:val="16"/>
          <w:szCs w:val="16"/>
          <w:b w:val="1"/>
          <w:bCs w:val="1"/>
          <w:color w:val="FFFFFF"/>
        </w:rPr>
      </w:pPr>
      <w:r>
        <w:rPr>
          <w:rFonts w:ascii="Arial" w:cs="Arial" w:eastAsia="Arial" w:hAnsi="Arial"/>
          <w:sz w:val="16"/>
          <w:szCs w:val="16"/>
          <w:b w:val="1"/>
          <w:bCs w:val="1"/>
          <w:color w:val="FFFFFF"/>
        </w:rPr>
        <w:t xml:space="preserve">S </w:t>
      </w:r>
      <w:r>
        <w:rPr>
          <w:rFonts w:ascii="Arial" w:cs="Arial" w:eastAsia="Arial" w:hAnsi="Arial"/>
          <w:sz w:val="16"/>
          <w:szCs w:val="16"/>
          <w:color w:val="000000"/>
        </w:rPr>
        <w:t>performance to attract and retain</w:t>
      </w:r>
      <w:r>
        <w:rPr>
          <w:rFonts w:ascii="Arial" w:cs="Arial" w:eastAsia="Arial" w:hAnsi="Arial"/>
          <w:sz w:val="16"/>
          <w:szCs w:val="16"/>
          <w:b w:val="1"/>
          <w:bCs w:val="1"/>
          <w:color w:val="FFFFFF"/>
        </w:rPr>
        <w:t xml:space="preserve"> </w:t>
      </w:r>
      <w:r>
        <w:rPr>
          <w:rFonts w:ascii="Arial" w:cs="Arial" w:eastAsia="Arial" w:hAnsi="Arial"/>
          <w:sz w:val="16"/>
          <w:szCs w:val="16"/>
          <w:b w:val="1"/>
          <w:bCs w:val="1"/>
          <w:color w:val="000000"/>
        </w:rPr>
        <w:t>top</w:t>
      </w:r>
      <w:r>
        <w:rPr>
          <w:rFonts w:ascii="Arial" w:cs="Arial" w:eastAsia="Arial" w:hAnsi="Arial"/>
          <w:sz w:val="16"/>
          <w:szCs w:val="16"/>
          <w:b w:val="1"/>
          <w:bCs w:val="1"/>
          <w:color w:val="FFFFFF"/>
        </w:rPr>
        <w:t xml:space="preserve"> al </w:t>
      </w:r>
      <w:r>
        <w:rPr>
          <w:rFonts w:ascii="Arial" w:cs="Arial" w:eastAsia="Arial" w:hAnsi="Arial"/>
          <w:sz w:val="16"/>
          <w:szCs w:val="16"/>
          <w:b w:val="1"/>
          <w:bCs w:val="1"/>
          <w:color w:val="000000"/>
        </w:rPr>
        <w:t>talent</w:t>
      </w:r>
    </w:p>
    <w:p>
      <w:pPr>
        <w:ind w:left="520" w:right="2900"/>
        <w:spacing w:after="0" w:line="276" w:lineRule="auto"/>
        <w:rPr>
          <w:rFonts w:ascii="Arial" w:cs="Arial" w:eastAsia="Arial" w:hAnsi="Arial"/>
          <w:sz w:val="16"/>
          <w:szCs w:val="16"/>
          <w:b w:val="1"/>
          <w:bCs w:val="1"/>
          <w:color w:val="FFFFFF"/>
        </w:rPr>
      </w:pPr>
      <w:r>
        <w:rPr>
          <w:rFonts w:ascii="Arial" w:cs="Arial" w:eastAsia="Arial" w:hAnsi="Arial"/>
          <w:sz w:val="16"/>
          <w:szCs w:val="16"/>
          <w:b w:val="1"/>
          <w:bCs w:val="1"/>
          <w:color w:val="FFFFFF"/>
        </w:rPr>
        <w:t>ar y</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235" w:right="960" w:hanging="235"/>
        <w:spacing w:after="0" w:line="256" w:lineRule="auto"/>
        <w:tabs>
          <w:tab w:leader="none" w:pos="223" w:val="left"/>
        </w:tabs>
        <w:numPr>
          <w:ilvl w:val="0"/>
          <w:numId w:val="88"/>
        </w:numPr>
        <w:rPr>
          <w:rFonts w:ascii="Arial" w:cs="Arial" w:eastAsia="Arial" w:hAnsi="Arial"/>
          <w:sz w:val="18"/>
          <w:szCs w:val="18"/>
          <w:color w:val="auto"/>
        </w:rPr>
      </w:pPr>
      <w:r>
        <w:rPr>
          <w:rFonts w:ascii="Arial" w:cs="Arial" w:eastAsia="Arial" w:hAnsi="Arial"/>
          <w:sz w:val="16"/>
          <w:szCs w:val="16"/>
          <w:b w:val="1"/>
          <w:bCs w:val="1"/>
          <w:color w:val="auto"/>
        </w:rPr>
        <w:t xml:space="preserve">Reviewed annually </w:t>
      </w:r>
      <w:r>
        <w:rPr>
          <w:rFonts w:ascii="Arial" w:cs="Arial" w:eastAsia="Arial" w:hAnsi="Arial"/>
          <w:sz w:val="16"/>
          <w:szCs w:val="16"/>
          <w:color w:val="auto"/>
        </w:rPr>
        <w:t>based on market data, internal equity, job</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and individual performance</w:t>
      </w:r>
    </w:p>
    <w:p>
      <w:pPr>
        <w:spacing w:after="0" w:line="1009" w:lineRule="exact"/>
        <w:rPr>
          <w:sz w:val="20"/>
          <w:szCs w:val="20"/>
          <w:color w:val="auto"/>
        </w:rPr>
      </w:pPr>
    </w:p>
    <w:p>
      <w:pPr>
        <w:sectPr>
          <w:pgSz w:w="11900" w:h="16870" w:orient="portrait"/>
          <w:cols w:equalWidth="0" w:num="2">
            <w:col w:w="3580" w:space="485"/>
            <w:col w:w="5655"/>
          </w:cols>
          <w:pgMar w:left="1080" w:top="1218" w:right="1099" w:bottom="0" w:gutter="0" w:footer="0" w:header="0"/>
          <w:type w:val="continuous"/>
        </w:sectPr>
      </w:pPr>
    </w:p>
    <w:p>
      <w:pPr>
        <w:ind w:left="840" w:hanging="315"/>
        <w:spacing w:after="0"/>
        <w:tabs>
          <w:tab w:leader="none" w:pos="840" w:val="left"/>
        </w:tabs>
        <w:numPr>
          <w:ilvl w:val="0"/>
          <w:numId w:val="89"/>
        </w:numPr>
        <w:rPr>
          <w:rFonts w:ascii="Arial" w:cs="Arial" w:eastAsia="Arial" w:hAnsi="Arial"/>
          <w:sz w:val="16"/>
          <w:szCs w:val="16"/>
          <w:b w:val="1"/>
          <w:bCs w:val="1"/>
          <w:color w:val="FFFFFF"/>
        </w:rPr>
      </w:pPr>
      <w:r>
        <w:rPr>
          <w:rFonts w:ascii="Arial" w:cs="Arial" w:eastAsia="Arial" w:hAnsi="Arial"/>
          <w:sz w:val="16"/>
          <w:szCs w:val="16"/>
          <w:color w:val="auto"/>
        </w:rPr>
        <w:t>Focus executive officers on achieving</w:t>
      </w:r>
      <w:r>
        <w:rPr>
          <w:rFonts w:ascii="Arial" w:cs="Arial" w:eastAsia="Arial" w:hAnsi="Arial"/>
          <w:sz w:val="18"/>
          <w:szCs w:val="18"/>
          <w:color w:val="auto"/>
        </w:rPr>
        <w:t xml:space="preserve">● </w:t>
      </w:r>
      <w:r>
        <w:rPr>
          <w:rFonts w:ascii="Arial" w:cs="Arial" w:eastAsia="Arial" w:hAnsi="Arial"/>
          <w:sz w:val="16"/>
          <w:szCs w:val="16"/>
          <w:color w:val="auto"/>
        </w:rPr>
        <w:t>Based on the achievement of pre-determined corporate performance</w:t>
      </w:r>
    </w:p>
    <w:tbl>
      <w:tblPr>
        <w:tblLayout w:type="fixed"/>
        <w:tblInd w:w="520" w:type="dxa"/>
        <w:tblCellMar>
          <w:top w:w="0" w:type="dxa"/>
          <w:left w:w="0" w:type="dxa"/>
          <w:bottom w:w="0" w:type="dxa"/>
          <w:right w:w="0" w:type="dxa"/>
        </w:tblCellMar>
      </w:tblPr>
      <w:tr>
        <w:trPr>
          <w:trHeight w:val="176"/>
        </w:trPr>
        <w:tc>
          <w:tcPr>
            <w:tcW w:w="220" w:type="dxa"/>
            <w:vAlign w:val="bottom"/>
          </w:tcPr>
          <w:p>
            <w:pPr>
              <w:spacing w:after="0" w:line="176" w:lineRule="exact"/>
              <w:rPr>
                <w:sz w:val="20"/>
                <w:szCs w:val="20"/>
                <w:color w:val="auto"/>
              </w:rPr>
            </w:pPr>
            <w:r>
              <w:rPr>
                <w:rFonts w:ascii="Arial" w:cs="Arial" w:eastAsia="Arial" w:hAnsi="Arial"/>
                <w:sz w:val="16"/>
                <w:szCs w:val="16"/>
                <w:b w:val="1"/>
                <w:bCs w:val="1"/>
                <w:color w:val="FFFFFF"/>
              </w:rPr>
              <w:t>n</w:t>
            </w:r>
          </w:p>
        </w:tc>
        <w:tc>
          <w:tcPr>
            <w:tcW w:w="3260" w:type="dxa"/>
            <w:vAlign w:val="bottom"/>
          </w:tcPr>
          <w:p>
            <w:pPr>
              <w:ind w:left="100"/>
              <w:spacing w:after="0" w:line="176" w:lineRule="exact"/>
              <w:rPr>
                <w:sz w:val="20"/>
                <w:szCs w:val="20"/>
                <w:color w:val="auto"/>
              </w:rPr>
            </w:pPr>
            <w:r>
              <w:rPr>
                <w:rFonts w:ascii="Arial" w:cs="Arial" w:eastAsia="Arial" w:hAnsi="Arial"/>
                <w:sz w:val="16"/>
                <w:szCs w:val="16"/>
                <w:color w:val="auto"/>
              </w:rPr>
              <w:t>annual financial, operational, and other key</w:t>
            </w:r>
          </w:p>
        </w:tc>
        <w:tc>
          <w:tcPr>
            <w:tcW w:w="5360" w:type="dxa"/>
            <w:vAlign w:val="bottom"/>
          </w:tcPr>
          <w:p>
            <w:pPr>
              <w:ind w:left="300"/>
              <w:spacing w:after="0" w:line="176" w:lineRule="exact"/>
              <w:rPr>
                <w:sz w:val="20"/>
                <w:szCs w:val="20"/>
                <w:color w:val="auto"/>
              </w:rPr>
            </w:pPr>
            <w:r>
              <w:rPr>
                <w:rFonts w:ascii="Arial" w:cs="Arial" w:eastAsia="Arial" w:hAnsi="Arial"/>
                <w:sz w:val="16"/>
                <w:szCs w:val="16"/>
                <w:color w:val="auto"/>
              </w:rPr>
              <w:t xml:space="preserve">metrics measured against a mix of </w:t>
            </w:r>
            <w:r>
              <w:rPr>
                <w:rFonts w:ascii="Arial" w:cs="Arial" w:eastAsia="Arial" w:hAnsi="Arial"/>
                <w:sz w:val="16"/>
                <w:szCs w:val="16"/>
                <w:b w:val="1"/>
                <w:bCs w:val="1"/>
                <w:color w:val="auto"/>
              </w:rPr>
              <w:t>quantitative goals</w:t>
            </w:r>
            <w:r>
              <w:rPr>
                <w:rFonts w:ascii="Arial" w:cs="Arial" w:eastAsia="Arial" w:hAnsi="Arial"/>
                <w:sz w:val="16"/>
                <w:szCs w:val="16"/>
                <w:color w:val="auto"/>
              </w:rPr>
              <w:t xml:space="preserve"> (weighted 90%)</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Arial" w:cs="Arial" w:eastAsia="Arial" w:hAnsi="Arial"/>
                <w:sz w:val="16"/>
                <w:szCs w:val="16"/>
                <w:b w:val="1"/>
                <w:bCs w:val="1"/>
                <w:color w:val="FFFFFF"/>
              </w:rPr>
              <w:t>n</w:t>
            </w:r>
          </w:p>
        </w:tc>
        <w:tc>
          <w:tcPr>
            <w:tcW w:w="3260" w:type="dxa"/>
            <w:vAlign w:val="bottom"/>
          </w:tcPr>
          <w:p>
            <w:pPr>
              <w:ind w:left="100"/>
              <w:spacing w:after="0"/>
              <w:rPr>
                <w:sz w:val="20"/>
                <w:szCs w:val="20"/>
                <w:color w:val="auto"/>
              </w:rPr>
            </w:pPr>
            <w:r>
              <w:rPr>
                <w:rFonts w:ascii="Arial" w:cs="Arial" w:eastAsia="Arial" w:hAnsi="Arial"/>
                <w:sz w:val="16"/>
                <w:szCs w:val="16"/>
                <w:color w:val="auto"/>
              </w:rPr>
              <w:t>short-term strategic goals that align with</w:t>
            </w:r>
          </w:p>
        </w:tc>
        <w:tc>
          <w:tcPr>
            <w:tcW w:w="5360" w:type="dxa"/>
            <w:vAlign w:val="bottom"/>
          </w:tcPr>
          <w:p>
            <w:pPr>
              <w:ind w:left="300"/>
              <w:spacing w:after="0"/>
              <w:rPr>
                <w:sz w:val="20"/>
                <w:szCs w:val="20"/>
                <w:color w:val="auto"/>
              </w:rPr>
            </w:pPr>
            <w:r>
              <w:rPr>
                <w:rFonts w:ascii="Arial" w:cs="Arial" w:eastAsia="Arial" w:hAnsi="Arial"/>
                <w:sz w:val="16"/>
                <w:szCs w:val="16"/>
                <w:color w:val="auto"/>
              </w:rPr>
              <w:t>and qualitative goals (weighted 10%)</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Arial" w:cs="Arial" w:eastAsia="Arial" w:hAnsi="Arial"/>
                <w:sz w:val="16"/>
                <w:szCs w:val="16"/>
                <w:b w:val="1"/>
                <w:bCs w:val="1"/>
                <w:color w:val="FFFFFF"/>
              </w:rPr>
              <w:t>u</w:t>
            </w:r>
          </w:p>
        </w:tc>
        <w:tc>
          <w:tcPr>
            <w:tcW w:w="3260" w:type="dxa"/>
            <w:vAlign w:val="bottom"/>
          </w:tcPr>
          <w:p>
            <w:pPr>
              <w:ind w:left="100"/>
              <w:spacing w:after="0"/>
              <w:rPr>
                <w:sz w:val="20"/>
                <w:szCs w:val="20"/>
                <w:color w:val="auto"/>
              </w:rPr>
            </w:pPr>
            <w:r>
              <w:rPr>
                <w:rFonts w:ascii="Arial" w:cs="Arial" w:eastAsia="Arial" w:hAnsi="Arial"/>
                <w:sz w:val="16"/>
                <w:szCs w:val="16"/>
                <w:color w:val="auto"/>
              </w:rPr>
              <w:t xml:space="preserve">APA’s business strategy and </w:t>
            </w:r>
            <w:r>
              <w:rPr>
                <w:rFonts w:ascii="Arial" w:cs="Arial" w:eastAsia="Arial" w:hAnsi="Arial"/>
                <w:sz w:val="16"/>
                <w:szCs w:val="16"/>
                <w:b w:val="1"/>
                <w:bCs w:val="1"/>
                <w:color w:val="auto"/>
              </w:rPr>
              <w:t>drive long-</w:t>
            </w:r>
          </w:p>
        </w:tc>
        <w:tc>
          <w:tcPr>
            <w:tcW w:w="5360" w:type="dxa"/>
            <w:vAlign w:val="bottom"/>
            <w:vMerge w:val="restart"/>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Driven by</w:t>
            </w:r>
            <w:r>
              <w:rPr>
                <w:rFonts w:ascii="Arial" w:cs="Arial" w:eastAsia="Arial" w:hAnsi="Arial"/>
                <w:sz w:val="18"/>
                <w:szCs w:val="18"/>
                <w:color w:val="auto"/>
              </w:rPr>
              <w:t xml:space="preserve"> </w:t>
            </w:r>
            <w:r>
              <w:rPr>
                <w:rFonts w:ascii="Arial" w:cs="Arial" w:eastAsia="Arial" w:hAnsi="Arial"/>
                <w:sz w:val="16"/>
                <w:szCs w:val="16"/>
                <w:b w:val="1"/>
                <w:bCs w:val="1"/>
                <w:color w:val="auto"/>
              </w:rPr>
              <w:t>challenging targets</w:t>
            </w:r>
            <w:r>
              <w:rPr>
                <w:rFonts w:ascii="Arial" w:cs="Arial" w:eastAsia="Arial" w:hAnsi="Arial"/>
                <w:sz w:val="18"/>
                <w:szCs w:val="18"/>
                <w:color w:val="auto"/>
              </w:rPr>
              <w:t xml:space="preserve"> </w:t>
            </w:r>
            <w:r>
              <w:rPr>
                <w:rFonts w:ascii="Arial" w:cs="Arial" w:eastAsia="Arial" w:hAnsi="Arial"/>
                <w:sz w:val="16"/>
                <w:szCs w:val="16"/>
                <w:color w:val="auto"/>
              </w:rPr>
              <w:t>that balance financial, operational, and</w:t>
            </w:r>
          </w:p>
        </w:tc>
        <w:tc>
          <w:tcPr>
            <w:tcW w:w="0" w:type="dxa"/>
            <w:vAlign w:val="bottom"/>
          </w:tcPr>
          <w:p>
            <w:pPr>
              <w:spacing w:after="0"/>
              <w:rPr>
                <w:sz w:val="1"/>
                <w:szCs w:val="1"/>
                <w:color w:val="auto"/>
              </w:rPr>
            </w:pPr>
          </w:p>
        </w:tc>
      </w:tr>
      <w:tr>
        <w:trPr>
          <w:trHeight w:val="81"/>
        </w:trPr>
        <w:tc>
          <w:tcPr>
            <w:tcW w:w="220" w:type="dxa"/>
            <w:vAlign w:val="bottom"/>
            <w:vMerge w:val="restart"/>
          </w:tcPr>
          <w:p>
            <w:pPr>
              <w:spacing w:after="0"/>
              <w:rPr>
                <w:sz w:val="20"/>
                <w:szCs w:val="20"/>
                <w:color w:val="auto"/>
              </w:rPr>
            </w:pPr>
            <w:r>
              <w:rPr>
                <w:rFonts w:ascii="Arial" w:cs="Arial" w:eastAsia="Arial" w:hAnsi="Arial"/>
                <w:sz w:val="16"/>
                <w:szCs w:val="16"/>
                <w:b w:val="1"/>
                <w:bCs w:val="1"/>
                <w:color w:val="FFFFFF"/>
              </w:rPr>
              <w:t>al</w:t>
            </w:r>
          </w:p>
        </w:tc>
        <w:tc>
          <w:tcPr>
            <w:tcW w:w="326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term results</w:t>
            </w:r>
          </w:p>
        </w:tc>
        <w:tc>
          <w:tcPr>
            <w:tcW w:w="5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20" w:type="dxa"/>
            <w:vAlign w:val="bottom"/>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5360" w:type="dxa"/>
            <w:vAlign w:val="bottom"/>
          </w:tcPr>
          <w:p>
            <w:pPr>
              <w:ind w:left="300"/>
              <w:spacing w:after="0" w:line="124" w:lineRule="exact"/>
              <w:rPr>
                <w:sz w:val="20"/>
                <w:szCs w:val="20"/>
                <w:color w:val="auto"/>
              </w:rPr>
            </w:pPr>
            <w:r>
              <w:rPr>
                <w:rFonts w:ascii="Arial" w:cs="Arial" w:eastAsia="Arial" w:hAnsi="Arial"/>
                <w:sz w:val="14"/>
                <w:szCs w:val="14"/>
                <w:color w:val="auto"/>
              </w:rPr>
              <w:t>strategic priorities (e.g., capital discipline, cost management, reliable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1980" w:type="dxa"/>
            <w:vAlign w:val="bottom"/>
          </w:tcPr>
          <w:p>
            <w:pPr>
              <w:spacing w:after="0" w:line="173" w:lineRule="exact"/>
              <w:rPr>
                <w:sz w:val="20"/>
                <w:szCs w:val="20"/>
                <w:color w:val="auto"/>
              </w:rPr>
            </w:pPr>
            <w:r>
              <w:rPr>
                <w:rFonts w:ascii="Arial" w:cs="Arial" w:eastAsia="Arial" w:hAnsi="Arial"/>
                <w:sz w:val="16"/>
                <w:szCs w:val="16"/>
                <w:b w:val="1"/>
                <w:bCs w:val="1"/>
                <w:color w:val="FFFFFF"/>
              </w:rPr>
              <w:t>In</w:t>
            </w:r>
          </w:p>
        </w:tc>
        <w:tc>
          <w:tcPr>
            <w:tcW w:w="7140" w:type="dxa"/>
            <w:vAlign w:val="bottom"/>
            <w:vMerge w:val="restart"/>
          </w:tcPr>
          <w:p>
            <w:pPr>
              <w:ind w:left="1800"/>
              <w:spacing w:after="0"/>
              <w:rPr>
                <w:sz w:val="20"/>
                <w:szCs w:val="20"/>
                <w:color w:val="auto"/>
              </w:rPr>
            </w:pPr>
            <w:r>
              <w:rPr>
                <w:rFonts w:ascii="Arial" w:cs="Arial" w:eastAsia="Arial" w:hAnsi="Arial"/>
                <w:sz w:val="16"/>
                <w:szCs w:val="16"/>
                <w:color w:val="auto"/>
              </w:rPr>
              <w:t>production delivery, EH&amp;S) with market realities (e.g., continuously</w:t>
            </w:r>
          </w:p>
        </w:tc>
        <w:tc>
          <w:tcPr>
            <w:tcW w:w="0" w:type="dxa"/>
            <w:vAlign w:val="bottom"/>
          </w:tcPr>
          <w:p>
            <w:pPr>
              <w:spacing w:after="0"/>
              <w:rPr>
                <w:sz w:val="1"/>
                <w:szCs w:val="1"/>
                <w:color w:val="auto"/>
              </w:rPr>
            </w:pPr>
          </w:p>
        </w:tc>
      </w:tr>
      <w:tr>
        <w:trPr>
          <w:trHeight w:val="81"/>
        </w:trPr>
        <w:tc>
          <w:tcPr>
            <w:tcW w:w="1980" w:type="dxa"/>
            <w:vAlign w:val="bottom"/>
            <w:vMerge w:val="restart"/>
          </w:tcPr>
          <w:p>
            <w:pPr>
              <w:spacing w:after="0"/>
              <w:rPr>
                <w:sz w:val="20"/>
                <w:szCs w:val="20"/>
                <w:color w:val="auto"/>
              </w:rPr>
            </w:pPr>
            <w:r>
              <w:rPr>
                <w:rFonts w:ascii="Arial" w:cs="Arial" w:eastAsia="Arial" w:hAnsi="Arial"/>
                <w:sz w:val="16"/>
                <w:szCs w:val="16"/>
                <w:b w:val="1"/>
                <w:bCs w:val="1"/>
                <w:color w:val="FFFFFF"/>
              </w:rPr>
              <w:t>ce</w:t>
            </w:r>
          </w:p>
        </w:tc>
        <w:tc>
          <w:tcPr>
            <w:tcW w:w="7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7140" w:type="dxa"/>
            <w:vAlign w:val="bottom"/>
            <w:vMerge w:val="restart"/>
          </w:tcPr>
          <w:p>
            <w:pPr>
              <w:ind w:left="1800"/>
              <w:spacing w:after="0"/>
              <w:rPr>
                <w:sz w:val="20"/>
                <w:szCs w:val="20"/>
                <w:color w:val="auto"/>
              </w:rPr>
            </w:pPr>
            <w:r>
              <w:rPr>
                <w:rFonts w:ascii="Arial" w:cs="Arial" w:eastAsia="Arial" w:hAnsi="Arial"/>
                <w:sz w:val="16"/>
                <w:szCs w:val="16"/>
                <w:color w:val="auto"/>
              </w:rPr>
              <w:t>fluctuating commodity prices, geopolitical influences, operational risks, and</w:t>
            </w:r>
          </w:p>
        </w:tc>
        <w:tc>
          <w:tcPr>
            <w:tcW w:w="0" w:type="dxa"/>
            <w:vAlign w:val="bottom"/>
          </w:tcPr>
          <w:p>
            <w:pPr>
              <w:spacing w:after="0"/>
              <w:rPr>
                <w:sz w:val="1"/>
                <w:szCs w:val="1"/>
                <w:color w:val="auto"/>
              </w:rPr>
            </w:pPr>
          </w:p>
        </w:tc>
      </w:tr>
      <w:tr>
        <w:trPr>
          <w:trHeight w:val="81"/>
        </w:trPr>
        <w:tc>
          <w:tcPr>
            <w:tcW w:w="1980" w:type="dxa"/>
            <w:vAlign w:val="bottom"/>
            <w:vMerge w:val="restart"/>
          </w:tcPr>
          <w:p>
            <w:pPr>
              <w:spacing w:after="0"/>
              <w:rPr>
                <w:sz w:val="20"/>
                <w:szCs w:val="20"/>
                <w:color w:val="auto"/>
              </w:rPr>
            </w:pPr>
            <w:r>
              <w:rPr>
                <w:rFonts w:ascii="Arial" w:cs="Arial" w:eastAsia="Arial" w:hAnsi="Arial"/>
                <w:sz w:val="16"/>
                <w:szCs w:val="16"/>
                <w:b w:val="1"/>
                <w:bCs w:val="1"/>
                <w:color w:val="FFFFFF"/>
              </w:rPr>
              <w:t>nt</w:t>
            </w:r>
          </w:p>
        </w:tc>
        <w:tc>
          <w:tcPr>
            <w:tcW w:w="7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tcPr>
          <w:p>
            <w:pPr>
              <w:spacing w:after="0"/>
              <w:rPr>
                <w:sz w:val="9"/>
                <w:szCs w:val="9"/>
                <w:color w:val="auto"/>
              </w:rPr>
            </w:pPr>
          </w:p>
        </w:tc>
        <w:tc>
          <w:tcPr>
            <w:tcW w:w="7140" w:type="dxa"/>
            <w:vAlign w:val="bottom"/>
            <w:vMerge w:val="restart"/>
          </w:tcPr>
          <w:p>
            <w:pPr>
              <w:ind w:left="1800"/>
              <w:spacing w:after="0"/>
              <w:rPr>
                <w:sz w:val="20"/>
                <w:szCs w:val="20"/>
                <w:color w:val="auto"/>
              </w:rPr>
            </w:pPr>
            <w:r>
              <w:rPr>
                <w:rFonts w:ascii="Arial" w:cs="Arial" w:eastAsia="Arial" w:hAnsi="Arial"/>
                <w:sz w:val="16"/>
                <w:szCs w:val="16"/>
                <w:color w:val="auto"/>
              </w:rPr>
              <w:t>limits of oil and gas reserves)</w:t>
            </w:r>
          </w:p>
        </w:tc>
        <w:tc>
          <w:tcPr>
            <w:tcW w:w="0" w:type="dxa"/>
            <w:vAlign w:val="bottom"/>
          </w:tcPr>
          <w:p>
            <w:pPr>
              <w:spacing w:after="0"/>
              <w:rPr>
                <w:sz w:val="1"/>
                <w:szCs w:val="1"/>
                <w:color w:val="auto"/>
              </w:rPr>
            </w:pPr>
          </w:p>
        </w:tc>
      </w:tr>
      <w:tr>
        <w:trPr>
          <w:trHeight w:val="107"/>
        </w:trPr>
        <w:tc>
          <w:tcPr>
            <w:tcW w:w="1980" w:type="dxa"/>
            <w:vAlign w:val="bottom"/>
            <w:vMerge w:val="restart"/>
          </w:tcPr>
          <w:p>
            <w:pPr>
              <w:spacing w:after="0"/>
              <w:rPr>
                <w:sz w:val="20"/>
                <w:szCs w:val="20"/>
                <w:color w:val="auto"/>
              </w:rPr>
            </w:pPr>
            <w:r>
              <w:rPr>
                <w:rFonts w:ascii="Arial" w:cs="Arial" w:eastAsia="Arial" w:hAnsi="Arial"/>
                <w:sz w:val="16"/>
                <w:szCs w:val="16"/>
                <w:b w:val="1"/>
                <w:bCs w:val="1"/>
                <w:color w:val="FFFFFF"/>
              </w:rPr>
              <w:t>iv</w:t>
            </w:r>
          </w:p>
        </w:tc>
        <w:tc>
          <w:tcPr>
            <w:tcW w:w="7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980" w:type="dxa"/>
            <w:vAlign w:val="bottom"/>
            <w:vMerge w:val="continue"/>
          </w:tcPr>
          <w:p>
            <w:pPr>
              <w:spacing w:after="0"/>
              <w:rPr>
                <w:sz w:val="7"/>
                <w:szCs w:val="7"/>
                <w:color w:val="auto"/>
              </w:rPr>
            </w:pPr>
          </w:p>
        </w:tc>
        <w:tc>
          <w:tcPr>
            <w:tcW w:w="7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FFFFFF"/>
              </w:rPr>
              <w:t>e</w:t>
            </w:r>
          </w:p>
        </w:tc>
        <w:tc>
          <w:tcPr>
            <w:tcW w:w="7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FFFFFF"/>
              </w:rPr>
              <w:t>C</w:t>
            </w:r>
          </w:p>
        </w:tc>
        <w:tc>
          <w:tcPr>
            <w:tcW w:w="7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FFFFFF"/>
              </w:rPr>
              <w:t>o</w:t>
            </w:r>
          </w:p>
        </w:tc>
        <w:tc>
          <w:tcPr>
            <w:tcW w:w="7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FFFFFF"/>
              </w:rPr>
              <w:t>m</w:t>
            </w:r>
          </w:p>
        </w:tc>
        <w:tc>
          <w:tcPr>
            <w:tcW w:w="7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FFFFFF"/>
              </w:rPr>
              <w:t>p</w:t>
            </w:r>
          </w:p>
        </w:tc>
        <w:tc>
          <w:tcPr>
            <w:tcW w:w="7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FFFFFF"/>
              </w:rPr>
              <w:t>e</w:t>
            </w:r>
          </w:p>
        </w:tc>
        <w:tc>
          <w:tcPr>
            <w:tcW w:w="7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FFFFFF"/>
              </w:rPr>
              <w:t>n</w:t>
            </w:r>
          </w:p>
        </w:tc>
        <w:tc>
          <w:tcPr>
            <w:tcW w:w="7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FFFFFF"/>
              </w:rPr>
              <w:t>sa</w:t>
            </w:r>
          </w:p>
        </w:tc>
        <w:tc>
          <w:tcPr>
            <w:tcW w:w="7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FFFFFF"/>
              </w:rPr>
              <w:t>ti</w:t>
            </w:r>
          </w:p>
        </w:tc>
        <w:tc>
          <w:tcPr>
            <w:tcW w:w="7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80" w:type="dxa"/>
            <w:vAlign w:val="bottom"/>
          </w:tcPr>
          <w:p>
            <w:pPr>
              <w:spacing w:after="0"/>
              <w:rPr>
                <w:sz w:val="20"/>
                <w:szCs w:val="20"/>
                <w:color w:val="auto"/>
              </w:rPr>
            </w:pPr>
            <w:r>
              <w:rPr>
                <w:rFonts w:ascii="Arial" w:cs="Arial" w:eastAsia="Arial" w:hAnsi="Arial"/>
                <w:sz w:val="16"/>
                <w:szCs w:val="16"/>
                <w:b w:val="1"/>
                <w:bCs w:val="1"/>
                <w:color w:val="FFFFFF"/>
              </w:rPr>
              <w:t>o</w:t>
            </w:r>
          </w:p>
        </w:tc>
        <w:tc>
          <w:tcPr>
            <w:tcW w:w="7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80" w:type="dxa"/>
            <w:vAlign w:val="bottom"/>
          </w:tcPr>
          <w:p>
            <w:pPr>
              <w:spacing w:after="0"/>
              <w:rPr>
                <w:sz w:val="20"/>
                <w:szCs w:val="20"/>
                <w:color w:val="auto"/>
              </w:rPr>
            </w:pPr>
            <w:r>
              <w:rPr>
                <w:rFonts w:ascii="Arial" w:cs="Arial" w:eastAsia="Arial" w:hAnsi="Arial"/>
                <w:sz w:val="16"/>
                <w:szCs w:val="16"/>
                <w:b w:val="1"/>
                <w:bCs w:val="1"/>
                <w:color w:val="FFFFFF"/>
              </w:rPr>
              <w:t>n</w:t>
            </w:r>
          </w:p>
        </w:tc>
        <w:tc>
          <w:tcPr>
            <w:tcW w:w="7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840" w:hanging="315"/>
        <w:spacing w:after="0"/>
        <w:tabs>
          <w:tab w:leader="none" w:pos="840" w:val="left"/>
        </w:tabs>
        <w:numPr>
          <w:ilvl w:val="0"/>
          <w:numId w:val="90"/>
        </w:numPr>
        <w:rPr>
          <w:rFonts w:ascii="Arial" w:cs="Arial" w:eastAsia="Arial" w:hAnsi="Arial"/>
          <w:sz w:val="16"/>
          <w:szCs w:val="16"/>
          <w:b w:val="1"/>
          <w:bCs w:val="1"/>
          <w:color w:val="FFFFFF"/>
        </w:rPr>
      </w:pPr>
      <w:r>
        <w:rPr>
          <w:rFonts w:ascii="Arial" w:cs="Arial" w:eastAsia="Arial" w:hAnsi="Arial"/>
          <w:sz w:val="16"/>
          <w:szCs w:val="16"/>
          <w:color w:val="auto"/>
        </w:rPr>
        <w:t xml:space="preserve">Provides incentives for executive officers    </w:t>
      </w:r>
      <w:r>
        <w:rPr>
          <w:rFonts w:ascii="Arial" w:cs="Arial" w:eastAsia="Arial" w:hAnsi="Arial"/>
          <w:sz w:val="17"/>
          <w:szCs w:val="17"/>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Performance awards (60%):</w:t>
      </w:r>
      <w:r>
        <w:rPr>
          <w:rFonts w:ascii="Arial" w:cs="Arial" w:eastAsia="Arial" w:hAnsi="Arial"/>
          <w:sz w:val="16"/>
          <w:szCs w:val="16"/>
          <w:color w:val="auto"/>
        </w:rPr>
        <w:t xml:space="preserve"> earned based on the achievement of relative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 xml:space="preserve">o   </w:t>
            </w:r>
            <w:r>
              <w:rPr>
                <w:rFonts w:ascii="Arial" w:cs="Arial" w:eastAsia="Arial" w:hAnsi="Arial"/>
                <w:sz w:val="16"/>
                <w:szCs w:val="16"/>
                <w:color w:val="000000"/>
              </w:rPr>
              <w:t>to execute on longer-term</w:t>
            </w:r>
          </w:p>
        </w:tc>
        <w:tc>
          <w:tcPr>
            <w:tcW w:w="5720" w:type="dxa"/>
            <w:vAlign w:val="bottom"/>
          </w:tcPr>
          <w:p>
            <w:pPr>
              <w:ind w:left="300"/>
              <w:spacing w:after="0"/>
              <w:rPr>
                <w:sz w:val="20"/>
                <w:szCs w:val="20"/>
                <w:color w:val="auto"/>
              </w:rPr>
            </w:pPr>
            <w:r>
              <w:rPr>
                <w:rFonts w:ascii="Arial" w:cs="Arial" w:eastAsia="Arial" w:hAnsi="Arial"/>
                <w:sz w:val="16"/>
                <w:szCs w:val="16"/>
                <w:color w:val="auto"/>
              </w:rPr>
              <w:t>and absolute metrics at the end of a three-year performance period; vests</w:t>
            </w: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 xml:space="preserve">n   </w:t>
            </w:r>
            <w:r>
              <w:rPr>
                <w:rFonts w:ascii="Arial" w:cs="Arial" w:eastAsia="Arial" w:hAnsi="Arial"/>
                <w:sz w:val="16"/>
                <w:szCs w:val="16"/>
                <w:color w:val="000000"/>
              </w:rPr>
              <w:t>financial/strategic goals that drive</w:t>
            </w:r>
          </w:p>
        </w:tc>
        <w:tc>
          <w:tcPr>
            <w:tcW w:w="5720" w:type="dxa"/>
            <w:vAlign w:val="bottom"/>
          </w:tcPr>
          <w:p>
            <w:pPr>
              <w:ind w:left="300"/>
              <w:spacing w:after="0"/>
              <w:rPr>
                <w:sz w:val="20"/>
                <w:szCs w:val="20"/>
                <w:color w:val="auto"/>
              </w:rPr>
            </w:pPr>
            <w:r>
              <w:rPr>
                <w:rFonts w:ascii="Arial" w:cs="Arial" w:eastAsia="Arial" w:hAnsi="Arial"/>
                <w:sz w:val="16"/>
                <w:szCs w:val="16"/>
                <w:color w:val="auto"/>
              </w:rPr>
              <w:t>50% at the end of year three and 50% at the end of year four</w:t>
            </w:r>
          </w:p>
        </w:tc>
        <w:tc>
          <w:tcPr>
            <w:tcW w:w="0" w:type="dxa"/>
            <w:vAlign w:val="bottom"/>
          </w:tcPr>
          <w:p>
            <w:pPr>
              <w:spacing w:after="0"/>
              <w:rPr>
                <w:sz w:val="1"/>
                <w:szCs w:val="1"/>
                <w:color w:val="auto"/>
              </w:rPr>
            </w:pPr>
          </w:p>
        </w:tc>
      </w:tr>
      <w:tr>
        <w:trPr>
          <w:trHeight w:val="244"/>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 xml:space="preserve">g-  </w:t>
            </w:r>
            <w:r>
              <w:rPr>
                <w:rFonts w:ascii="Arial" w:cs="Arial" w:eastAsia="Arial" w:hAnsi="Arial"/>
                <w:sz w:val="16"/>
                <w:szCs w:val="16"/>
                <w:b w:val="1"/>
                <w:bCs w:val="1"/>
                <w:color w:val="000000"/>
              </w:rPr>
              <w:t>shareholder value creation,</w:t>
            </w:r>
            <w:r>
              <w:rPr>
                <w:rFonts w:ascii="Arial" w:cs="Arial" w:eastAsia="Arial" w:hAnsi="Arial"/>
                <w:sz w:val="16"/>
                <w:szCs w:val="16"/>
                <w:b w:val="1"/>
                <w:bCs w:val="1"/>
                <w:color w:val="FFFFFF"/>
              </w:rPr>
              <w:t xml:space="preserve"> </w:t>
            </w:r>
            <w:r>
              <w:rPr>
                <w:rFonts w:ascii="Arial" w:cs="Arial" w:eastAsia="Arial" w:hAnsi="Arial"/>
                <w:sz w:val="16"/>
                <w:szCs w:val="16"/>
                <w:color w:val="000000"/>
              </w:rPr>
              <w:t>and supports</w:t>
            </w:r>
          </w:p>
        </w:tc>
        <w:tc>
          <w:tcPr>
            <w:tcW w:w="5720" w:type="dxa"/>
            <w:vAlign w:val="bottom"/>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b w:val="1"/>
                <w:bCs w:val="1"/>
                <w:color w:val="auto"/>
              </w:rPr>
              <w:t>Stock options (20%):</w:t>
            </w:r>
            <w:r>
              <w:rPr>
                <w:rFonts w:ascii="Arial" w:cs="Arial" w:eastAsia="Arial" w:hAnsi="Arial"/>
                <w:sz w:val="18"/>
                <w:szCs w:val="18"/>
                <w:color w:val="auto"/>
              </w:rPr>
              <w:t xml:space="preserve"> </w:t>
            </w:r>
            <w:r>
              <w:rPr>
                <w:rFonts w:ascii="Arial" w:cs="Arial" w:eastAsia="Arial" w:hAnsi="Arial"/>
                <w:sz w:val="16"/>
                <w:szCs w:val="16"/>
                <w:color w:val="auto"/>
              </w:rPr>
              <w:t>vest in three equal installments over the first three</w:t>
            </w:r>
          </w:p>
        </w:tc>
        <w:tc>
          <w:tcPr>
            <w:tcW w:w="0" w:type="dxa"/>
            <w:vAlign w:val="bottom"/>
          </w:tcPr>
          <w:p>
            <w:pPr>
              <w:spacing w:after="0"/>
              <w:rPr>
                <w:sz w:val="1"/>
                <w:szCs w:val="1"/>
                <w:color w:val="auto"/>
              </w:rPr>
            </w:pPr>
          </w:p>
        </w:tc>
      </w:tr>
      <w:tr>
        <w:trPr>
          <w:trHeight w:val="134"/>
        </w:trPr>
        <w:tc>
          <w:tcPr>
            <w:tcW w:w="4000" w:type="dxa"/>
            <w:vAlign w:val="bottom"/>
          </w:tcPr>
          <w:p>
            <w:pPr>
              <w:ind w:left="520"/>
              <w:spacing w:after="0" w:line="134" w:lineRule="exact"/>
              <w:rPr>
                <w:sz w:val="20"/>
                <w:szCs w:val="20"/>
                <w:color w:val="auto"/>
              </w:rPr>
            </w:pPr>
            <w:r>
              <w:rPr>
                <w:rFonts w:ascii="Arial" w:cs="Arial" w:eastAsia="Arial" w:hAnsi="Arial"/>
                <w:sz w:val="15"/>
                <w:szCs w:val="15"/>
                <w:b w:val="1"/>
                <w:bCs w:val="1"/>
                <w:color w:val="FFFFFF"/>
              </w:rPr>
              <w:t xml:space="preserve">T   </w:t>
            </w:r>
            <w:r>
              <w:rPr>
                <w:rFonts w:ascii="Arial" w:cs="Arial" w:eastAsia="Arial" w:hAnsi="Arial"/>
                <w:sz w:val="15"/>
                <w:szCs w:val="15"/>
                <w:color w:val="000000"/>
              </w:rPr>
              <w:t>APA’s talent retention objectives</w:t>
            </w:r>
          </w:p>
        </w:tc>
        <w:tc>
          <w:tcPr>
            <w:tcW w:w="5720" w:type="dxa"/>
            <w:vAlign w:val="bottom"/>
            <w:vMerge w:val="restart"/>
          </w:tcPr>
          <w:p>
            <w:pPr>
              <w:ind w:left="300"/>
              <w:spacing w:after="0"/>
              <w:rPr>
                <w:sz w:val="20"/>
                <w:szCs w:val="20"/>
                <w:color w:val="auto"/>
              </w:rPr>
            </w:pPr>
            <w:r>
              <w:rPr>
                <w:rFonts w:ascii="Arial" w:cs="Arial" w:eastAsia="Arial" w:hAnsi="Arial"/>
                <w:sz w:val="16"/>
                <w:szCs w:val="16"/>
                <w:color w:val="auto"/>
              </w:rPr>
              <w:t>anniversaries of the grant date; 10-year term</w:t>
            </w:r>
          </w:p>
        </w:tc>
        <w:tc>
          <w:tcPr>
            <w:tcW w:w="0" w:type="dxa"/>
            <w:vAlign w:val="bottom"/>
          </w:tcPr>
          <w:p>
            <w:pPr>
              <w:spacing w:after="0"/>
              <w:rPr>
                <w:sz w:val="1"/>
                <w:szCs w:val="1"/>
                <w:color w:val="auto"/>
              </w:rPr>
            </w:pPr>
          </w:p>
        </w:tc>
      </w:tr>
      <w:tr>
        <w:trPr>
          <w:trHeight w:val="107"/>
        </w:trPr>
        <w:tc>
          <w:tcPr>
            <w:tcW w:w="4000" w:type="dxa"/>
            <w:vAlign w:val="bottom"/>
            <w:vMerge w:val="restart"/>
          </w:tcPr>
          <w:p>
            <w:pPr>
              <w:ind w:left="520"/>
              <w:spacing w:after="0"/>
              <w:rPr>
                <w:sz w:val="20"/>
                <w:szCs w:val="20"/>
                <w:color w:val="auto"/>
              </w:rPr>
            </w:pPr>
            <w:r>
              <w:rPr>
                <w:rFonts w:ascii="Arial" w:cs="Arial" w:eastAsia="Arial" w:hAnsi="Arial"/>
                <w:sz w:val="16"/>
                <w:szCs w:val="16"/>
                <w:b w:val="1"/>
                <w:bCs w:val="1"/>
                <w:color w:val="FFFFFF"/>
              </w:rPr>
              <w:t>er</w:t>
            </w:r>
          </w:p>
        </w:tc>
        <w:tc>
          <w:tcPr>
            <w:tcW w:w="5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00" w:type="dxa"/>
            <w:vAlign w:val="bottom"/>
            <w:vMerge w:val="continue"/>
          </w:tcPr>
          <w:p>
            <w:pPr>
              <w:spacing w:after="0"/>
              <w:rPr>
                <w:sz w:val="7"/>
                <w:szCs w:val="7"/>
                <w:color w:val="auto"/>
              </w:rPr>
            </w:pPr>
          </w:p>
        </w:tc>
        <w:tc>
          <w:tcPr>
            <w:tcW w:w="5720" w:type="dxa"/>
            <w:vAlign w:val="bottom"/>
            <w:vMerge w:val="restart"/>
          </w:tcPr>
          <w:p>
            <w:pPr>
              <w:ind w:left="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b w:val="1"/>
                <w:bCs w:val="1"/>
                <w:color w:val="auto"/>
              </w:rPr>
              <w:t>RSUs (20%):</w:t>
            </w:r>
            <w:r>
              <w:rPr>
                <w:rFonts w:ascii="Arial" w:cs="Arial" w:eastAsia="Arial" w:hAnsi="Arial"/>
                <w:sz w:val="18"/>
                <w:szCs w:val="18"/>
                <w:color w:val="auto"/>
              </w:rPr>
              <w:t xml:space="preserve"> </w:t>
            </w:r>
            <w:r>
              <w:rPr>
                <w:rFonts w:ascii="Arial" w:cs="Arial" w:eastAsia="Arial" w:hAnsi="Arial"/>
                <w:sz w:val="16"/>
                <w:szCs w:val="16"/>
                <w:color w:val="auto"/>
              </w:rPr>
              <w:t>vest ratably over three years</w:t>
            </w: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m</w:t>
            </w:r>
          </w:p>
        </w:tc>
        <w:tc>
          <w:tcPr>
            <w:tcW w:w="5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In</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ce</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nt</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iv</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e</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C</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o</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m</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p</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e</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n</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sa</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ti</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o</w:t>
            </w: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520"/>
              <w:spacing w:after="0"/>
              <w:rPr>
                <w:sz w:val="20"/>
                <w:szCs w:val="20"/>
                <w:color w:val="auto"/>
              </w:rPr>
            </w:pPr>
            <w:r>
              <w:rPr>
                <w:rFonts w:ascii="Arial" w:cs="Arial" w:eastAsia="Arial" w:hAnsi="Arial"/>
                <w:sz w:val="16"/>
                <w:szCs w:val="16"/>
                <w:b w:val="1"/>
                <w:bCs w:val="1"/>
                <w:color w:val="FFFFFF"/>
              </w:rPr>
              <w:t>n</w:t>
            </w: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000" w:type="dxa"/>
            <w:vAlign w:val="bottom"/>
            <w:tcBorders>
              <w:bottom w:val="single" w:sz="8" w:color="auto"/>
            </w:tcBorders>
          </w:tcPr>
          <w:p>
            <w:pPr>
              <w:spacing w:after="0"/>
              <w:rPr>
                <w:sz w:val="3"/>
                <w:szCs w:val="3"/>
                <w:color w:val="auto"/>
              </w:rPr>
            </w:pPr>
          </w:p>
        </w:tc>
        <w:tc>
          <w:tcPr>
            <w:tcW w:w="5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Mix</w:t>
      </w:r>
    </w:p>
    <w:p>
      <w:pPr>
        <w:spacing w:after="0" w:line="112"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The target annual total direct compensation of our CEO and the average for our other NEOs for fiscal year 2025 is shown below, illustrating that a majority of executive compensation is at risk, with 89.7% for our CEO and an average of 83.3%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39370</wp:posOffset>
            </wp:positionV>
            <wp:extent cx="4997450" cy="4457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97450" cy="44577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bottom w:val="single" w:sz="8" w:color="F3F3F4"/>
            </w:tcBorders>
            <w:shd w:val="clear" w:color="auto" w:fill="F3F3F4"/>
          </w:tcPr>
          <w:p>
            <w:pPr>
              <w:spacing w:after="0"/>
              <w:rPr>
                <w:sz w:val="24"/>
                <w:szCs w:val="24"/>
                <w:color w:val="auto"/>
              </w:rPr>
            </w:pPr>
          </w:p>
        </w:tc>
        <w:tc>
          <w:tcPr>
            <w:tcW w:w="500" w:type="dxa"/>
            <w:vAlign w:val="bottom"/>
            <w:tcBorders>
              <w:bottom w:val="single" w:sz="8" w:color="F3F3F4"/>
            </w:tcBorders>
            <w:shd w:val="clear" w:color="auto" w:fill="F3F3F4"/>
          </w:tcPr>
          <w:p>
            <w:pPr>
              <w:spacing w:after="0"/>
              <w:rPr>
                <w:sz w:val="24"/>
                <w:szCs w:val="24"/>
                <w:color w:val="auto"/>
              </w:rPr>
            </w:pPr>
          </w:p>
        </w:tc>
        <w:tc>
          <w:tcPr>
            <w:tcW w:w="680" w:type="dxa"/>
            <w:vAlign w:val="bottom"/>
            <w:tcBorders>
              <w:bottom w:val="single" w:sz="8" w:color="F3F3F4"/>
            </w:tcBorders>
            <w:shd w:val="clear" w:color="auto" w:fill="F3F3F4"/>
          </w:tcPr>
          <w:p>
            <w:pPr>
              <w:spacing w:after="0"/>
              <w:rPr>
                <w:sz w:val="24"/>
                <w:szCs w:val="24"/>
                <w:color w:val="auto"/>
              </w:rPr>
            </w:pPr>
          </w:p>
        </w:tc>
        <w:tc>
          <w:tcPr>
            <w:tcW w:w="780" w:type="dxa"/>
            <w:vAlign w:val="bottom"/>
            <w:tcBorders>
              <w:bottom w:val="single" w:sz="8" w:color="F3F3F4"/>
            </w:tcBorders>
            <w:shd w:val="clear" w:color="auto" w:fill="F3F3F4"/>
          </w:tcPr>
          <w:p>
            <w:pPr>
              <w:spacing w:after="0"/>
              <w:rPr>
                <w:sz w:val="24"/>
                <w:szCs w:val="24"/>
                <w:color w:val="auto"/>
              </w:rPr>
            </w:pPr>
          </w:p>
        </w:tc>
        <w:tc>
          <w:tcPr>
            <w:tcW w:w="5820" w:type="dxa"/>
            <w:vAlign w:val="bottom"/>
            <w:tcBorders>
              <w:bottom w:val="single" w:sz="8" w:color="F3F3F4"/>
            </w:tcBorders>
            <w:shd w:val="clear" w:color="auto" w:fill="F3F3F4"/>
          </w:tcPr>
          <w:p>
            <w:pPr>
              <w:ind w:left="1600"/>
              <w:spacing w:after="0"/>
              <w:rPr>
                <w:sz w:val="20"/>
                <w:szCs w:val="20"/>
                <w:color w:val="auto"/>
              </w:rPr>
            </w:pPr>
            <w:r>
              <w:rPr>
                <w:rFonts w:ascii="Arial" w:cs="Arial" w:eastAsia="Arial" w:hAnsi="Arial"/>
                <w:sz w:val="16"/>
                <w:szCs w:val="16"/>
                <w:b w:val="1"/>
                <w:bCs w:val="1"/>
                <w:i w:val="1"/>
                <w:iCs w:val="1"/>
                <w:color w:val="7F7F7F"/>
              </w:rPr>
              <w:t>At Risk</w:t>
            </w:r>
          </w:p>
        </w:tc>
        <w:tc>
          <w:tcPr>
            <w:tcW w:w="0" w:type="dxa"/>
            <w:vAlign w:val="bottom"/>
          </w:tcPr>
          <w:p>
            <w:pPr>
              <w:spacing w:after="0"/>
              <w:rPr>
                <w:sz w:val="1"/>
                <w:szCs w:val="1"/>
                <w:color w:val="auto"/>
              </w:rPr>
            </w:pPr>
          </w:p>
        </w:tc>
      </w:tr>
      <w:tr>
        <w:trPr>
          <w:trHeight w:val="175"/>
        </w:trPr>
        <w:tc>
          <w:tcPr>
            <w:tcW w:w="1000" w:type="dxa"/>
            <w:vAlign w:val="bottom"/>
            <w:gridSpan w:val="2"/>
            <w:vMerge w:val="restart"/>
          </w:tcPr>
          <w:p>
            <w:pPr>
              <w:jc w:val="center"/>
              <w:ind w:right="20"/>
              <w:spacing w:after="0"/>
              <w:rPr>
                <w:sz w:val="20"/>
                <w:szCs w:val="20"/>
                <w:color w:val="auto"/>
              </w:rPr>
            </w:pPr>
            <w:r>
              <w:rPr>
                <w:rFonts w:ascii="Arial" w:cs="Arial" w:eastAsia="Arial" w:hAnsi="Arial"/>
                <w:sz w:val="16"/>
                <w:szCs w:val="16"/>
                <w:b w:val="1"/>
                <w:bCs w:val="1"/>
                <w:color w:val="auto"/>
                <w:w w:val="97"/>
              </w:rPr>
              <w:t>CEO</w:t>
            </w:r>
          </w:p>
        </w:tc>
        <w:tc>
          <w:tcPr>
            <w:tcW w:w="860" w:type="dxa"/>
            <w:vAlign w:val="bottom"/>
            <w:shd w:val="clear" w:color="auto" w:fill="07877B"/>
          </w:tcPr>
          <w:p>
            <w:pPr>
              <w:ind w:left="160"/>
              <w:spacing w:after="0" w:line="175" w:lineRule="exact"/>
              <w:rPr>
                <w:sz w:val="20"/>
                <w:szCs w:val="20"/>
                <w:color w:val="auto"/>
              </w:rPr>
            </w:pPr>
            <w:r>
              <w:rPr>
                <w:rFonts w:ascii="Arial" w:cs="Arial" w:eastAsia="Arial" w:hAnsi="Arial"/>
                <w:sz w:val="16"/>
                <w:szCs w:val="16"/>
                <w:b w:val="1"/>
                <w:bCs w:val="1"/>
                <w:color w:val="FFFFFF"/>
              </w:rPr>
              <w:t>Salary</w:t>
            </w:r>
          </w:p>
        </w:tc>
        <w:tc>
          <w:tcPr>
            <w:tcW w:w="80" w:type="dxa"/>
            <w:vAlign w:val="bottom"/>
            <w:shd w:val="clear" w:color="auto" w:fill="D9AB26"/>
          </w:tcPr>
          <w:p>
            <w:pPr>
              <w:spacing w:after="0"/>
              <w:rPr>
                <w:sz w:val="15"/>
                <w:szCs w:val="15"/>
                <w:color w:val="auto"/>
              </w:rPr>
            </w:pPr>
          </w:p>
        </w:tc>
        <w:tc>
          <w:tcPr>
            <w:tcW w:w="1180" w:type="dxa"/>
            <w:vAlign w:val="bottom"/>
            <w:gridSpan w:val="2"/>
            <w:shd w:val="clear" w:color="auto" w:fill="D9AB26"/>
          </w:tcPr>
          <w:p>
            <w:pPr>
              <w:jc w:val="center"/>
              <w:spacing w:after="0" w:line="175" w:lineRule="exact"/>
              <w:rPr>
                <w:sz w:val="20"/>
                <w:szCs w:val="20"/>
                <w:color w:val="auto"/>
              </w:rPr>
            </w:pPr>
            <w:r>
              <w:rPr>
                <w:rFonts w:ascii="Arial" w:cs="Arial" w:eastAsia="Arial" w:hAnsi="Arial"/>
                <w:sz w:val="16"/>
                <w:szCs w:val="16"/>
                <w:b w:val="1"/>
                <w:bCs w:val="1"/>
                <w:color w:val="FFFFFF"/>
              </w:rPr>
              <w:t>Target Annual</w:t>
            </w:r>
          </w:p>
        </w:tc>
        <w:tc>
          <w:tcPr>
            <w:tcW w:w="780" w:type="dxa"/>
            <w:vAlign w:val="bottom"/>
            <w:shd w:val="clear" w:color="auto" w:fill="00506F"/>
          </w:tcPr>
          <w:p>
            <w:pPr>
              <w:spacing w:after="0"/>
              <w:rPr>
                <w:sz w:val="15"/>
                <w:szCs w:val="15"/>
                <w:color w:val="auto"/>
              </w:rPr>
            </w:pPr>
          </w:p>
        </w:tc>
        <w:tc>
          <w:tcPr>
            <w:tcW w:w="5820" w:type="dxa"/>
            <w:vAlign w:val="bottom"/>
            <w:shd w:val="clear" w:color="auto" w:fill="00506F"/>
          </w:tcPr>
          <w:p>
            <w:pPr>
              <w:jc w:val="center"/>
              <w:ind w:right="719"/>
              <w:spacing w:after="0" w:line="175" w:lineRule="exact"/>
              <w:rPr>
                <w:sz w:val="20"/>
                <w:szCs w:val="20"/>
                <w:color w:val="auto"/>
              </w:rPr>
            </w:pPr>
            <w:r>
              <w:rPr>
                <w:rFonts w:ascii="Arial" w:cs="Arial" w:eastAsia="Arial" w:hAnsi="Arial"/>
                <w:sz w:val="16"/>
                <w:szCs w:val="16"/>
                <w:b w:val="1"/>
                <w:bCs w:val="1"/>
                <w:color w:val="FFFFFF"/>
              </w:rPr>
              <w:t>Target Long-Term</w:t>
            </w:r>
          </w:p>
        </w:tc>
        <w:tc>
          <w:tcPr>
            <w:tcW w:w="0" w:type="dxa"/>
            <w:vAlign w:val="bottom"/>
          </w:tcPr>
          <w:p>
            <w:pPr>
              <w:spacing w:after="0"/>
              <w:rPr>
                <w:sz w:val="1"/>
                <w:szCs w:val="1"/>
                <w:color w:val="auto"/>
              </w:rPr>
            </w:pPr>
          </w:p>
        </w:tc>
      </w:tr>
      <w:tr>
        <w:trPr>
          <w:trHeight w:val="128"/>
        </w:trPr>
        <w:tc>
          <w:tcPr>
            <w:tcW w:w="1000" w:type="dxa"/>
            <w:vAlign w:val="bottom"/>
            <w:gridSpan w:val="2"/>
            <w:vMerge w:val="continue"/>
          </w:tcPr>
          <w:p>
            <w:pPr>
              <w:spacing w:after="0"/>
              <w:rPr>
                <w:sz w:val="11"/>
                <w:szCs w:val="11"/>
                <w:color w:val="auto"/>
              </w:rPr>
            </w:pPr>
          </w:p>
        </w:tc>
        <w:tc>
          <w:tcPr>
            <w:tcW w:w="860" w:type="dxa"/>
            <w:vAlign w:val="bottom"/>
            <w:vMerge w:val="restart"/>
            <w:shd w:val="clear" w:color="auto" w:fill="07877B"/>
          </w:tcPr>
          <w:p>
            <w:pPr>
              <w:ind w:left="180"/>
              <w:spacing w:after="0"/>
              <w:rPr>
                <w:sz w:val="20"/>
                <w:szCs w:val="20"/>
                <w:color w:val="auto"/>
              </w:rPr>
            </w:pPr>
            <w:r>
              <w:rPr>
                <w:rFonts w:ascii="Arial" w:cs="Arial" w:eastAsia="Arial" w:hAnsi="Arial"/>
                <w:sz w:val="16"/>
                <w:szCs w:val="16"/>
                <w:color w:val="FFFFFF"/>
              </w:rPr>
              <w:t>10.3%</w:t>
            </w:r>
          </w:p>
        </w:tc>
        <w:tc>
          <w:tcPr>
            <w:tcW w:w="80" w:type="dxa"/>
            <w:vAlign w:val="bottom"/>
            <w:shd w:val="clear" w:color="auto" w:fill="D9AB26"/>
          </w:tcPr>
          <w:p>
            <w:pPr>
              <w:spacing w:after="0"/>
              <w:rPr>
                <w:sz w:val="11"/>
                <w:szCs w:val="11"/>
                <w:color w:val="auto"/>
              </w:rPr>
            </w:pPr>
          </w:p>
        </w:tc>
        <w:tc>
          <w:tcPr>
            <w:tcW w:w="1180" w:type="dxa"/>
            <w:vAlign w:val="bottom"/>
            <w:gridSpan w:val="2"/>
            <w:vMerge w:val="restart"/>
            <w:shd w:val="clear" w:color="auto" w:fill="D9AB26"/>
          </w:tcPr>
          <w:p>
            <w:pPr>
              <w:jc w:val="right"/>
              <w:ind w:right="319"/>
              <w:spacing w:after="0"/>
              <w:rPr>
                <w:sz w:val="20"/>
                <w:szCs w:val="20"/>
                <w:color w:val="auto"/>
              </w:rPr>
            </w:pPr>
            <w:r>
              <w:rPr>
                <w:rFonts w:ascii="Arial" w:cs="Arial" w:eastAsia="Arial" w:hAnsi="Arial"/>
                <w:sz w:val="16"/>
                <w:szCs w:val="16"/>
                <w:color w:val="FFFFFF"/>
              </w:rPr>
              <w:t>14.4%</w:t>
            </w:r>
          </w:p>
        </w:tc>
        <w:tc>
          <w:tcPr>
            <w:tcW w:w="780" w:type="dxa"/>
            <w:vAlign w:val="bottom"/>
            <w:shd w:val="clear" w:color="auto" w:fill="00506F"/>
          </w:tcPr>
          <w:p>
            <w:pPr>
              <w:spacing w:after="0"/>
              <w:rPr>
                <w:sz w:val="11"/>
                <w:szCs w:val="11"/>
                <w:color w:val="auto"/>
              </w:rPr>
            </w:pPr>
          </w:p>
        </w:tc>
        <w:tc>
          <w:tcPr>
            <w:tcW w:w="5820" w:type="dxa"/>
            <w:vAlign w:val="bottom"/>
            <w:vMerge w:val="restart"/>
            <w:shd w:val="clear" w:color="auto" w:fill="00506F"/>
          </w:tcPr>
          <w:p>
            <w:pPr>
              <w:jc w:val="right"/>
              <w:ind w:right="2999"/>
              <w:spacing w:after="0"/>
              <w:rPr>
                <w:sz w:val="20"/>
                <w:szCs w:val="20"/>
                <w:color w:val="auto"/>
              </w:rPr>
            </w:pPr>
            <w:r>
              <w:rPr>
                <w:rFonts w:ascii="Arial" w:cs="Arial" w:eastAsia="Arial" w:hAnsi="Arial"/>
                <w:sz w:val="16"/>
                <w:szCs w:val="16"/>
                <w:color w:val="FFFFFF"/>
              </w:rPr>
              <w:t>75.3%</w:t>
            </w:r>
          </w:p>
        </w:tc>
        <w:tc>
          <w:tcPr>
            <w:tcW w:w="0" w:type="dxa"/>
            <w:vAlign w:val="bottom"/>
          </w:tcPr>
          <w:p>
            <w:pPr>
              <w:spacing w:after="0"/>
              <w:rPr>
                <w:sz w:val="1"/>
                <w:szCs w:val="1"/>
                <w:color w:val="auto"/>
              </w:rPr>
            </w:pPr>
          </w:p>
        </w:tc>
      </w:tr>
      <w:tr>
        <w:trPr>
          <w:trHeight w:val="89"/>
        </w:trPr>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shd w:val="clear" w:color="auto" w:fill="07877B"/>
          </w:tcPr>
          <w:p>
            <w:pPr>
              <w:spacing w:after="0"/>
              <w:rPr>
                <w:sz w:val="7"/>
                <w:szCs w:val="7"/>
                <w:color w:val="auto"/>
              </w:rPr>
            </w:pPr>
          </w:p>
        </w:tc>
        <w:tc>
          <w:tcPr>
            <w:tcW w:w="80" w:type="dxa"/>
            <w:vAlign w:val="bottom"/>
            <w:shd w:val="clear" w:color="auto" w:fill="D9AB26"/>
          </w:tcPr>
          <w:p>
            <w:pPr>
              <w:spacing w:after="0"/>
              <w:rPr>
                <w:sz w:val="7"/>
                <w:szCs w:val="7"/>
                <w:color w:val="auto"/>
              </w:rPr>
            </w:pPr>
          </w:p>
        </w:tc>
        <w:tc>
          <w:tcPr>
            <w:tcW w:w="1180" w:type="dxa"/>
            <w:vAlign w:val="bottom"/>
            <w:gridSpan w:val="2"/>
            <w:vMerge w:val="continue"/>
            <w:shd w:val="clear" w:color="auto" w:fill="D9AB26"/>
          </w:tcPr>
          <w:p>
            <w:pPr>
              <w:spacing w:after="0"/>
              <w:rPr>
                <w:sz w:val="7"/>
                <w:szCs w:val="7"/>
                <w:color w:val="auto"/>
              </w:rPr>
            </w:pPr>
          </w:p>
        </w:tc>
        <w:tc>
          <w:tcPr>
            <w:tcW w:w="780" w:type="dxa"/>
            <w:vAlign w:val="bottom"/>
            <w:shd w:val="clear" w:color="auto" w:fill="00506F"/>
          </w:tcPr>
          <w:p>
            <w:pPr>
              <w:spacing w:after="0"/>
              <w:rPr>
                <w:sz w:val="7"/>
                <w:szCs w:val="7"/>
                <w:color w:val="auto"/>
              </w:rPr>
            </w:pPr>
          </w:p>
        </w:tc>
        <w:tc>
          <w:tcPr>
            <w:tcW w:w="5820" w:type="dxa"/>
            <w:vAlign w:val="bottom"/>
            <w:vMerge w:val="continue"/>
            <w:shd w:val="clear" w:color="auto" w:fill="00506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Other NEOs</w:t>
            </w:r>
          </w:p>
        </w:tc>
        <w:tc>
          <w:tcPr>
            <w:tcW w:w="20" w:type="dxa"/>
            <w:vAlign w:val="bottom"/>
          </w:tcPr>
          <w:p>
            <w:pPr>
              <w:spacing w:after="0"/>
              <w:rPr>
                <w:sz w:val="7"/>
                <w:szCs w:val="7"/>
                <w:color w:val="auto"/>
              </w:rPr>
            </w:pPr>
          </w:p>
        </w:tc>
        <w:tc>
          <w:tcPr>
            <w:tcW w:w="940" w:type="dxa"/>
            <w:vAlign w:val="bottom"/>
            <w:gridSpan w:val="2"/>
          </w:tcPr>
          <w:p>
            <w:pPr>
              <w:spacing w:after="0"/>
              <w:rPr>
                <w:sz w:val="7"/>
                <w:szCs w:val="7"/>
                <w:color w:val="auto"/>
              </w:rPr>
            </w:pPr>
          </w:p>
        </w:tc>
        <w:tc>
          <w:tcPr>
            <w:tcW w:w="500" w:type="dxa"/>
            <w:vAlign w:val="bottom"/>
          </w:tcPr>
          <w:p>
            <w:pPr>
              <w:spacing w:after="0"/>
              <w:rPr>
                <w:sz w:val="7"/>
                <w:szCs w:val="7"/>
                <w:color w:val="auto"/>
              </w:rPr>
            </w:pPr>
          </w:p>
        </w:tc>
        <w:tc>
          <w:tcPr>
            <w:tcW w:w="1460" w:type="dxa"/>
            <w:vAlign w:val="bottom"/>
            <w:gridSpan w:val="2"/>
          </w:tcPr>
          <w:p>
            <w:pPr>
              <w:spacing w:after="0"/>
              <w:rPr>
                <w:sz w:val="7"/>
                <w:szCs w:val="7"/>
                <w:color w:val="auto"/>
              </w:rPr>
            </w:pPr>
          </w:p>
        </w:tc>
        <w:tc>
          <w:tcPr>
            <w:tcW w:w="5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20" w:type="dxa"/>
            <w:vAlign w:val="bottom"/>
            <w:shd w:val="clear" w:color="auto" w:fill="07877B"/>
          </w:tcPr>
          <w:p>
            <w:pPr>
              <w:spacing w:after="0"/>
              <w:rPr>
                <w:sz w:val="16"/>
                <w:szCs w:val="16"/>
                <w:color w:val="auto"/>
              </w:rPr>
            </w:pPr>
          </w:p>
        </w:tc>
        <w:tc>
          <w:tcPr>
            <w:tcW w:w="940" w:type="dxa"/>
            <w:vAlign w:val="bottom"/>
            <w:gridSpan w:val="2"/>
            <w:shd w:val="clear" w:color="auto" w:fill="07877B"/>
          </w:tcPr>
          <w:p>
            <w:pPr>
              <w:ind w:left="440"/>
              <w:spacing w:after="0"/>
              <w:rPr>
                <w:sz w:val="20"/>
                <w:szCs w:val="20"/>
                <w:color w:val="auto"/>
              </w:rPr>
            </w:pPr>
            <w:r>
              <w:rPr>
                <w:rFonts w:ascii="Arial" w:cs="Arial" w:eastAsia="Arial" w:hAnsi="Arial"/>
                <w:sz w:val="16"/>
                <w:szCs w:val="16"/>
                <w:b w:val="1"/>
                <w:bCs w:val="1"/>
                <w:color w:val="FFFFFF"/>
                <w:w w:val="99"/>
              </w:rPr>
              <w:t>Salary</w:t>
            </w:r>
          </w:p>
        </w:tc>
        <w:tc>
          <w:tcPr>
            <w:tcW w:w="500" w:type="dxa"/>
            <w:vAlign w:val="bottom"/>
            <w:shd w:val="clear" w:color="auto" w:fill="07877B"/>
          </w:tcPr>
          <w:p>
            <w:pPr>
              <w:spacing w:after="0"/>
              <w:rPr>
                <w:sz w:val="16"/>
                <w:szCs w:val="16"/>
                <w:color w:val="auto"/>
              </w:rPr>
            </w:pPr>
          </w:p>
        </w:tc>
        <w:tc>
          <w:tcPr>
            <w:tcW w:w="1460" w:type="dxa"/>
            <w:vAlign w:val="bottom"/>
            <w:gridSpan w:val="2"/>
            <w:shd w:val="clear" w:color="auto" w:fill="D9AB26"/>
          </w:tcPr>
          <w:p>
            <w:pPr>
              <w:jc w:val="center"/>
              <w:ind w:right="20"/>
              <w:spacing w:after="0"/>
              <w:rPr>
                <w:sz w:val="20"/>
                <w:szCs w:val="20"/>
                <w:color w:val="auto"/>
              </w:rPr>
            </w:pPr>
            <w:r>
              <w:rPr>
                <w:rFonts w:ascii="Arial" w:cs="Arial" w:eastAsia="Arial" w:hAnsi="Arial"/>
                <w:sz w:val="16"/>
                <w:szCs w:val="16"/>
                <w:b w:val="1"/>
                <w:bCs w:val="1"/>
                <w:color w:val="FFFFFF"/>
              </w:rPr>
              <w:t>Target Annual</w:t>
            </w:r>
          </w:p>
        </w:tc>
        <w:tc>
          <w:tcPr>
            <w:tcW w:w="5820" w:type="dxa"/>
            <w:vAlign w:val="bottom"/>
            <w:shd w:val="clear" w:color="auto" w:fill="00506F"/>
          </w:tcPr>
          <w:p>
            <w:pPr>
              <w:jc w:val="center"/>
              <w:spacing w:after="0"/>
              <w:rPr>
                <w:sz w:val="20"/>
                <w:szCs w:val="20"/>
                <w:color w:val="auto"/>
              </w:rPr>
            </w:pPr>
            <w:r>
              <w:rPr>
                <w:rFonts w:ascii="Arial" w:cs="Arial" w:eastAsia="Arial" w:hAnsi="Arial"/>
                <w:sz w:val="16"/>
                <w:szCs w:val="16"/>
                <w:b w:val="1"/>
                <w:bCs w:val="1"/>
                <w:color w:val="FFFFFF"/>
              </w:rPr>
              <w:t>Target Long-Term</w:t>
            </w:r>
          </w:p>
        </w:tc>
        <w:tc>
          <w:tcPr>
            <w:tcW w:w="0" w:type="dxa"/>
            <w:vAlign w:val="bottom"/>
          </w:tcPr>
          <w:p>
            <w:pPr>
              <w:spacing w:after="0"/>
              <w:rPr>
                <w:sz w:val="1"/>
                <w:szCs w:val="1"/>
                <w:color w:val="auto"/>
              </w:rPr>
            </w:pPr>
          </w:p>
        </w:tc>
      </w:tr>
      <w:tr>
        <w:trPr>
          <w:trHeight w:val="230"/>
        </w:trPr>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c>
          <w:tcPr>
            <w:tcW w:w="20" w:type="dxa"/>
            <w:vAlign w:val="bottom"/>
            <w:shd w:val="clear" w:color="auto" w:fill="07877B"/>
          </w:tcPr>
          <w:p>
            <w:pPr>
              <w:spacing w:after="0"/>
              <w:rPr>
                <w:sz w:val="20"/>
                <w:szCs w:val="20"/>
                <w:color w:val="auto"/>
              </w:rPr>
            </w:pPr>
          </w:p>
        </w:tc>
        <w:tc>
          <w:tcPr>
            <w:tcW w:w="940" w:type="dxa"/>
            <w:vAlign w:val="bottom"/>
            <w:gridSpan w:val="2"/>
            <w:shd w:val="clear" w:color="auto" w:fill="07877B"/>
          </w:tcPr>
          <w:p>
            <w:pPr>
              <w:ind w:left="460"/>
              <w:spacing w:after="0"/>
              <w:rPr>
                <w:sz w:val="20"/>
                <w:szCs w:val="20"/>
                <w:color w:val="auto"/>
              </w:rPr>
            </w:pPr>
            <w:r>
              <w:rPr>
                <w:rFonts w:ascii="Arial" w:cs="Arial" w:eastAsia="Arial" w:hAnsi="Arial"/>
                <w:sz w:val="16"/>
                <w:szCs w:val="16"/>
                <w:color w:val="FFFFFF"/>
              </w:rPr>
              <w:t>16.7%</w:t>
            </w:r>
          </w:p>
        </w:tc>
        <w:tc>
          <w:tcPr>
            <w:tcW w:w="500" w:type="dxa"/>
            <w:vAlign w:val="bottom"/>
            <w:shd w:val="clear" w:color="auto" w:fill="07877B"/>
          </w:tcPr>
          <w:p>
            <w:pPr>
              <w:spacing w:after="0"/>
              <w:rPr>
                <w:sz w:val="20"/>
                <w:szCs w:val="20"/>
                <w:color w:val="auto"/>
              </w:rPr>
            </w:pPr>
          </w:p>
        </w:tc>
        <w:tc>
          <w:tcPr>
            <w:tcW w:w="1460" w:type="dxa"/>
            <w:vAlign w:val="bottom"/>
            <w:gridSpan w:val="2"/>
            <w:shd w:val="clear" w:color="auto" w:fill="D9AB26"/>
          </w:tcPr>
          <w:p>
            <w:pPr>
              <w:jc w:val="right"/>
              <w:ind w:right="520"/>
              <w:spacing w:after="0"/>
              <w:rPr>
                <w:sz w:val="20"/>
                <w:szCs w:val="20"/>
                <w:color w:val="auto"/>
              </w:rPr>
            </w:pPr>
            <w:r>
              <w:rPr>
                <w:rFonts w:ascii="Arial" w:cs="Arial" w:eastAsia="Arial" w:hAnsi="Arial"/>
                <w:sz w:val="16"/>
                <w:szCs w:val="16"/>
                <w:color w:val="FFFFFF"/>
              </w:rPr>
              <w:t>17.2%</w:t>
            </w:r>
          </w:p>
        </w:tc>
        <w:tc>
          <w:tcPr>
            <w:tcW w:w="5820" w:type="dxa"/>
            <w:vAlign w:val="bottom"/>
            <w:shd w:val="clear" w:color="auto" w:fill="00506F"/>
          </w:tcPr>
          <w:p>
            <w:pPr>
              <w:jc w:val="right"/>
              <w:ind w:right="2619"/>
              <w:spacing w:after="0"/>
              <w:rPr>
                <w:sz w:val="20"/>
                <w:szCs w:val="20"/>
                <w:color w:val="auto"/>
              </w:rPr>
            </w:pPr>
            <w:r>
              <w:rPr>
                <w:rFonts w:ascii="Arial" w:cs="Arial" w:eastAsia="Arial" w:hAnsi="Arial"/>
                <w:sz w:val="16"/>
                <w:szCs w:val="16"/>
                <w:color w:val="FFFFFF"/>
              </w:rPr>
              <w:t>66.1%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-277495</wp:posOffset>
            </wp:positionV>
            <wp:extent cx="4650105" cy="290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650105" cy="29083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Decision-Making Process</w:t>
      </w:r>
    </w:p>
    <w:p>
      <w:pPr>
        <w:spacing w:after="0" w:line="112"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Executive compensation decision-making is a core responsibility of the Board, with the MD&amp;C Committee overseeing the executive compensation program. The MD&amp;C Committee is comprised of independent, non-employee members of the Board. Details of the MD&amp;C Committee’s authority and responsibilities are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172200" cy="2146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72200" cy="21463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Roles in the Executive Compensation Decision-Making Process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1840" w:type="dxa"/>
            <w:vAlign w:val="bottom"/>
            <w:tcBorders>
              <w:top w:val="single" w:sz="8" w:color="auto"/>
              <w:bottom w:val="single" w:sz="8" w:color="F3F3F4"/>
            </w:tcBorders>
            <w:shd w:val="clear" w:color="auto" w:fill="F3F3F4"/>
          </w:tcPr>
          <w:p>
            <w:pPr>
              <w:ind w:left="440"/>
              <w:spacing w:after="0"/>
              <w:rPr>
                <w:sz w:val="20"/>
                <w:szCs w:val="20"/>
                <w:color w:val="auto"/>
              </w:rPr>
            </w:pPr>
            <w:r>
              <w:rPr>
                <w:rFonts w:ascii="Arial" w:cs="Arial" w:eastAsia="Arial" w:hAnsi="Arial"/>
                <w:sz w:val="16"/>
                <w:szCs w:val="16"/>
                <w:b w:val="1"/>
                <w:bCs w:val="1"/>
                <w:color w:val="auto"/>
              </w:rPr>
              <w:t>Full Board</w:t>
            </w:r>
          </w:p>
        </w:tc>
        <w:tc>
          <w:tcPr>
            <w:tcW w:w="2360" w:type="dxa"/>
            <w:vAlign w:val="bottom"/>
            <w:tcBorders>
              <w:top w:val="single" w:sz="8" w:color="auto"/>
              <w:bottom w:val="single" w:sz="8" w:color="F3F3F4"/>
            </w:tcBorders>
            <w:shd w:val="clear" w:color="auto" w:fill="F3F3F4"/>
          </w:tcPr>
          <w:p>
            <w:pPr>
              <w:ind w:left="600"/>
              <w:spacing w:after="0"/>
              <w:rPr>
                <w:sz w:val="20"/>
                <w:szCs w:val="20"/>
                <w:color w:val="auto"/>
              </w:rPr>
            </w:pPr>
            <w:r>
              <w:rPr>
                <w:rFonts w:ascii="Arial" w:cs="Arial" w:eastAsia="Arial" w:hAnsi="Arial"/>
                <w:sz w:val="16"/>
                <w:szCs w:val="16"/>
                <w:b w:val="1"/>
                <w:bCs w:val="1"/>
                <w:color w:val="auto"/>
              </w:rPr>
              <w:t>MD&amp;C Committee</w:t>
            </w:r>
          </w:p>
        </w:tc>
        <w:tc>
          <w:tcPr>
            <w:tcW w:w="2400" w:type="dxa"/>
            <w:vAlign w:val="bottom"/>
            <w:tcBorders>
              <w:top w:val="single" w:sz="8" w:color="auto"/>
              <w:bottom w:val="single" w:sz="8" w:color="F3F3F4"/>
            </w:tcBorders>
            <w:shd w:val="clear" w:color="auto" w:fill="F3F3F4"/>
          </w:tcPr>
          <w:p>
            <w:pPr>
              <w:ind w:left="480"/>
              <w:spacing w:after="0"/>
              <w:rPr>
                <w:sz w:val="20"/>
                <w:szCs w:val="20"/>
                <w:color w:val="auto"/>
              </w:rPr>
            </w:pPr>
            <w:r>
              <w:rPr>
                <w:rFonts w:ascii="Arial" w:cs="Arial" w:eastAsia="Arial" w:hAnsi="Arial"/>
                <w:sz w:val="16"/>
                <w:szCs w:val="16"/>
                <w:b w:val="1"/>
                <w:bCs w:val="1"/>
                <w:color w:val="auto"/>
              </w:rPr>
              <w:t>Executive Management</w:t>
            </w:r>
          </w:p>
        </w:tc>
        <w:tc>
          <w:tcPr>
            <w:tcW w:w="3120" w:type="dxa"/>
            <w:vAlign w:val="bottom"/>
            <w:tcBorders>
              <w:top w:val="single" w:sz="8" w:color="auto"/>
              <w:bottom w:val="single" w:sz="8" w:color="F3F3F4"/>
            </w:tcBorders>
            <w:shd w:val="clear" w:color="auto" w:fill="F3F3F4"/>
          </w:tcPr>
          <w:p>
            <w:pPr>
              <w:ind w:left="660"/>
              <w:spacing w:after="0"/>
              <w:rPr>
                <w:sz w:val="20"/>
                <w:szCs w:val="20"/>
                <w:color w:val="auto"/>
              </w:rPr>
            </w:pPr>
            <w:r>
              <w:rPr>
                <w:rFonts w:ascii="Arial" w:cs="Arial" w:eastAsia="Arial" w:hAnsi="Arial"/>
                <w:sz w:val="16"/>
                <w:szCs w:val="16"/>
                <w:b w:val="1"/>
                <w:bCs w:val="1"/>
                <w:color w:val="auto"/>
              </w:rPr>
              <w:t>Independent Consultant</w:t>
            </w:r>
          </w:p>
        </w:tc>
      </w:tr>
      <w:tr>
        <w:trPr>
          <w:trHeight w:val="310"/>
        </w:trPr>
        <w:tc>
          <w:tcPr>
            <w:tcW w:w="42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 xml:space="preserve">Independent board   </w:t>
            </w:r>
            <w:r>
              <w:rPr>
                <w:rFonts w:ascii="Arial" w:cs="Arial" w:eastAsia="Arial" w:hAnsi="Arial"/>
                <w:sz w:val="16"/>
                <w:szCs w:val="16"/>
                <w:color w:val="auto"/>
              </w:rPr>
              <w:t>Works closely with executive</w:t>
            </w:r>
          </w:p>
        </w:tc>
        <w:tc>
          <w:tcPr>
            <w:tcW w:w="24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CEO reviews with the</w:t>
            </w:r>
          </w:p>
        </w:tc>
        <w:tc>
          <w:tcPr>
            <w:tcW w:w="312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MD&amp;C Committee engages an</w:t>
            </w:r>
          </w:p>
        </w:tc>
      </w:tr>
    </w:tbl>
    <w:p>
      <w:pPr>
        <w:sectPr>
          <w:pgSz w:w="11900" w:h="16870" w:orient="portrait"/>
          <w:cols w:equalWidth="0" w:num="1">
            <w:col w:w="9720"/>
          </w:cols>
          <w:pgMar w:left="1080" w:top="1218" w:right="1099" w:bottom="0" w:gutter="0" w:footer="0" w:header="0"/>
          <w:type w:val="continuous"/>
        </w:sectPr>
      </w:pPr>
    </w:p>
    <w:bookmarkStart w:id="26" w:name="page27"/>
    <w:bookmarkEnd w:id="26"/>
    <w:p>
      <w:pPr>
        <w:spacing w:after="0" w:line="26" w:lineRule="exact"/>
        <w:rPr>
          <w:sz w:val="20"/>
          <w:szCs w:val="20"/>
          <w:color w:val="auto"/>
        </w:rPr>
      </w:pPr>
    </w:p>
    <w:p>
      <w:pPr>
        <w:ind w:left="740"/>
        <w:spacing w:after="0" w:line="254" w:lineRule="auto"/>
        <w:rPr>
          <w:sz w:val="20"/>
          <w:szCs w:val="20"/>
          <w:color w:val="auto"/>
        </w:rPr>
      </w:pPr>
      <w:r>
        <w:rPr>
          <w:rFonts w:ascii="Arial" w:cs="Arial" w:eastAsia="Arial" w:hAnsi="Arial"/>
          <w:sz w:val="16"/>
          <w:szCs w:val="16"/>
          <w:b w:val="1"/>
          <w:bCs w:val="1"/>
          <w:color w:val="auto"/>
        </w:rPr>
        <w:t xml:space="preserve">members </w:t>
      </w:r>
      <w:r>
        <w:rPr>
          <w:rFonts w:ascii="Arial" w:cs="Arial" w:eastAsia="Arial" w:hAnsi="Arial"/>
          <w:sz w:val="16"/>
          <w:szCs w:val="16"/>
          <w:color w:val="auto"/>
        </w:rPr>
        <w:t>review,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modify as needed, and approve the MD&amp;C Committee’s recommendations for the </w:t>
      </w:r>
      <w:r>
        <w:rPr>
          <w:rFonts w:ascii="Arial" w:cs="Arial" w:eastAsia="Arial" w:hAnsi="Arial"/>
          <w:sz w:val="16"/>
          <w:szCs w:val="16"/>
          <w:b w:val="1"/>
          <w:bCs w:val="1"/>
          <w:color w:val="auto"/>
        </w:rPr>
        <w:t>CEO’s total</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669290</wp:posOffset>
            </wp:positionV>
            <wp:extent cx="10541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management and its independent consultant to monitor throughout the year the </w:t>
      </w:r>
      <w:r>
        <w:rPr>
          <w:rFonts w:ascii="Arial" w:cs="Arial" w:eastAsia="Arial" w:hAnsi="Arial"/>
          <w:sz w:val="16"/>
          <w:szCs w:val="16"/>
          <w:b w:val="1"/>
          <w:bCs w:val="1"/>
          <w:color w:val="auto"/>
        </w:rPr>
        <w:t>effectiveness of APA’s</w:t>
      </w:r>
      <w:r>
        <w:rPr>
          <w:rFonts w:ascii="Arial" w:cs="Arial" w:eastAsia="Arial" w:hAnsi="Arial"/>
          <w:sz w:val="16"/>
          <w:szCs w:val="16"/>
          <w:color w:val="auto"/>
        </w:rPr>
        <w:t xml:space="preserve"> </w:t>
      </w:r>
      <w:r>
        <w:rPr>
          <w:rFonts w:ascii="Arial" w:cs="Arial" w:eastAsia="Arial" w:hAnsi="Arial"/>
          <w:sz w:val="16"/>
          <w:szCs w:val="16"/>
          <w:b w:val="1"/>
          <w:bCs w:val="1"/>
          <w:color w:val="auto"/>
        </w:rPr>
        <w:t>executive compensation program</w:t>
      </w:r>
    </w:p>
    <w:p>
      <w:pPr>
        <w:spacing w:after="0" w:line="5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 xml:space="preserve">Reviews and approves non-CEO executive compensation, including </w:t>
      </w:r>
      <w:r>
        <w:rPr>
          <w:rFonts w:ascii="Arial" w:cs="Arial" w:eastAsia="Arial" w:hAnsi="Arial"/>
          <w:sz w:val="16"/>
          <w:szCs w:val="16"/>
          <w:b w:val="1"/>
          <w:bCs w:val="1"/>
          <w:color w:val="auto"/>
        </w:rPr>
        <w:t>evaluating performance against corporate goals</w:t>
      </w:r>
      <w:r>
        <w:rPr>
          <w:rFonts w:ascii="Arial" w:cs="Arial" w:eastAsia="Arial" w:hAnsi="Arial"/>
          <w:sz w:val="16"/>
          <w:szCs w:val="16"/>
          <w:color w:val="auto"/>
        </w:rPr>
        <w:t>, advising on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plans, and administering equity-based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227330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244475</wp:posOffset>
            </wp:positionV>
            <wp:extent cx="17227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 xml:space="preserve">MD&amp;C Committee his compensation recommendations for the other NEOs, providing </w:t>
      </w:r>
      <w:r>
        <w:rPr>
          <w:rFonts w:ascii="Arial" w:cs="Arial" w:eastAsia="Arial" w:hAnsi="Arial"/>
          <w:sz w:val="16"/>
          <w:szCs w:val="16"/>
          <w:b w:val="1"/>
          <w:bCs w:val="1"/>
          <w:color w:val="auto"/>
        </w:rPr>
        <w:t>management input, transparency, and oversight</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CEO does not participate in the deliberations of the MD&amp;C Committee regarding his own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104775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121920</wp:posOffset>
            </wp:positionV>
            <wp:extent cx="12941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60"/>
        <w:spacing w:after="0" w:line="256" w:lineRule="auto"/>
        <w:rPr>
          <w:sz w:val="20"/>
          <w:szCs w:val="20"/>
          <w:color w:val="auto"/>
        </w:rPr>
      </w:pPr>
      <w:r>
        <w:rPr>
          <w:rFonts w:ascii="Arial" w:cs="Arial" w:eastAsia="Arial" w:hAnsi="Arial"/>
          <w:sz w:val="16"/>
          <w:szCs w:val="16"/>
          <w:color w:val="auto"/>
        </w:rPr>
        <w:t xml:space="preserve">independent compensation consultant to provide expertise on competitive pay practices, program design, and an </w:t>
      </w:r>
      <w:r>
        <w:rPr>
          <w:rFonts w:ascii="Arial" w:cs="Arial" w:eastAsia="Arial" w:hAnsi="Arial"/>
          <w:sz w:val="16"/>
          <w:szCs w:val="16"/>
          <w:b w:val="1"/>
          <w:bCs w:val="1"/>
          <w:color w:val="auto"/>
        </w:rPr>
        <w:t xml:space="preserve">objective assessment </w:t>
      </w:r>
      <w:r>
        <w:rPr>
          <w:rFonts w:ascii="Arial" w:cs="Arial" w:eastAsia="Arial" w:hAnsi="Arial"/>
          <w:sz w:val="16"/>
          <w:szCs w:val="16"/>
          <w:color w:val="auto"/>
        </w:rPr>
        <w:t>of any inherent</w:t>
      </w:r>
      <w:r>
        <w:rPr>
          <w:rFonts w:ascii="Arial" w:cs="Arial" w:eastAsia="Arial" w:hAnsi="Arial"/>
          <w:sz w:val="16"/>
          <w:szCs w:val="16"/>
          <w:b w:val="1"/>
          <w:bCs w:val="1"/>
          <w:color w:val="auto"/>
        </w:rPr>
        <w:t xml:space="preserve"> </w:t>
      </w:r>
      <w:r>
        <w:rPr>
          <w:rFonts w:ascii="Arial" w:cs="Arial" w:eastAsia="Arial" w:hAnsi="Arial"/>
          <w:sz w:val="16"/>
          <w:szCs w:val="16"/>
          <w:color w:val="auto"/>
        </w:rPr>
        <w:t>risks of any programs</w:t>
      </w:r>
    </w:p>
    <w:p>
      <w:pPr>
        <w:spacing w:after="0" w:line="71" w:lineRule="exact"/>
        <w:rPr>
          <w:sz w:val="20"/>
          <w:szCs w:val="20"/>
          <w:color w:val="auto"/>
        </w:rPr>
      </w:pPr>
    </w:p>
    <w:p>
      <w:pPr>
        <w:ind w:right="720"/>
        <w:spacing w:after="0" w:line="271" w:lineRule="auto"/>
        <w:rPr>
          <w:sz w:val="20"/>
          <w:szCs w:val="20"/>
          <w:color w:val="auto"/>
        </w:rPr>
      </w:pPr>
      <w:r>
        <w:rPr>
          <w:rFonts w:ascii="Arial" w:cs="Arial" w:eastAsia="Arial" w:hAnsi="Arial"/>
          <w:sz w:val="16"/>
          <w:szCs w:val="16"/>
          <w:color w:val="auto"/>
        </w:rPr>
        <w:t xml:space="preserve">The MD&amp;C Committee engaged Pearl Meyer &amp; Partners, LLC and determined it was </w:t>
      </w:r>
      <w:r>
        <w:rPr>
          <w:rFonts w:ascii="Arial" w:cs="Arial" w:eastAsia="Arial" w:hAnsi="Arial"/>
          <w:sz w:val="16"/>
          <w:szCs w:val="16"/>
          <w:b w:val="1"/>
          <w:bCs w:val="1"/>
          <w:color w:val="auto"/>
        </w:rPr>
        <w:t>independent</w:t>
      </w:r>
      <w:r>
        <w:rPr>
          <w:rFonts w:ascii="Arial" w:cs="Arial" w:eastAsia="Arial" w:hAnsi="Arial"/>
          <w:sz w:val="16"/>
          <w:szCs w:val="16"/>
          <w:color w:val="auto"/>
        </w:rPr>
        <w:t xml:space="preserve"> during 2025</w:t>
      </w:r>
    </w:p>
    <w:p>
      <w:pPr>
        <w:spacing w:after="0" w:line="52" w:lineRule="exact"/>
        <w:rPr>
          <w:sz w:val="20"/>
          <w:szCs w:val="20"/>
          <w:color w:val="auto"/>
        </w:rPr>
      </w:pPr>
    </w:p>
    <w:p>
      <w:pPr>
        <w:ind w:right="720"/>
        <w:spacing w:after="0" w:line="266" w:lineRule="auto"/>
        <w:rPr>
          <w:sz w:val="20"/>
          <w:szCs w:val="20"/>
          <w:color w:val="auto"/>
        </w:rPr>
      </w:pPr>
      <w:r>
        <w:rPr>
          <w:rFonts w:ascii="Arial" w:cs="Arial" w:eastAsia="Arial" w:hAnsi="Arial"/>
          <w:sz w:val="16"/>
          <w:szCs w:val="16"/>
          <w:color w:val="auto"/>
        </w:rPr>
        <w:t>Pearl Meyer reports directly to the MD&amp;C Committee and does not provide any additional services to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48895</wp:posOffset>
            </wp:positionV>
            <wp:extent cx="19716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260" w:space="180"/>
            <w:col w:w="2580" w:space="220"/>
            <w:col w:w="2040" w:space="100"/>
            <w:col w:w="3660"/>
          </w:cols>
          <w:pgMar w:left="420" w:top="100" w:right="43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21</w:t>
            </w:r>
          </w:p>
        </w:tc>
      </w:tr>
      <w:tr>
        <w:trPr>
          <w:trHeight w:val="878"/>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0" w:right="4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Compensation Peer Group</w:t>
      </w:r>
    </w:p>
    <w:p>
      <w:pPr>
        <w:spacing w:after="0" w:line="11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MD&amp;C Committee regularly assesses the market competitiveness of the Company’s executive compensation program based on data from a comparator peer group (called “the compensation peer group”). The MD&amp;C Committee reviews and determines the compensation peer group’s composition on an annual basis, considering input from its independent compensation consultant and management. In its review, the MD&amp;C Committee references publicly disclosed pay data from the compensation peer group in combination with survey data to help define the competitive market for pay opportunities. The MD&amp;C Committee also collects data from the compensation peer group to examine competitive practices and program governance.</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compensation peer group is intended to reflect E&amp;P companies of a similar size, scope of operations, complexity, and/or international footprint as APA. In aggregate, these characteristics help ensure that we set annual target total compensation levels relative to companies that compete with us for executive talent and face similar operational challenges within the E&amp;P sector. They also support our ability to attract and retain senior leaders who possess the extensive technical expertise required to meet our organization’s demands. This structure also allows us to evaluate our compensation practices relative to peers whose business dynamics closely reflect our own, even if certain of their parameters differ. Specifically, the MD&amp;C Committee uses the following criteria when determining the compensation peer group for companies in our industry: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1660" w:type="dxa"/>
            <w:vAlign w:val="bottom"/>
            <w:tcBorders>
              <w:top w:val="single" w:sz="8" w:color="auto"/>
              <w:bottom w:val="single" w:sz="8" w:color="F3F3F4"/>
            </w:tcBorders>
            <w:shd w:val="clear" w:color="auto" w:fill="F3F3F4"/>
          </w:tcPr>
          <w:p>
            <w:pPr>
              <w:ind w:left="60"/>
              <w:spacing w:after="0"/>
              <w:rPr>
                <w:sz w:val="20"/>
                <w:szCs w:val="20"/>
                <w:color w:val="auto"/>
              </w:rPr>
            </w:pPr>
            <w:r>
              <w:rPr>
                <w:rFonts w:ascii="Arial" w:cs="Arial" w:eastAsia="Arial" w:hAnsi="Arial"/>
                <w:sz w:val="16"/>
                <w:szCs w:val="16"/>
                <w:b w:val="1"/>
                <w:bCs w:val="1"/>
                <w:color w:val="auto"/>
              </w:rPr>
              <w:t>Component</w:t>
            </w:r>
          </w:p>
        </w:tc>
        <w:tc>
          <w:tcPr>
            <w:tcW w:w="8060" w:type="dxa"/>
            <w:vAlign w:val="bottom"/>
            <w:tcBorders>
              <w:top w:val="single" w:sz="8" w:color="auto"/>
              <w:bottom w:val="single" w:sz="8" w:color="F3F3F4"/>
            </w:tcBorders>
            <w:shd w:val="clear" w:color="auto" w:fill="F3F3F4"/>
          </w:tcPr>
          <w:p>
            <w:pPr>
              <w:ind w:left="160"/>
              <w:spacing w:after="0"/>
              <w:rPr>
                <w:sz w:val="20"/>
                <w:szCs w:val="20"/>
                <w:color w:val="auto"/>
              </w:rPr>
            </w:pPr>
            <w:r>
              <w:rPr>
                <w:rFonts w:ascii="Arial" w:cs="Arial" w:eastAsia="Arial" w:hAnsi="Arial"/>
                <w:sz w:val="16"/>
                <w:szCs w:val="16"/>
                <w:b w:val="1"/>
                <w:bCs w:val="1"/>
                <w:color w:val="auto"/>
              </w:rPr>
              <w:t>Criteria</w:t>
            </w:r>
          </w:p>
        </w:tc>
        <w:tc>
          <w:tcPr>
            <w:tcW w:w="0" w:type="dxa"/>
            <w:vAlign w:val="bottom"/>
          </w:tcPr>
          <w:p>
            <w:pPr>
              <w:spacing w:after="0"/>
              <w:rPr>
                <w:sz w:val="1"/>
                <w:szCs w:val="1"/>
                <w:color w:val="auto"/>
              </w:rPr>
            </w:pPr>
          </w:p>
        </w:tc>
      </w:tr>
      <w:tr>
        <w:trPr>
          <w:trHeight w:val="209"/>
        </w:trPr>
        <w:tc>
          <w:tcPr>
            <w:tcW w:w="166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Size</w:t>
            </w:r>
          </w:p>
        </w:tc>
        <w:tc>
          <w:tcPr>
            <w:tcW w:w="806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 xml:space="preserve">Companies with similar </w:t>
            </w:r>
            <w:r>
              <w:rPr>
                <w:rFonts w:ascii="Arial" w:cs="Arial" w:eastAsia="Arial" w:hAnsi="Arial"/>
                <w:sz w:val="16"/>
                <w:szCs w:val="16"/>
                <w:b w:val="1"/>
                <w:bCs w:val="1"/>
                <w:color w:val="auto"/>
              </w:rPr>
              <w:t>revenues</w:t>
            </w:r>
            <w:r>
              <w:rPr>
                <w:rFonts w:ascii="Arial" w:cs="Arial" w:eastAsia="Arial" w:hAnsi="Arial"/>
                <w:sz w:val="16"/>
                <w:szCs w:val="16"/>
                <w:color w:val="auto"/>
              </w:rPr>
              <w:t xml:space="preserve">—between 0.4x and 3.3x our revenue, </w:t>
            </w:r>
            <w:r>
              <w:rPr>
                <w:rFonts w:ascii="Arial" w:cs="Arial" w:eastAsia="Arial" w:hAnsi="Arial"/>
                <w:sz w:val="16"/>
                <w:szCs w:val="16"/>
                <w:b w:val="1"/>
                <w:bCs w:val="1"/>
                <w:color w:val="auto"/>
              </w:rPr>
              <w:t>assets</w:t>
            </w:r>
            <w:r>
              <w:rPr>
                <w:rFonts w:ascii="Arial" w:cs="Arial" w:eastAsia="Arial" w:hAnsi="Arial"/>
                <w:sz w:val="16"/>
                <w:szCs w:val="16"/>
                <w:color w:val="auto"/>
              </w:rPr>
              <w:t>—between 0.4x and 4.4x our</w:t>
            </w:r>
          </w:p>
        </w:tc>
        <w:tc>
          <w:tcPr>
            <w:tcW w:w="0" w:type="dxa"/>
            <w:vAlign w:val="bottom"/>
          </w:tcPr>
          <w:p>
            <w:pPr>
              <w:spacing w:after="0"/>
              <w:rPr>
                <w:sz w:val="1"/>
                <w:szCs w:val="1"/>
                <w:color w:val="auto"/>
              </w:rPr>
            </w:pPr>
          </w:p>
        </w:tc>
      </w:tr>
      <w:tr>
        <w:trPr>
          <w:trHeight w:val="128"/>
        </w:trPr>
        <w:tc>
          <w:tcPr>
            <w:tcW w:w="1660" w:type="dxa"/>
            <w:vAlign w:val="bottom"/>
            <w:vMerge w:val="continue"/>
          </w:tcPr>
          <w:p>
            <w:pPr>
              <w:spacing w:after="0"/>
              <w:rPr>
                <w:sz w:val="11"/>
                <w:szCs w:val="11"/>
                <w:color w:val="auto"/>
              </w:rPr>
            </w:pPr>
          </w:p>
        </w:tc>
        <w:tc>
          <w:tcPr>
            <w:tcW w:w="8060" w:type="dxa"/>
            <w:vAlign w:val="bottom"/>
            <w:vMerge w:val="restart"/>
          </w:tcPr>
          <w:p>
            <w:pPr>
              <w:ind w:left="160"/>
              <w:spacing w:after="0"/>
              <w:rPr>
                <w:sz w:val="20"/>
                <w:szCs w:val="20"/>
                <w:color w:val="auto"/>
              </w:rPr>
            </w:pPr>
            <w:r>
              <w:rPr>
                <w:rFonts w:ascii="Arial" w:cs="Arial" w:eastAsia="Arial" w:hAnsi="Arial"/>
                <w:sz w:val="16"/>
                <w:szCs w:val="16"/>
                <w:color w:val="auto"/>
              </w:rPr>
              <w:t xml:space="preserve">assets, and </w:t>
            </w:r>
            <w:r>
              <w:rPr>
                <w:rFonts w:ascii="Arial" w:cs="Arial" w:eastAsia="Arial" w:hAnsi="Arial"/>
                <w:sz w:val="16"/>
                <w:szCs w:val="16"/>
                <w:b w:val="1"/>
                <w:bCs w:val="1"/>
                <w:color w:val="auto"/>
              </w:rPr>
              <w:t>market capitalization</w:t>
            </w:r>
            <w:r>
              <w:rPr>
                <w:rFonts w:ascii="Arial" w:cs="Arial" w:eastAsia="Arial" w:hAnsi="Arial"/>
                <w:sz w:val="16"/>
                <w:szCs w:val="16"/>
                <w:color w:val="auto"/>
              </w:rPr>
              <w:t>—between 0.6x and 8.9x our market capitalization</w:t>
            </w:r>
          </w:p>
        </w:tc>
        <w:tc>
          <w:tcPr>
            <w:tcW w:w="0" w:type="dxa"/>
            <w:vAlign w:val="bottom"/>
          </w:tcPr>
          <w:p>
            <w:pPr>
              <w:spacing w:after="0"/>
              <w:rPr>
                <w:sz w:val="1"/>
                <w:szCs w:val="1"/>
                <w:color w:val="auto"/>
              </w:rPr>
            </w:pPr>
          </w:p>
        </w:tc>
      </w:tr>
      <w:tr>
        <w:trPr>
          <w:trHeight w:val="95"/>
        </w:trPr>
        <w:tc>
          <w:tcPr>
            <w:tcW w:w="1660" w:type="dxa"/>
            <w:vAlign w:val="bottom"/>
          </w:tcPr>
          <w:p>
            <w:pPr>
              <w:spacing w:after="0"/>
              <w:rPr>
                <w:sz w:val="8"/>
                <w:szCs w:val="8"/>
                <w:color w:val="auto"/>
              </w:rPr>
            </w:pPr>
          </w:p>
        </w:tc>
        <w:tc>
          <w:tcPr>
            <w:tcW w:w="8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8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660" w:type="dxa"/>
            <w:vAlign w:val="bottom"/>
          </w:tcPr>
          <w:p>
            <w:pPr>
              <w:ind w:left="60"/>
              <w:spacing w:after="0"/>
              <w:rPr>
                <w:sz w:val="20"/>
                <w:szCs w:val="20"/>
                <w:color w:val="auto"/>
              </w:rPr>
            </w:pPr>
            <w:r>
              <w:rPr>
                <w:rFonts w:ascii="Arial" w:cs="Arial" w:eastAsia="Arial" w:hAnsi="Arial"/>
                <w:sz w:val="16"/>
                <w:szCs w:val="16"/>
                <w:b w:val="1"/>
                <w:bCs w:val="1"/>
                <w:color w:val="auto"/>
              </w:rPr>
              <w:t>Operations</w:t>
            </w:r>
          </w:p>
        </w:tc>
        <w:tc>
          <w:tcPr>
            <w:tcW w:w="8060" w:type="dxa"/>
            <w:vAlign w:val="bottom"/>
          </w:tcPr>
          <w:p>
            <w:pPr>
              <w:ind w:left="160"/>
              <w:spacing w:after="0"/>
              <w:rPr>
                <w:sz w:val="20"/>
                <w:szCs w:val="20"/>
                <w:color w:val="auto"/>
              </w:rPr>
            </w:pPr>
            <w:r>
              <w:rPr>
                <w:rFonts w:ascii="Arial" w:cs="Arial" w:eastAsia="Arial" w:hAnsi="Arial"/>
                <w:sz w:val="16"/>
                <w:szCs w:val="16"/>
                <w:color w:val="auto"/>
              </w:rPr>
              <w:t xml:space="preserve">Companies with similar domestic and/or international </w:t>
            </w:r>
            <w:r>
              <w:rPr>
                <w:rFonts w:ascii="Arial" w:cs="Arial" w:eastAsia="Arial" w:hAnsi="Arial"/>
                <w:sz w:val="16"/>
                <w:szCs w:val="16"/>
                <w:b w:val="1"/>
                <w:bCs w:val="1"/>
                <w:color w:val="auto"/>
              </w:rPr>
              <w:t>operations and complexities</w:t>
            </w:r>
          </w:p>
        </w:tc>
        <w:tc>
          <w:tcPr>
            <w:tcW w:w="0" w:type="dxa"/>
            <w:vAlign w:val="bottom"/>
          </w:tcPr>
          <w:p>
            <w:pPr>
              <w:spacing w:after="0"/>
              <w:rPr>
                <w:sz w:val="1"/>
                <w:szCs w:val="1"/>
                <w:color w:val="auto"/>
              </w:rPr>
            </w:pP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8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660" w:type="dxa"/>
            <w:vAlign w:val="bottom"/>
          </w:tcPr>
          <w:p>
            <w:pPr>
              <w:ind w:left="60"/>
              <w:spacing w:after="0"/>
              <w:rPr>
                <w:sz w:val="20"/>
                <w:szCs w:val="20"/>
                <w:color w:val="auto"/>
              </w:rPr>
            </w:pPr>
            <w:r>
              <w:rPr>
                <w:rFonts w:ascii="Arial" w:cs="Arial" w:eastAsia="Arial" w:hAnsi="Arial"/>
                <w:sz w:val="16"/>
                <w:szCs w:val="16"/>
                <w:b w:val="1"/>
                <w:bCs w:val="1"/>
                <w:color w:val="auto"/>
              </w:rPr>
              <w:t>Headquarters</w:t>
            </w:r>
          </w:p>
        </w:tc>
        <w:tc>
          <w:tcPr>
            <w:tcW w:w="8060" w:type="dxa"/>
            <w:vAlign w:val="bottom"/>
          </w:tcPr>
          <w:p>
            <w:pPr>
              <w:ind w:left="160"/>
              <w:spacing w:after="0"/>
              <w:rPr>
                <w:sz w:val="20"/>
                <w:szCs w:val="20"/>
                <w:color w:val="auto"/>
              </w:rPr>
            </w:pPr>
            <w:r>
              <w:rPr>
                <w:rFonts w:ascii="Arial" w:cs="Arial" w:eastAsia="Arial" w:hAnsi="Arial"/>
                <w:sz w:val="16"/>
                <w:szCs w:val="16"/>
                <w:color w:val="auto"/>
              </w:rPr>
              <w:t xml:space="preserve">Companies headquartered in </w:t>
            </w:r>
            <w:r>
              <w:rPr>
                <w:rFonts w:ascii="Arial" w:cs="Arial" w:eastAsia="Arial" w:hAnsi="Arial"/>
                <w:sz w:val="16"/>
                <w:szCs w:val="16"/>
                <w:b w:val="1"/>
                <w:bCs w:val="1"/>
                <w:color w:val="auto"/>
              </w:rPr>
              <w:t>Texas</w:t>
            </w:r>
            <w:r>
              <w:rPr>
                <w:rFonts w:ascii="Arial" w:cs="Arial" w:eastAsia="Arial" w:hAnsi="Arial"/>
                <w:sz w:val="16"/>
                <w:szCs w:val="16"/>
                <w:color w:val="auto"/>
              </w:rPr>
              <w:t xml:space="preserve"> or surrounding states</w:t>
            </w:r>
          </w:p>
        </w:tc>
        <w:tc>
          <w:tcPr>
            <w:tcW w:w="0" w:type="dxa"/>
            <w:vAlign w:val="bottom"/>
          </w:tcPr>
          <w:p>
            <w:pPr>
              <w:spacing w:after="0"/>
              <w:rPr>
                <w:sz w:val="1"/>
                <w:szCs w:val="1"/>
                <w:color w:val="auto"/>
              </w:rPr>
            </w:pP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8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660" w:type="dxa"/>
            <w:vAlign w:val="bottom"/>
          </w:tcPr>
          <w:p>
            <w:pPr>
              <w:ind w:left="60"/>
              <w:spacing w:after="0"/>
              <w:rPr>
                <w:sz w:val="20"/>
                <w:szCs w:val="20"/>
                <w:color w:val="auto"/>
              </w:rPr>
            </w:pPr>
            <w:r>
              <w:rPr>
                <w:rFonts w:ascii="Arial" w:cs="Arial" w:eastAsia="Arial" w:hAnsi="Arial"/>
                <w:sz w:val="16"/>
                <w:szCs w:val="16"/>
                <w:b w:val="1"/>
                <w:bCs w:val="1"/>
                <w:color w:val="auto"/>
              </w:rPr>
              <w:t>Talent Competition</w:t>
            </w:r>
          </w:p>
        </w:tc>
        <w:tc>
          <w:tcPr>
            <w:tcW w:w="8060" w:type="dxa"/>
            <w:vAlign w:val="bottom"/>
          </w:tcPr>
          <w:p>
            <w:pPr>
              <w:ind w:left="160"/>
              <w:spacing w:after="0"/>
              <w:rPr>
                <w:sz w:val="20"/>
                <w:szCs w:val="20"/>
                <w:color w:val="auto"/>
              </w:rPr>
            </w:pPr>
            <w:r>
              <w:rPr>
                <w:rFonts w:ascii="Arial" w:cs="Arial" w:eastAsia="Arial" w:hAnsi="Arial"/>
                <w:sz w:val="16"/>
                <w:szCs w:val="16"/>
                <w:color w:val="auto"/>
              </w:rPr>
              <w:t xml:space="preserve">Companies with which we </w:t>
            </w:r>
            <w:r>
              <w:rPr>
                <w:rFonts w:ascii="Arial" w:cs="Arial" w:eastAsia="Arial" w:hAnsi="Arial"/>
                <w:sz w:val="16"/>
                <w:szCs w:val="16"/>
                <w:b w:val="1"/>
                <w:bCs w:val="1"/>
                <w:color w:val="auto"/>
              </w:rPr>
              <w:t>compete for executive talent</w:t>
            </w:r>
          </w:p>
        </w:tc>
        <w:tc>
          <w:tcPr>
            <w:tcW w:w="0" w:type="dxa"/>
            <w:vAlign w:val="bottom"/>
          </w:tcPr>
          <w:p>
            <w:pPr>
              <w:spacing w:after="0"/>
              <w:rPr>
                <w:sz w:val="1"/>
                <w:szCs w:val="1"/>
                <w:color w:val="auto"/>
              </w:rPr>
            </w:pP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8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Given the significant merger and acquisition activity in the oil and gas industry in recent years, we strive to ensure our compensation peer group is aligned with our business objectives, captures the size and complexity of our organization, and remains appropriate for benchmarking our executive compensation program. The 2025 compensation peer group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617220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72200" cy="188595"/>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2025 Compensation Peer Group</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Pr>
          <w:p>
            <w:pPr>
              <w:ind w:left="60"/>
              <w:spacing w:after="0"/>
              <w:rPr>
                <w:sz w:val="20"/>
                <w:szCs w:val="20"/>
                <w:color w:val="auto"/>
              </w:rPr>
            </w:pPr>
            <w:r>
              <w:rPr>
                <w:rFonts w:ascii="Arial" w:cs="Arial" w:eastAsia="Arial" w:hAnsi="Arial"/>
                <w:sz w:val="16"/>
                <w:szCs w:val="16"/>
                <w:color w:val="auto"/>
              </w:rPr>
              <w:t>Antero Resources Corp.</w:t>
            </w:r>
          </w:p>
        </w:tc>
        <w:tc>
          <w:tcPr>
            <w:tcW w:w="2520" w:type="dxa"/>
            <w:vAlign w:val="bottom"/>
          </w:tcPr>
          <w:p>
            <w:pPr>
              <w:ind w:left="340"/>
              <w:spacing w:after="0"/>
              <w:rPr>
                <w:sz w:val="20"/>
                <w:szCs w:val="20"/>
                <w:color w:val="auto"/>
              </w:rPr>
            </w:pPr>
            <w:r>
              <w:rPr>
                <w:rFonts w:ascii="Arial" w:cs="Arial" w:eastAsia="Arial" w:hAnsi="Arial"/>
                <w:sz w:val="16"/>
                <w:szCs w:val="16"/>
                <w:color w:val="auto"/>
              </w:rPr>
              <w:t>Devon Energy Corp.</w:t>
            </w:r>
          </w:p>
        </w:tc>
        <w:tc>
          <w:tcPr>
            <w:tcW w:w="2260" w:type="dxa"/>
            <w:vAlign w:val="bottom"/>
          </w:tcPr>
          <w:p>
            <w:pPr>
              <w:ind w:left="300"/>
              <w:spacing w:after="0"/>
              <w:rPr>
                <w:sz w:val="20"/>
                <w:szCs w:val="20"/>
                <w:color w:val="auto"/>
              </w:rPr>
            </w:pPr>
            <w:r>
              <w:rPr>
                <w:rFonts w:ascii="Arial" w:cs="Arial" w:eastAsia="Arial" w:hAnsi="Arial"/>
                <w:sz w:val="16"/>
                <w:szCs w:val="16"/>
                <w:color w:val="auto"/>
              </w:rPr>
              <w:t>EOG Resources, Inc.</w:t>
            </w:r>
          </w:p>
        </w:tc>
        <w:tc>
          <w:tcPr>
            <w:tcW w:w="2800" w:type="dxa"/>
            <w:vAlign w:val="bottom"/>
          </w:tcPr>
          <w:p>
            <w:pPr>
              <w:ind w:left="440"/>
              <w:spacing w:after="0"/>
              <w:rPr>
                <w:sz w:val="20"/>
                <w:szCs w:val="20"/>
                <w:color w:val="auto"/>
              </w:rPr>
            </w:pPr>
            <w:r>
              <w:rPr>
                <w:rFonts w:ascii="Arial" w:cs="Arial" w:eastAsia="Arial" w:hAnsi="Arial"/>
                <w:sz w:val="16"/>
                <w:szCs w:val="16"/>
                <w:color w:val="auto"/>
              </w:rPr>
              <w:t>Murphy Oil Corp.</w:t>
            </w:r>
          </w:p>
        </w:tc>
      </w:tr>
      <w:tr>
        <w:trPr>
          <w:trHeight w:val="29"/>
        </w:trPr>
        <w:tc>
          <w:tcPr>
            <w:tcW w:w="2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5"/>
        </w:trPr>
        <w:tc>
          <w:tcPr>
            <w:tcW w:w="2140" w:type="dxa"/>
            <w:vAlign w:val="bottom"/>
          </w:tcPr>
          <w:p>
            <w:pPr>
              <w:ind w:left="60"/>
              <w:spacing w:after="0"/>
              <w:rPr>
                <w:sz w:val="20"/>
                <w:szCs w:val="20"/>
                <w:color w:val="auto"/>
              </w:rPr>
            </w:pPr>
            <w:r>
              <w:rPr>
                <w:rFonts w:ascii="Arial" w:cs="Arial" w:eastAsia="Arial" w:hAnsi="Arial"/>
                <w:sz w:val="16"/>
                <w:szCs w:val="16"/>
                <w:color w:val="auto"/>
              </w:rPr>
              <w:t>Civitas Resources Inc.</w:t>
            </w:r>
          </w:p>
        </w:tc>
        <w:tc>
          <w:tcPr>
            <w:tcW w:w="2520" w:type="dxa"/>
            <w:vAlign w:val="bottom"/>
          </w:tcPr>
          <w:p>
            <w:pPr>
              <w:ind w:left="340"/>
              <w:spacing w:after="0"/>
              <w:rPr>
                <w:sz w:val="20"/>
                <w:szCs w:val="20"/>
                <w:color w:val="auto"/>
              </w:rPr>
            </w:pPr>
            <w:r>
              <w:rPr>
                <w:rFonts w:ascii="Arial" w:cs="Arial" w:eastAsia="Arial" w:hAnsi="Arial"/>
                <w:sz w:val="16"/>
                <w:szCs w:val="16"/>
                <w:color w:val="auto"/>
              </w:rPr>
              <w:t>Diamondback Energy, Inc.</w:t>
            </w:r>
          </w:p>
        </w:tc>
        <w:tc>
          <w:tcPr>
            <w:tcW w:w="2260" w:type="dxa"/>
            <w:vAlign w:val="bottom"/>
          </w:tcPr>
          <w:p>
            <w:pPr>
              <w:ind w:left="300"/>
              <w:spacing w:after="0"/>
              <w:rPr>
                <w:sz w:val="20"/>
                <w:szCs w:val="20"/>
                <w:color w:val="auto"/>
              </w:rPr>
            </w:pPr>
            <w:r>
              <w:rPr>
                <w:rFonts w:ascii="Arial" w:cs="Arial" w:eastAsia="Arial" w:hAnsi="Arial"/>
                <w:sz w:val="16"/>
                <w:szCs w:val="16"/>
                <w:color w:val="auto"/>
              </w:rPr>
              <w:t>Hess Corp.*</w:t>
            </w:r>
          </w:p>
        </w:tc>
        <w:tc>
          <w:tcPr>
            <w:tcW w:w="2800" w:type="dxa"/>
            <w:vAlign w:val="bottom"/>
          </w:tcPr>
          <w:p>
            <w:pPr>
              <w:ind w:left="440"/>
              <w:spacing w:after="0"/>
              <w:rPr>
                <w:sz w:val="20"/>
                <w:szCs w:val="20"/>
                <w:color w:val="auto"/>
              </w:rPr>
            </w:pPr>
            <w:r>
              <w:rPr>
                <w:rFonts w:ascii="Arial" w:cs="Arial" w:eastAsia="Arial" w:hAnsi="Arial"/>
                <w:sz w:val="16"/>
                <w:szCs w:val="16"/>
                <w:color w:val="auto"/>
              </w:rPr>
              <w:t>Occidental Petroleum Corp.</w:t>
            </w:r>
          </w:p>
        </w:tc>
      </w:tr>
      <w:tr>
        <w:trPr>
          <w:trHeight w:val="29"/>
        </w:trPr>
        <w:tc>
          <w:tcPr>
            <w:tcW w:w="2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5"/>
        </w:trPr>
        <w:tc>
          <w:tcPr>
            <w:tcW w:w="2140" w:type="dxa"/>
            <w:vAlign w:val="bottom"/>
          </w:tcPr>
          <w:p>
            <w:pPr>
              <w:ind w:left="60"/>
              <w:spacing w:after="0"/>
              <w:rPr>
                <w:sz w:val="20"/>
                <w:szCs w:val="20"/>
                <w:color w:val="auto"/>
              </w:rPr>
            </w:pPr>
            <w:r>
              <w:rPr>
                <w:rFonts w:ascii="Arial" w:cs="Arial" w:eastAsia="Arial" w:hAnsi="Arial"/>
                <w:sz w:val="16"/>
                <w:szCs w:val="16"/>
                <w:color w:val="auto"/>
              </w:rPr>
              <w:t>Coterra Energy, Inc.</w:t>
            </w:r>
          </w:p>
        </w:tc>
        <w:tc>
          <w:tcPr>
            <w:tcW w:w="2520" w:type="dxa"/>
            <w:vAlign w:val="bottom"/>
          </w:tcPr>
          <w:p>
            <w:pPr>
              <w:ind w:left="340"/>
              <w:spacing w:after="0"/>
              <w:rPr>
                <w:sz w:val="20"/>
                <w:szCs w:val="20"/>
                <w:color w:val="auto"/>
              </w:rPr>
            </w:pPr>
            <w:r>
              <w:rPr>
                <w:rFonts w:ascii="Arial" w:cs="Arial" w:eastAsia="Arial" w:hAnsi="Arial"/>
                <w:sz w:val="16"/>
                <w:szCs w:val="16"/>
                <w:color w:val="auto"/>
              </w:rPr>
              <w:t>Expand Energy Corp.</w:t>
            </w:r>
          </w:p>
        </w:tc>
        <w:tc>
          <w:tcPr>
            <w:tcW w:w="2260" w:type="dxa"/>
            <w:vAlign w:val="bottom"/>
          </w:tcPr>
          <w:p>
            <w:pPr>
              <w:ind w:left="300"/>
              <w:spacing w:after="0"/>
              <w:rPr>
                <w:sz w:val="20"/>
                <w:szCs w:val="20"/>
                <w:color w:val="auto"/>
              </w:rPr>
            </w:pPr>
            <w:r>
              <w:rPr>
                <w:rFonts w:ascii="Arial" w:cs="Arial" w:eastAsia="Arial" w:hAnsi="Arial"/>
                <w:sz w:val="16"/>
                <w:szCs w:val="16"/>
                <w:color w:val="auto"/>
              </w:rPr>
              <w:t>Marathon Oil Corp.*</w:t>
            </w:r>
          </w:p>
        </w:tc>
        <w:tc>
          <w:tcPr>
            <w:tcW w:w="2800" w:type="dxa"/>
            <w:vAlign w:val="bottom"/>
          </w:tcPr>
          <w:p>
            <w:pPr>
              <w:ind w:left="440"/>
              <w:spacing w:after="0"/>
              <w:rPr>
                <w:sz w:val="20"/>
                <w:szCs w:val="20"/>
                <w:color w:val="auto"/>
              </w:rPr>
            </w:pPr>
            <w:r>
              <w:rPr>
                <w:rFonts w:ascii="Arial" w:cs="Arial" w:eastAsia="Arial" w:hAnsi="Arial"/>
                <w:sz w:val="16"/>
                <w:szCs w:val="16"/>
                <w:color w:val="auto"/>
              </w:rPr>
              <w:t>Ovintiv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61722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67" w:lineRule="exact"/>
        <w:rPr>
          <w:sz w:val="20"/>
          <w:szCs w:val="20"/>
          <w:color w:val="auto"/>
        </w:rPr>
      </w:pPr>
    </w:p>
    <w:p>
      <w:pPr>
        <w:ind w:left="240" w:right="180" w:hanging="236"/>
        <w:spacing w:after="0" w:line="263" w:lineRule="auto"/>
        <w:tabs>
          <w:tab w:leader="none" w:pos="327" w:val="left"/>
        </w:tabs>
        <w:numPr>
          <w:ilvl w:val="0"/>
          <w:numId w:val="91"/>
        </w:numPr>
        <w:rPr>
          <w:rFonts w:ascii="Arial" w:cs="Arial" w:eastAsia="Arial" w:hAnsi="Arial"/>
          <w:sz w:val="14"/>
          <w:szCs w:val="14"/>
          <w:color w:val="595959"/>
        </w:rPr>
      </w:pPr>
      <w:r>
        <w:rPr>
          <w:rFonts w:ascii="Arial" w:cs="Arial" w:eastAsia="Arial" w:hAnsi="Arial"/>
          <w:sz w:val="14"/>
          <w:szCs w:val="14"/>
          <w:color w:val="595959"/>
        </w:rPr>
        <w:t>For purposes of setting compensation levels for 2026, Hess Corporation and Marathon Oil Corporation, which were both acquired, were removed from the compensation peer group and replaced with Matador Resources Co., which better aligns with the current size, scope, operations, and business complexities of APA.</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2025 Executive Compensation Program in Detail</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Salary</w:t>
      </w:r>
    </w:p>
    <w:p>
      <w:pPr>
        <w:spacing w:after="0" w:line="112"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Our base salary program represents annual fixed compensation and is designed to help us recruit and retain executive talent with experience in oil and gas E&amp;P companies operating in the U.S. and internationally. In making base salary decisions, the MD&amp;C Committee considers the CEO’s recommendations for non-CEO NEO salaries, as well as each NEO’s position and level of responsibility within the Company. The MD&amp;C Committee considers factors such as relevant market data as well as individual performance and contributions. Our NEOs’ base salaries were held flat in 2025.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00" w:type="dxa"/>
            <w:vAlign w:val="bottom"/>
            <w:tcBorders>
              <w:top w:val="single" w:sz="8" w:color="auto"/>
            </w:tcBorders>
            <w:shd w:val="clear" w:color="auto" w:fill="F3F3F4"/>
          </w:tcPr>
          <w:p>
            <w:pPr>
              <w:spacing w:after="0"/>
              <w:rPr>
                <w:sz w:val="16"/>
                <w:szCs w:val="16"/>
                <w:color w:val="auto"/>
              </w:rPr>
            </w:pPr>
          </w:p>
        </w:tc>
        <w:tc>
          <w:tcPr>
            <w:tcW w:w="3040" w:type="dxa"/>
            <w:vAlign w:val="bottom"/>
            <w:tcBorders>
              <w:top w:val="single" w:sz="8" w:color="auto"/>
            </w:tcBorders>
            <w:shd w:val="clear" w:color="auto" w:fill="F3F3F4"/>
          </w:tcPr>
          <w:p>
            <w:pPr>
              <w:jc w:val="right"/>
              <w:ind w:right="179"/>
              <w:spacing w:after="0"/>
              <w:rPr>
                <w:sz w:val="20"/>
                <w:szCs w:val="20"/>
                <w:color w:val="auto"/>
              </w:rPr>
            </w:pPr>
            <w:r>
              <w:rPr>
                <w:rFonts w:ascii="Arial" w:cs="Arial" w:eastAsia="Arial" w:hAnsi="Arial"/>
                <w:sz w:val="16"/>
                <w:szCs w:val="16"/>
                <w:b w:val="1"/>
                <w:bCs w:val="1"/>
                <w:color w:val="auto"/>
              </w:rPr>
              <w:t>Base Salary on</w:t>
            </w:r>
          </w:p>
        </w:tc>
        <w:tc>
          <w:tcPr>
            <w:tcW w:w="1760" w:type="dxa"/>
            <w:vAlign w:val="bottom"/>
            <w:tcBorders>
              <w:top w:val="single" w:sz="8" w:color="auto"/>
            </w:tcBorders>
            <w:shd w:val="clear" w:color="auto" w:fill="F3F3F4"/>
          </w:tcPr>
          <w:p>
            <w:pPr>
              <w:jc w:val="right"/>
              <w:ind w:right="259"/>
              <w:spacing w:after="0"/>
              <w:rPr>
                <w:sz w:val="20"/>
                <w:szCs w:val="20"/>
                <w:color w:val="auto"/>
              </w:rPr>
            </w:pPr>
            <w:r>
              <w:rPr>
                <w:rFonts w:ascii="Arial" w:cs="Arial" w:eastAsia="Arial" w:hAnsi="Arial"/>
                <w:sz w:val="16"/>
                <w:szCs w:val="16"/>
                <w:b w:val="1"/>
                <w:bCs w:val="1"/>
                <w:color w:val="auto"/>
              </w:rPr>
              <w:t>Base Salary on</w:t>
            </w:r>
          </w:p>
        </w:tc>
        <w:tc>
          <w:tcPr>
            <w:tcW w:w="1420" w:type="dxa"/>
            <w:vAlign w:val="bottom"/>
            <w:tcBorders>
              <w:top w:val="single" w:sz="8" w:color="auto"/>
            </w:tcBorders>
            <w:shd w:val="clear" w:color="auto" w:fill="F3F3F4"/>
          </w:tcPr>
          <w:p>
            <w:pPr>
              <w:jc w:val="right"/>
              <w:spacing w:after="0"/>
              <w:rPr>
                <w:sz w:val="20"/>
                <w:szCs w:val="20"/>
                <w:color w:val="auto"/>
              </w:rPr>
            </w:pPr>
            <w:r>
              <w:rPr>
                <w:rFonts w:ascii="Arial" w:cs="Arial" w:eastAsia="Arial" w:hAnsi="Arial"/>
                <w:sz w:val="16"/>
                <w:szCs w:val="16"/>
                <w:b w:val="1"/>
                <w:bCs w:val="1"/>
                <w:color w:val="auto"/>
              </w:rPr>
              <w:t>Adjustment in</w:t>
            </w:r>
          </w:p>
        </w:tc>
      </w:tr>
      <w:tr>
        <w:trPr>
          <w:trHeight w:val="189"/>
        </w:trPr>
        <w:tc>
          <w:tcPr>
            <w:tcW w:w="3500" w:type="dxa"/>
            <w:vAlign w:val="bottom"/>
            <w:shd w:val="clear" w:color="auto" w:fill="F3F3F4"/>
          </w:tcPr>
          <w:p>
            <w:pPr>
              <w:spacing w:after="0"/>
              <w:rPr>
                <w:sz w:val="16"/>
                <w:szCs w:val="16"/>
                <w:color w:val="auto"/>
              </w:rPr>
            </w:pPr>
          </w:p>
        </w:tc>
        <w:tc>
          <w:tcPr>
            <w:tcW w:w="4800" w:type="dxa"/>
            <w:vAlign w:val="bottom"/>
            <w:gridSpan w:val="2"/>
            <w:shd w:val="clear" w:color="auto" w:fill="F3F3F4"/>
          </w:tcPr>
          <w:p>
            <w:pPr>
              <w:jc w:val="right"/>
              <w:ind w:right="259"/>
              <w:spacing w:after="0"/>
              <w:rPr>
                <w:sz w:val="20"/>
                <w:szCs w:val="20"/>
                <w:color w:val="auto"/>
              </w:rPr>
            </w:pPr>
            <w:r>
              <w:rPr>
                <w:rFonts w:ascii="Arial" w:cs="Arial" w:eastAsia="Arial" w:hAnsi="Arial"/>
                <w:sz w:val="16"/>
                <w:szCs w:val="16"/>
                <w:b w:val="1"/>
                <w:bCs w:val="1"/>
                <w:color w:val="auto"/>
              </w:rPr>
              <w:t>January 1, 2025   December 31, 2025</w:t>
            </w:r>
          </w:p>
        </w:tc>
        <w:tc>
          <w:tcPr>
            <w:tcW w:w="1420" w:type="dxa"/>
            <w:vAlign w:val="bottom"/>
            <w:shd w:val="clear" w:color="auto" w:fill="F3F3F4"/>
          </w:tcPr>
          <w:p>
            <w:pPr>
              <w:jc w:val="right"/>
              <w:spacing w:after="0"/>
              <w:rPr>
                <w:sz w:val="20"/>
                <w:szCs w:val="20"/>
                <w:color w:val="auto"/>
              </w:rPr>
            </w:pPr>
            <w:r>
              <w:rPr>
                <w:rFonts w:ascii="Arial" w:cs="Arial" w:eastAsia="Arial" w:hAnsi="Arial"/>
                <w:sz w:val="16"/>
                <w:szCs w:val="16"/>
                <w:b w:val="1"/>
                <w:bCs w:val="1"/>
                <w:color w:val="auto"/>
              </w:rPr>
              <w:t>2025</w:t>
            </w:r>
          </w:p>
        </w:tc>
      </w:tr>
      <w:tr>
        <w:trPr>
          <w:trHeight w:val="203"/>
        </w:trPr>
        <w:tc>
          <w:tcPr>
            <w:tcW w:w="350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Named Executive Officer</w:t>
            </w:r>
          </w:p>
        </w:tc>
        <w:tc>
          <w:tcPr>
            <w:tcW w:w="3040" w:type="dxa"/>
            <w:vAlign w:val="bottom"/>
            <w:tcBorders>
              <w:bottom w:val="single" w:sz="8" w:color="auto"/>
            </w:tcBorders>
            <w:shd w:val="clear" w:color="auto" w:fill="F3F3F4"/>
          </w:tcPr>
          <w:p>
            <w:pPr>
              <w:jc w:val="right"/>
              <w:ind w:right="17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shd w:val="clear" w:color="auto" w:fill="F3F3F4"/>
          </w:tcPr>
          <w:p>
            <w:pPr>
              <w:jc w:val="right"/>
              <w:ind w:right="25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6"/>
                <w:szCs w:val="16"/>
                <w:b w:val="1"/>
                <w:bCs w:val="1"/>
                <w:color w:val="auto"/>
              </w:rPr>
              <w:t>(%)</w:t>
            </w:r>
          </w:p>
        </w:tc>
      </w:tr>
      <w:tr>
        <w:trPr>
          <w:trHeight w:val="183"/>
        </w:trPr>
        <w:tc>
          <w:tcPr>
            <w:tcW w:w="35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John J. Christmann IV</w:t>
            </w:r>
          </w:p>
        </w:tc>
        <w:tc>
          <w:tcPr>
            <w:tcW w:w="30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1,300,000</w:t>
            </w:r>
          </w:p>
        </w:tc>
        <w:tc>
          <w:tcPr>
            <w:tcW w:w="17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1,300,000</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No Change</w:t>
            </w:r>
          </w:p>
        </w:tc>
      </w:tr>
      <w:tr>
        <w:trPr>
          <w:trHeight w:val="183"/>
        </w:trPr>
        <w:tc>
          <w:tcPr>
            <w:tcW w:w="35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Stephen J. Riney</w:t>
            </w:r>
          </w:p>
        </w:tc>
        <w:tc>
          <w:tcPr>
            <w:tcW w:w="30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900,000</w:t>
            </w:r>
          </w:p>
        </w:tc>
        <w:tc>
          <w:tcPr>
            <w:tcW w:w="17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900,000</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No Change</w:t>
            </w:r>
          </w:p>
        </w:tc>
      </w:tr>
      <w:tr>
        <w:trPr>
          <w:trHeight w:val="183"/>
        </w:trPr>
        <w:tc>
          <w:tcPr>
            <w:tcW w:w="35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Ben C. Rodgers</w:t>
            </w:r>
            <w:r>
              <w:rPr>
                <w:rFonts w:ascii="Arial" w:cs="Arial" w:eastAsia="Arial" w:hAnsi="Arial"/>
                <w:sz w:val="21"/>
                <w:szCs w:val="21"/>
                <w:color w:val="auto"/>
                <w:vertAlign w:val="superscript"/>
              </w:rPr>
              <w:t>(1)</w:t>
            </w:r>
          </w:p>
        </w:tc>
        <w:tc>
          <w:tcPr>
            <w:tcW w:w="30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N/A</w:t>
            </w:r>
          </w:p>
        </w:tc>
        <w:tc>
          <w:tcPr>
            <w:tcW w:w="17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625,000</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r>
      <w:tr>
        <w:trPr>
          <w:trHeight w:val="183"/>
        </w:trPr>
        <w:tc>
          <w:tcPr>
            <w:tcW w:w="35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Tracey K. Henderson</w:t>
            </w:r>
          </w:p>
        </w:tc>
        <w:tc>
          <w:tcPr>
            <w:tcW w:w="30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625,000</w:t>
            </w:r>
          </w:p>
        </w:tc>
        <w:tc>
          <w:tcPr>
            <w:tcW w:w="17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625,000</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No Change</w:t>
            </w:r>
          </w:p>
        </w:tc>
      </w:tr>
      <w:tr>
        <w:trPr>
          <w:trHeight w:val="183"/>
        </w:trPr>
        <w:tc>
          <w:tcPr>
            <w:tcW w:w="35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Kimberly O. Warnica</w:t>
            </w:r>
            <w:r>
              <w:rPr>
                <w:rFonts w:ascii="Arial" w:cs="Arial" w:eastAsia="Arial" w:hAnsi="Arial"/>
                <w:sz w:val="21"/>
                <w:szCs w:val="21"/>
                <w:color w:val="auto"/>
                <w:vertAlign w:val="superscript"/>
              </w:rPr>
              <w:t>(2)</w:t>
            </w:r>
          </w:p>
        </w:tc>
        <w:tc>
          <w:tcPr>
            <w:tcW w:w="30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N/A</w:t>
            </w:r>
          </w:p>
        </w:tc>
        <w:tc>
          <w:tcPr>
            <w:tcW w:w="17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625,000</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r>
      <w:tr>
        <w:trPr>
          <w:trHeight w:val="183"/>
        </w:trPr>
        <w:tc>
          <w:tcPr>
            <w:tcW w:w="35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D. Clay Bretches</w:t>
            </w:r>
            <w:r>
              <w:rPr>
                <w:rFonts w:ascii="Arial" w:cs="Arial" w:eastAsia="Arial" w:hAnsi="Arial"/>
                <w:sz w:val="21"/>
                <w:szCs w:val="21"/>
                <w:color w:val="auto"/>
                <w:vertAlign w:val="superscript"/>
              </w:rPr>
              <w:t>(3)</w:t>
            </w:r>
          </w:p>
        </w:tc>
        <w:tc>
          <w:tcPr>
            <w:tcW w:w="30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675,000</w:t>
            </w:r>
          </w:p>
        </w:tc>
        <w:tc>
          <w:tcPr>
            <w:tcW w:w="176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N/A</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N/A</w:t>
            </w:r>
          </w:p>
        </w:tc>
      </w:tr>
    </w:tbl>
    <w:p>
      <w:pPr>
        <w:spacing w:after="0" w:line="45" w:lineRule="exact"/>
        <w:rPr>
          <w:sz w:val="20"/>
          <w:szCs w:val="20"/>
          <w:color w:val="auto"/>
        </w:rPr>
      </w:pPr>
    </w:p>
    <w:p>
      <w:pPr>
        <w:ind w:left="320" w:hanging="316"/>
        <w:spacing w:after="0"/>
        <w:tabs>
          <w:tab w:leader="none" w:pos="320" w:val="left"/>
        </w:tabs>
        <w:numPr>
          <w:ilvl w:val="0"/>
          <w:numId w:val="92"/>
        </w:numPr>
        <w:rPr>
          <w:rFonts w:ascii="Arial" w:cs="Arial" w:eastAsia="Arial" w:hAnsi="Arial"/>
          <w:sz w:val="14"/>
          <w:szCs w:val="14"/>
          <w:color w:val="595959"/>
        </w:rPr>
      </w:pPr>
      <w:r>
        <w:rPr>
          <w:rFonts w:ascii="Arial" w:cs="Arial" w:eastAsia="Arial" w:hAnsi="Arial"/>
          <w:sz w:val="14"/>
          <w:szCs w:val="14"/>
          <w:color w:val="595959"/>
        </w:rPr>
        <w:t>Mr. Rodgers was not an NEO in 2024.</w:t>
      </w:r>
    </w:p>
    <w:p>
      <w:pPr>
        <w:spacing w:after="0" w:line="55" w:lineRule="exact"/>
        <w:rPr>
          <w:rFonts w:ascii="Arial" w:cs="Arial" w:eastAsia="Arial" w:hAnsi="Arial"/>
          <w:sz w:val="14"/>
          <w:szCs w:val="14"/>
          <w:color w:val="595959"/>
        </w:rPr>
      </w:pPr>
    </w:p>
    <w:p>
      <w:pPr>
        <w:ind w:left="320" w:hanging="316"/>
        <w:spacing w:after="0"/>
        <w:tabs>
          <w:tab w:leader="none" w:pos="320" w:val="left"/>
        </w:tabs>
        <w:numPr>
          <w:ilvl w:val="0"/>
          <w:numId w:val="92"/>
        </w:numPr>
        <w:rPr>
          <w:rFonts w:ascii="Arial" w:cs="Arial" w:eastAsia="Arial" w:hAnsi="Arial"/>
          <w:sz w:val="14"/>
          <w:szCs w:val="14"/>
          <w:color w:val="595959"/>
        </w:rPr>
      </w:pPr>
      <w:r>
        <w:rPr>
          <w:rFonts w:ascii="Arial" w:cs="Arial" w:eastAsia="Arial" w:hAnsi="Arial"/>
          <w:sz w:val="14"/>
          <w:szCs w:val="14"/>
          <w:color w:val="595959"/>
        </w:rPr>
        <w:t>Ms. Warnica joined the Company on January 13, 2025.</w:t>
      </w:r>
    </w:p>
    <w:p>
      <w:pPr>
        <w:spacing w:after="0" w:line="55" w:lineRule="exact"/>
        <w:rPr>
          <w:rFonts w:ascii="Arial" w:cs="Arial" w:eastAsia="Arial" w:hAnsi="Arial"/>
          <w:sz w:val="14"/>
          <w:szCs w:val="14"/>
          <w:color w:val="595959"/>
        </w:rPr>
      </w:pPr>
    </w:p>
    <w:p>
      <w:pPr>
        <w:ind w:left="240" w:right="580" w:hanging="236"/>
        <w:spacing w:after="0" w:line="285" w:lineRule="auto"/>
        <w:tabs>
          <w:tab w:leader="none" w:pos="327" w:val="left"/>
        </w:tabs>
        <w:numPr>
          <w:ilvl w:val="0"/>
          <w:numId w:val="92"/>
        </w:numPr>
        <w:rPr>
          <w:rFonts w:ascii="Arial" w:cs="Arial" w:eastAsia="Arial" w:hAnsi="Arial"/>
          <w:sz w:val="14"/>
          <w:szCs w:val="14"/>
          <w:color w:val="595959"/>
        </w:rPr>
      </w:pPr>
      <w:r>
        <w:rPr>
          <w:rFonts w:ascii="Arial" w:cs="Arial" w:eastAsia="Arial" w:hAnsi="Arial"/>
          <w:sz w:val="14"/>
          <w:szCs w:val="14"/>
          <w:color w:val="595959"/>
        </w:rPr>
        <w:t xml:space="preserve">Mr. Bretches ceased employment with the Company effective June 4, 2025. Additional details are provided in the </w:t>
      </w:r>
      <w:r>
        <w:rPr>
          <w:rFonts w:ascii="Arial" w:cs="Arial" w:eastAsia="Arial" w:hAnsi="Arial"/>
          <w:sz w:val="14"/>
          <w:szCs w:val="14"/>
          <w:i w:val="1"/>
          <w:iCs w:val="1"/>
          <w:color w:val="595959"/>
        </w:rPr>
        <w:t>Potential Payments upon</w:t>
      </w:r>
      <w:r>
        <w:rPr>
          <w:rFonts w:ascii="Arial" w:cs="Arial" w:eastAsia="Arial" w:hAnsi="Arial"/>
          <w:sz w:val="14"/>
          <w:szCs w:val="14"/>
          <w:color w:val="595959"/>
        </w:rPr>
        <w:t xml:space="preserve"> </w:t>
      </w:r>
      <w:r>
        <w:rPr>
          <w:rFonts w:ascii="Arial" w:cs="Arial" w:eastAsia="Arial" w:hAnsi="Arial"/>
          <w:sz w:val="14"/>
          <w:szCs w:val="14"/>
          <w:i w:val="1"/>
          <w:iCs w:val="1"/>
          <w:color w:val="595959"/>
        </w:rPr>
        <w:t xml:space="preserve">Termination or Change in Control </w:t>
      </w:r>
      <w:r>
        <w:rPr>
          <w:rFonts w:ascii="Arial" w:cs="Arial" w:eastAsia="Arial" w:hAnsi="Arial"/>
          <w:sz w:val="14"/>
          <w:szCs w:val="14"/>
          <w:color w:val="595959"/>
        </w:rPr>
        <w:t>table.</w:t>
      </w:r>
    </w:p>
    <w:p>
      <w:pPr>
        <w:spacing w:after="0" w:line="153"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18" w:right="1099" w:bottom="1440" w:gutter="0" w:footer="0" w:header="0"/>
        </w:sectPr>
      </w:pPr>
    </w:p>
    <w:bookmarkStart w:id="28" w:name="page29"/>
    <w:bookmarkEnd w:id="28"/>
    <w:p>
      <w:pPr>
        <w:ind w:left="660"/>
        <w:spacing w:after="0"/>
        <w:rPr>
          <w:sz w:val="20"/>
          <w:szCs w:val="20"/>
          <w:color w:val="auto"/>
        </w:rPr>
      </w:pPr>
      <w:r>
        <w:rPr>
          <w:rFonts w:ascii="Arial" w:cs="Arial" w:eastAsia="Arial" w:hAnsi="Arial"/>
          <w:sz w:val="22"/>
          <w:szCs w:val="22"/>
          <w:b w:val="1"/>
          <w:bCs w:val="1"/>
          <w:color w:val="auto"/>
        </w:rPr>
        <w:t>Annual Incentive Compensation Plan</w:t>
      </w:r>
    </w:p>
    <w:p>
      <w:pPr>
        <w:spacing w:after="0" w:line="112" w:lineRule="exact"/>
        <w:rPr>
          <w:sz w:val="20"/>
          <w:szCs w:val="20"/>
          <w:color w:val="auto"/>
        </w:rPr>
      </w:pPr>
    </w:p>
    <w:p>
      <w:pPr>
        <w:ind w:left="660" w:right="760"/>
        <w:spacing w:after="0" w:line="259" w:lineRule="auto"/>
        <w:rPr>
          <w:sz w:val="20"/>
          <w:szCs w:val="20"/>
          <w:color w:val="auto"/>
        </w:rPr>
      </w:pPr>
      <w:r>
        <w:rPr>
          <w:rFonts w:ascii="Arial" w:cs="Arial" w:eastAsia="Arial" w:hAnsi="Arial"/>
          <w:sz w:val="16"/>
          <w:szCs w:val="16"/>
          <w:color w:val="auto"/>
        </w:rPr>
        <w:t>Our annual incentive compensation plan is designed to motivate and reward our NEOs to create long-term value by achieving key short-term business objectives aligned with our long-term strategy. Actual annual incentive awards depend on the achievement of corporate performance objectives. The MD&amp;C Committee also retains discretion to apply an individual performance factor to awards to either reduce or increase the payout based on its assessment of individual performance.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2025 Annual Incentive Target Award Opportunity</w:t>
      </w:r>
    </w:p>
    <w:p>
      <w:pPr>
        <w:spacing w:after="0" w:line="110" w:lineRule="exact"/>
        <w:rPr>
          <w:sz w:val="20"/>
          <w:szCs w:val="20"/>
          <w:color w:val="auto"/>
        </w:rPr>
      </w:pPr>
    </w:p>
    <w:p>
      <w:pPr>
        <w:ind w:left="660" w:right="740"/>
        <w:spacing w:after="0" w:line="266" w:lineRule="auto"/>
        <w:rPr>
          <w:sz w:val="20"/>
          <w:szCs w:val="20"/>
          <w:color w:val="auto"/>
        </w:rPr>
      </w:pPr>
      <w:r>
        <w:rPr>
          <w:rFonts w:ascii="Arial" w:cs="Arial" w:eastAsia="Arial" w:hAnsi="Arial"/>
          <w:sz w:val="16"/>
          <w:szCs w:val="16"/>
          <w:color w:val="auto"/>
        </w:rPr>
        <w:t>Annual incentive target opportunities are expressed as a percentage of base salary and are established based on market data, internal equity, and size and scope of job responsibilities to create a market competitive total cash compensation level. Actual awards may range from zero to 200% of target. All NEO target annual incentive award opportunities remained unchanged from 2024.</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target annual incentive award opportunities for 2025 were as follows:</w:t>
      </w:r>
    </w:p>
    <w:p>
      <w:pPr>
        <w:spacing w:after="0" w:line="107"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3040" w:type="dxa"/>
            <w:vAlign w:val="bottom"/>
            <w:tcBorders>
              <w:top w:val="single" w:sz="8" w:color="auto"/>
            </w:tcBorders>
            <w:shd w:val="clear" w:color="auto" w:fill="F3F3F4"/>
          </w:tcPr>
          <w:p>
            <w:pPr>
              <w:spacing w:after="0"/>
              <w:rPr>
                <w:sz w:val="16"/>
                <w:szCs w:val="16"/>
                <w:color w:val="auto"/>
              </w:rPr>
            </w:pPr>
          </w:p>
        </w:tc>
        <w:tc>
          <w:tcPr>
            <w:tcW w:w="2620" w:type="dxa"/>
            <w:vAlign w:val="bottom"/>
            <w:tcBorders>
              <w:top w:val="single" w:sz="8" w:color="auto"/>
            </w:tcBorders>
            <w:shd w:val="clear" w:color="auto" w:fill="F3F3F4"/>
          </w:tcPr>
          <w:p>
            <w:pPr>
              <w:spacing w:after="0"/>
              <w:rPr>
                <w:sz w:val="16"/>
                <w:szCs w:val="16"/>
                <w:color w:val="auto"/>
              </w:rPr>
            </w:pPr>
          </w:p>
        </w:tc>
        <w:tc>
          <w:tcPr>
            <w:tcW w:w="2080" w:type="dxa"/>
            <w:vAlign w:val="bottom"/>
            <w:tcBorders>
              <w:top w:val="single" w:sz="8" w:color="auto"/>
            </w:tcBorders>
            <w:shd w:val="clear" w:color="auto" w:fill="F3F3F4"/>
          </w:tcPr>
          <w:p>
            <w:pPr>
              <w:jc w:val="right"/>
              <w:ind w:right="139"/>
              <w:spacing w:after="0"/>
              <w:rPr>
                <w:sz w:val="20"/>
                <w:szCs w:val="20"/>
                <w:color w:val="auto"/>
              </w:rPr>
            </w:pPr>
            <w:r>
              <w:rPr>
                <w:rFonts w:ascii="Arial" w:cs="Arial" w:eastAsia="Arial" w:hAnsi="Arial"/>
                <w:sz w:val="16"/>
                <w:szCs w:val="16"/>
                <w:b w:val="1"/>
                <w:bCs w:val="1"/>
                <w:color w:val="auto"/>
              </w:rPr>
              <w:t>2025 Target Annual</w:t>
            </w:r>
          </w:p>
        </w:tc>
        <w:tc>
          <w:tcPr>
            <w:tcW w:w="1980" w:type="dxa"/>
            <w:vAlign w:val="bottom"/>
            <w:tcBorders>
              <w:top w:val="single" w:sz="8" w:color="auto"/>
            </w:tcBorders>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2025 Target Annual</w:t>
            </w:r>
          </w:p>
        </w:tc>
      </w:tr>
      <w:tr>
        <w:trPr>
          <w:trHeight w:val="189"/>
        </w:trPr>
        <w:tc>
          <w:tcPr>
            <w:tcW w:w="3040" w:type="dxa"/>
            <w:vAlign w:val="bottom"/>
            <w:shd w:val="clear" w:color="auto" w:fill="F3F3F4"/>
          </w:tcPr>
          <w:p>
            <w:pPr>
              <w:spacing w:after="0"/>
              <w:rPr>
                <w:sz w:val="16"/>
                <w:szCs w:val="16"/>
                <w:color w:val="auto"/>
              </w:rPr>
            </w:pPr>
          </w:p>
        </w:tc>
        <w:tc>
          <w:tcPr>
            <w:tcW w:w="2620" w:type="dxa"/>
            <w:vAlign w:val="bottom"/>
            <w:shd w:val="clear" w:color="auto" w:fill="F3F3F4"/>
          </w:tcPr>
          <w:p>
            <w:pPr>
              <w:jc w:val="right"/>
              <w:ind w:right="99"/>
              <w:spacing w:after="0"/>
              <w:rPr>
                <w:sz w:val="20"/>
                <w:szCs w:val="20"/>
                <w:color w:val="auto"/>
              </w:rPr>
            </w:pPr>
            <w:r>
              <w:rPr>
                <w:rFonts w:ascii="Arial" w:cs="Arial" w:eastAsia="Arial" w:hAnsi="Arial"/>
                <w:sz w:val="16"/>
                <w:szCs w:val="16"/>
                <w:b w:val="1"/>
                <w:bCs w:val="1"/>
                <w:color w:val="auto"/>
              </w:rPr>
              <w:t>2025 Base Salary</w:t>
            </w:r>
          </w:p>
        </w:tc>
        <w:tc>
          <w:tcPr>
            <w:tcW w:w="2080" w:type="dxa"/>
            <w:vAlign w:val="bottom"/>
            <w:shd w:val="clear" w:color="auto" w:fill="F3F3F4"/>
          </w:tcPr>
          <w:p>
            <w:pPr>
              <w:jc w:val="right"/>
              <w:ind w:right="139"/>
              <w:spacing w:after="0"/>
              <w:rPr>
                <w:sz w:val="20"/>
                <w:szCs w:val="20"/>
                <w:color w:val="auto"/>
              </w:rPr>
            </w:pPr>
            <w:r>
              <w:rPr>
                <w:rFonts w:ascii="Arial" w:cs="Arial" w:eastAsia="Arial" w:hAnsi="Arial"/>
                <w:sz w:val="16"/>
                <w:szCs w:val="16"/>
                <w:b w:val="1"/>
                <w:bCs w:val="1"/>
                <w:color w:val="auto"/>
              </w:rPr>
              <w:t>Incentive Opportunity</w:t>
            </w:r>
          </w:p>
        </w:tc>
        <w:tc>
          <w:tcPr>
            <w:tcW w:w="1980" w:type="dxa"/>
            <w:vAlign w:val="bottom"/>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Incentive Opportunity</w:t>
            </w:r>
          </w:p>
        </w:tc>
      </w:tr>
      <w:tr>
        <w:trPr>
          <w:trHeight w:val="203"/>
        </w:trPr>
        <w:tc>
          <w:tcPr>
            <w:tcW w:w="304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Named Executive Officer</w:t>
            </w:r>
          </w:p>
        </w:tc>
        <w:tc>
          <w:tcPr>
            <w:tcW w:w="2620" w:type="dxa"/>
            <w:vAlign w:val="bottom"/>
            <w:tcBorders>
              <w:bottom w:val="single" w:sz="8" w:color="auto"/>
            </w:tcBorders>
            <w:shd w:val="clear" w:color="auto" w:fill="F3F3F4"/>
          </w:tcPr>
          <w:p>
            <w:pPr>
              <w:jc w:val="right"/>
              <w:ind w:right="9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shd w:val="clear" w:color="auto" w:fill="F3F3F4"/>
          </w:tcPr>
          <w:p>
            <w:pPr>
              <w:jc w:val="right"/>
              <w:ind w:right="13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bottom w:val="single" w:sz="8" w:color="auto"/>
            </w:tcBorders>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83"/>
        </w:trPr>
        <w:tc>
          <w:tcPr>
            <w:tcW w:w="30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John J. Christmann IV</w:t>
            </w:r>
          </w:p>
        </w:tc>
        <w:tc>
          <w:tcPr>
            <w:tcW w:w="26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1,300,000</w:t>
            </w:r>
          </w:p>
        </w:tc>
        <w:tc>
          <w:tcPr>
            <w:tcW w:w="20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140</w:t>
            </w:r>
          </w:p>
        </w:tc>
        <w:tc>
          <w:tcPr>
            <w:tcW w:w="19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1,820,000</w:t>
            </w:r>
          </w:p>
        </w:tc>
      </w:tr>
      <w:tr>
        <w:trPr>
          <w:trHeight w:val="183"/>
        </w:trPr>
        <w:tc>
          <w:tcPr>
            <w:tcW w:w="30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Stephen J. Riney</w:t>
            </w:r>
          </w:p>
        </w:tc>
        <w:tc>
          <w:tcPr>
            <w:tcW w:w="26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900,000</w:t>
            </w:r>
          </w:p>
        </w:tc>
        <w:tc>
          <w:tcPr>
            <w:tcW w:w="20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120</w:t>
            </w:r>
          </w:p>
        </w:tc>
        <w:tc>
          <w:tcPr>
            <w:tcW w:w="19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1,080,000</w:t>
            </w:r>
          </w:p>
        </w:tc>
      </w:tr>
      <w:tr>
        <w:trPr>
          <w:trHeight w:val="183"/>
        </w:trPr>
        <w:tc>
          <w:tcPr>
            <w:tcW w:w="30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Ben C. Rodgers</w:t>
            </w:r>
            <w:r>
              <w:rPr>
                <w:rFonts w:ascii="Arial" w:cs="Arial" w:eastAsia="Arial" w:hAnsi="Arial"/>
                <w:sz w:val="21"/>
                <w:szCs w:val="21"/>
                <w:color w:val="auto"/>
                <w:vertAlign w:val="superscript"/>
              </w:rPr>
              <w:t>(1)</w:t>
            </w:r>
          </w:p>
        </w:tc>
        <w:tc>
          <w:tcPr>
            <w:tcW w:w="26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625,000</w:t>
            </w:r>
          </w:p>
        </w:tc>
        <w:tc>
          <w:tcPr>
            <w:tcW w:w="20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100</w:t>
            </w:r>
          </w:p>
        </w:tc>
        <w:tc>
          <w:tcPr>
            <w:tcW w:w="19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625,000</w:t>
            </w:r>
          </w:p>
        </w:tc>
      </w:tr>
      <w:tr>
        <w:trPr>
          <w:trHeight w:val="183"/>
        </w:trPr>
        <w:tc>
          <w:tcPr>
            <w:tcW w:w="30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Tracey K. Henderson</w:t>
            </w:r>
          </w:p>
        </w:tc>
        <w:tc>
          <w:tcPr>
            <w:tcW w:w="26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625,000</w:t>
            </w:r>
          </w:p>
        </w:tc>
        <w:tc>
          <w:tcPr>
            <w:tcW w:w="20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100</w:t>
            </w:r>
          </w:p>
        </w:tc>
        <w:tc>
          <w:tcPr>
            <w:tcW w:w="19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625,000</w:t>
            </w:r>
          </w:p>
        </w:tc>
      </w:tr>
      <w:tr>
        <w:trPr>
          <w:trHeight w:val="183"/>
        </w:trPr>
        <w:tc>
          <w:tcPr>
            <w:tcW w:w="30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Kimberly O. Warnica</w:t>
            </w:r>
            <w:r>
              <w:rPr>
                <w:rFonts w:ascii="Arial" w:cs="Arial" w:eastAsia="Arial" w:hAnsi="Arial"/>
                <w:sz w:val="21"/>
                <w:szCs w:val="21"/>
                <w:color w:val="auto"/>
                <w:vertAlign w:val="superscript"/>
              </w:rPr>
              <w:t>(2)</w:t>
            </w:r>
          </w:p>
        </w:tc>
        <w:tc>
          <w:tcPr>
            <w:tcW w:w="26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625,000</w:t>
            </w:r>
          </w:p>
        </w:tc>
        <w:tc>
          <w:tcPr>
            <w:tcW w:w="20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100</w:t>
            </w:r>
          </w:p>
        </w:tc>
        <w:tc>
          <w:tcPr>
            <w:tcW w:w="19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625,000</w:t>
            </w:r>
          </w:p>
        </w:tc>
      </w:tr>
      <w:tr>
        <w:trPr>
          <w:trHeight w:val="183"/>
        </w:trPr>
        <w:tc>
          <w:tcPr>
            <w:tcW w:w="30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D. Clay Bretches</w:t>
            </w:r>
            <w:r>
              <w:rPr>
                <w:rFonts w:ascii="Arial" w:cs="Arial" w:eastAsia="Arial" w:hAnsi="Arial"/>
                <w:sz w:val="21"/>
                <w:szCs w:val="21"/>
                <w:color w:val="auto"/>
                <w:vertAlign w:val="superscript"/>
              </w:rPr>
              <w:t>(3)</w:t>
            </w:r>
          </w:p>
        </w:tc>
        <w:tc>
          <w:tcPr>
            <w:tcW w:w="26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675,000</w:t>
            </w:r>
          </w:p>
        </w:tc>
        <w:tc>
          <w:tcPr>
            <w:tcW w:w="20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100</w:t>
            </w:r>
          </w:p>
        </w:tc>
        <w:tc>
          <w:tcPr>
            <w:tcW w:w="19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675,000</w:t>
            </w:r>
          </w:p>
        </w:tc>
      </w:tr>
    </w:tbl>
    <w:p>
      <w:pPr>
        <w:spacing w:after="0" w:line="45" w:lineRule="exact"/>
        <w:rPr>
          <w:sz w:val="20"/>
          <w:szCs w:val="20"/>
          <w:color w:val="auto"/>
        </w:rPr>
      </w:pPr>
    </w:p>
    <w:p>
      <w:pPr>
        <w:ind w:left="980" w:hanging="316"/>
        <w:spacing w:after="0"/>
        <w:tabs>
          <w:tab w:leader="none" w:pos="980" w:val="left"/>
        </w:tabs>
        <w:numPr>
          <w:ilvl w:val="0"/>
          <w:numId w:val="93"/>
        </w:numPr>
        <w:rPr>
          <w:rFonts w:ascii="Arial" w:cs="Arial" w:eastAsia="Arial" w:hAnsi="Arial"/>
          <w:sz w:val="14"/>
          <w:szCs w:val="14"/>
          <w:color w:val="595959"/>
        </w:rPr>
      </w:pPr>
      <w:r>
        <w:rPr>
          <w:rFonts w:ascii="Arial" w:cs="Arial" w:eastAsia="Arial" w:hAnsi="Arial"/>
          <w:sz w:val="14"/>
          <w:szCs w:val="14"/>
          <w:color w:val="595959"/>
        </w:rPr>
        <w:t>Reflects the annualized amounts applicable after Mr. Rodgers’s mid-year promotion to EVP and CFO.</w:t>
      </w:r>
    </w:p>
    <w:p>
      <w:pPr>
        <w:spacing w:after="0" w:line="55" w:lineRule="exact"/>
        <w:rPr>
          <w:rFonts w:ascii="Arial" w:cs="Arial" w:eastAsia="Arial" w:hAnsi="Arial"/>
          <w:sz w:val="14"/>
          <w:szCs w:val="14"/>
          <w:color w:val="595959"/>
        </w:rPr>
      </w:pPr>
    </w:p>
    <w:p>
      <w:pPr>
        <w:ind w:left="980" w:hanging="316"/>
        <w:spacing w:after="0"/>
        <w:tabs>
          <w:tab w:leader="none" w:pos="980" w:val="left"/>
        </w:tabs>
        <w:numPr>
          <w:ilvl w:val="0"/>
          <w:numId w:val="93"/>
        </w:numPr>
        <w:rPr>
          <w:rFonts w:ascii="Arial" w:cs="Arial" w:eastAsia="Arial" w:hAnsi="Arial"/>
          <w:sz w:val="14"/>
          <w:szCs w:val="14"/>
          <w:color w:val="595959"/>
        </w:rPr>
      </w:pPr>
      <w:r>
        <w:rPr>
          <w:rFonts w:ascii="Arial" w:cs="Arial" w:eastAsia="Arial" w:hAnsi="Arial"/>
          <w:sz w:val="14"/>
          <w:szCs w:val="14"/>
          <w:color w:val="595959"/>
        </w:rPr>
        <w:t>Ms. Warnica joined the Company on January 13, 2025.</w:t>
      </w:r>
    </w:p>
    <w:p>
      <w:pPr>
        <w:spacing w:after="0" w:line="55" w:lineRule="exact"/>
        <w:rPr>
          <w:rFonts w:ascii="Arial" w:cs="Arial" w:eastAsia="Arial" w:hAnsi="Arial"/>
          <w:sz w:val="14"/>
          <w:szCs w:val="14"/>
          <w:color w:val="595959"/>
        </w:rPr>
      </w:pPr>
    </w:p>
    <w:p>
      <w:pPr>
        <w:ind w:left="900" w:right="1240" w:hanging="236"/>
        <w:spacing w:after="0" w:line="285" w:lineRule="auto"/>
        <w:tabs>
          <w:tab w:leader="none" w:pos="987" w:val="left"/>
        </w:tabs>
        <w:numPr>
          <w:ilvl w:val="0"/>
          <w:numId w:val="93"/>
        </w:numPr>
        <w:rPr>
          <w:rFonts w:ascii="Arial" w:cs="Arial" w:eastAsia="Arial" w:hAnsi="Arial"/>
          <w:sz w:val="14"/>
          <w:szCs w:val="14"/>
          <w:color w:val="595959"/>
        </w:rPr>
      </w:pPr>
      <w:r>
        <w:rPr>
          <w:rFonts w:ascii="Arial" w:cs="Arial" w:eastAsia="Arial" w:hAnsi="Arial"/>
          <w:sz w:val="14"/>
          <w:szCs w:val="14"/>
          <w:color w:val="595959"/>
        </w:rPr>
        <w:t xml:space="preserve">Mr. Bretches ceased employment with the Company effective June 4, 2025. Additional details are provided in the </w:t>
      </w:r>
      <w:r>
        <w:rPr>
          <w:rFonts w:ascii="Arial" w:cs="Arial" w:eastAsia="Arial" w:hAnsi="Arial"/>
          <w:sz w:val="14"/>
          <w:szCs w:val="14"/>
          <w:i w:val="1"/>
          <w:iCs w:val="1"/>
          <w:color w:val="595959"/>
        </w:rPr>
        <w:t>Potential Payments upon</w:t>
      </w:r>
      <w:r>
        <w:rPr>
          <w:rFonts w:ascii="Arial" w:cs="Arial" w:eastAsia="Arial" w:hAnsi="Arial"/>
          <w:sz w:val="14"/>
          <w:szCs w:val="14"/>
          <w:color w:val="595959"/>
        </w:rPr>
        <w:t xml:space="preserve"> </w:t>
      </w:r>
      <w:r>
        <w:rPr>
          <w:rFonts w:ascii="Arial" w:cs="Arial" w:eastAsia="Arial" w:hAnsi="Arial"/>
          <w:sz w:val="14"/>
          <w:szCs w:val="14"/>
          <w:i w:val="1"/>
          <w:iCs w:val="1"/>
          <w:color w:val="595959"/>
        </w:rPr>
        <w:t xml:space="preserve">Termination or Change in Control </w:t>
      </w:r>
      <w:r>
        <w:rPr>
          <w:rFonts w:ascii="Arial" w:cs="Arial" w:eastAsia="Arial" w:hAnsi="Arial"/>
          <w:sz w:val="14"/>
          <w:szCs w:val="14"/>
          <w:color w:val="595959"/>
        </w:rPr>
        <w:t>table.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2025 Corporate Performance Objectives</w:t>
      </w:r>
    </w:p>
    <w:p>
      <w:pPr>
        <w:spacing w:after="0" w:line="124" w:lineRule="exact"/>
        <w:rPr>
          <w:sz w:val="20"/>
          <w:szCs w:val="20"/>
          <w:color w:val="auto"/>
        </w:rPr>
      </w:pPr>
    </w:p>
    <w:p>
      <w:pPr>
        <w:ind w:left="660" w:right="980"/>
        <w:spacing w:after="0" w:line="286" w:lineRule="auto"/>
        <w:rPr>
          <w:sz w:val="20"/>
          <w:szCs w:val="20"/>
          <w:color w:val="auto"/>
        </w:rPr>
      </w:pPr>
      <w:r>
        <w:rPr>
          <w:rFonts w:ascii="Arial" w:cs="Arial" w:eastAsia="Arial" w:hAnsi="Arial"/>
          <w:sz w:val="16"/>
          <w:szCs w:val="16"/>
          <w:color w:val="auto"/>
        </w:rPr>
        <w:t>Corporate performance objectives are measured based on a pre-determined mix of quantitative metrics and strategic goals that are aligned with our purpose, vision, values, and strategy.</w:t>
      </w:r>
    </w:p>
    <w:p>
      <w:pPr>
        <w:spacing w:after="0" w:line="48" w:lineRule="exact"/>
        <w:rPr>
          <w:sz w:val="20"/>
          <w:szCs w:val="20"/>
          <w:color w:val="auto"/>
        </w:rPr>
      </w:pPr>
    </w:p>
    <w:p>
      <w:pPr>
        <w:ind w:left="660" w:right="1120"/>
        <w:spacing w:after="0" w:line="266" w:lineRule="auto"/>
        <w:rPr>
          <w:sz w:val="20"/>
          <w:szCs w:val="20"/>
          <w:color w:val="auto"/>
        </w:rPr>
      </w:pPr>
      <w:r>
        <w:rPr>
          <w:rFonts w:ascii="Arial" w:cs="Arial" w:eastAsia="Arial" w:hAnsi="Arial"/>
          <w:sz w:val="16"/>
          <w:szCs w:val="16"/>
          <w:color w:val="auto"/>
        </w:rPr>
        <w:t>To enhance accountability and emphasize objective performance outcomes, the MD&amp;C Committee increased the weighting on quantitative metrics from 80% to 90%, while maintaining a dedicated strategic component to recognize progress on initiatives that materially improve the Company’s long-term outlook,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48895</wp:posOffset>
            </wp:positionV>
            <wp:extent cx="6172200" cy="4457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72200" cy="445770"/>
                    </a:xfrm>
                    <a:prstGeom prst="rect">
                      <a:avLst/>
                    </a:prstGeom>
                    <a:noFill/>
                  </pic:spPr>
                </pic:pic>
              </a:graphicData>
            </a:graphic>
          </wp:anchor>
        </w:drawing>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6800" w:type="dxa"/>
            <w:vAlign w:val="bottom"/>
            <w:shd w:val="clear" w:color="auto" w:fill="D9AB26"/>
          </w:tcPr>
          <w:p>
            <w:pPr>
              <w:jc w:val="center"/>
              <w:spacing w:after="0"/>
              <w:rPr>
                <w:sz w:val="20"/>
                <w:szCs w:val="20"/>
                <w:color w:val="auto"/>
              </w:rPr>
            </w:pPr>
            <w:r>
              <w:rPr>
                <w:rFonts w:ascii="Arial" w:cs="Arial" w:eastAsia="Arial" w:hAnsi="Arial"/>
                <w:sz w:val="16"/>
                <w:szCs w:val="16"/>
                <w:b w:val="1"/>
                <w:bCs w:val="1"/>
                <w:color w:val="FFFFFF"/>
              </w:rPr>
              <w:t>Financial / Operational</w:t>
            </w:r>
          </w:p>
        </w:tc>
        <w:tc>
          <w:tcPr>
            <w:tcW w:w="1960" w:type="dxa"/>
            <w:vAlign w:val="bottom"/>
            <w:shd w:val="clear" w:color="auto" w:fill="00506F"/>
          </w:tcPr>
          <w:p>
            <w:pPr>
              <w:jc w:val="center"/>
              <w:spacing w:after="0"/>
              <w:rPr>
                <w:sz w:val="20"/>
                <w:szCs w:val="20"/>
                <w:color w:val="auto"/>
              </w:rPr>
            </w:pPr>
            <w:r>
              <w:rPr>
                <w:rFonts w:ascii="Arial" w:cs="Arial" w:eastAsia="Arial" w:hAnsi="Arial"/>
                <w:sz w:val="16"/>
                <w:szCs w:val="16"/>
                <w:b w:val="1"/>
                <w:bCs w:val="1"/>
                <w:color w:val="FFFFFF"/>
                <w:w w:val="98"/>
              </w:rPr>
              <w:t>EH&amp;S</w:t>
            </w:r>
          </w:p>
        </w:tc>
        <w:tc>
          <w:tcPr>
            <w:tcW w:w="960" w:type="dxa"/>
            <w:vAlign w:val="bottom"/>
            <w:shd w:val="clear" w:color="auto" w:fill="07877B"/>
          </w:tcPr>
          <w:p>
            <w:pPr>
              <w:jc w:val="center"/>
              <w:spacing w:after="0"/>
              <w:rPr>
                <w:sz w:val="20"/>
                <w:szCs w:val="20"/>
                <w:color w:val="auto"/>
              </w:rPr>
            </w:pPr>
            <w:r>
              <w:rPr>
                <w:rFonts w:ascii="Arial" w:cs="Arial" w:eastAsia="Arial" w:hAnsi="Arial"/>
                <w:sz w:val="16"/>
                <w:szCs w:val="16"/>
                <w:b w:val="1"/>
                <w:bCs w:val="1"/>
                <w:color w:val="FFFFFF"/>
              </w:rPr>
              <w:t>Strategic</w:t>
            </w:r>
          </w:p>
        </w:tc>
      </w:tr>
      <w:tr>
        <w:trPr>
          <w:trHeight w:val="203"/>
        </w:trPr>
        <w:tc>
          <w:tcPr>
            <w:tcW w:w="6800" w:type="dxa"/>
            <w:vAlign w:val="bottom"/>
            <w:shd w:val="clear" w:color="auto" w:fill="D9AB26"/>
          </w:tcPr>
          <w:p>
            <w:pPr>
              <w:jc w:val="right"/>
              <w:ind w:right="3139"/>
              <w:spacing w:after="0"/>
              <w:rPr>
                <w:sz w:val="20"/>
                <w:szCs w:val="20"/>
                <w:color w:val="auto"/>
              </w:rPr>
            </w:pPr>
            <w:r>
              <w:rPr>
                <w:rFonts w:ascii="Arial" w:cs="Arial" w:eastAsia="Arial" w:hAnsi="Arial"/>
                <w:sz w:val="16"/>
                <w:szCs w:val="16"/>
                <w:color w:val="FFFFFF"/>
              </w:rPr>
              <w:t>70%</w:t>
            </w:r>
          </w:p>
        </w:tc>
        <w:tc>
          <w:tcPr>
            <w:tcW w:w="1960" w:type="dxa"/>
            <w:vAlign w:val="bottom"/>
            <w:shd w:val="clear" w:color="auto" w:fill="00506F"/>
          </w:tcPr>
          <w:p>
            <w:pPr>
              <w:jc w:val="right"/>
              <w:ind w:right="759"/>
              <w:spacing w:after="0"/>
              <w:rPr>
                <w:sz w:val="20"/>
                <w:szCs w:val="20"/>
                <w:color w:val="auto"/>
              </w:rPr>
            </w:pPr>
            <w:r>
              <w:rPr>
                <w:rFonts w:ascii="Arial" w:cs="Arial" w:eastAsia="Arial" w:hAnsi="Arial"/>
                <w:sz w:val="16"/>
                <w:szCs w:val="16"/>
                <w:color w:val="FFFFFF"/>
              </w:rPr>
              <w:t>20%</w:t>
            </w:r>
          </w:p>
        </w:tc>
        <w:tc>
          <w:tcPr>
            <w:tcW w:w="960" w:type="dxa"/>
            <w:vAlign w:val="bottom"/>
            <w:shd w:val="clear" w:color="auto" w:fill="07877B"/>
          </w:tcPr>
          <w:p>
            <w:pPr>
              <w:jc w:val="right"/>
              <w:ind w:right="239"/>
              <w:spacing w:after="0"/>
              <w:rPr>
                <w:sz w:val="20"/>
                <w:szCs w:val="20"/>
                <w:color w:val="auto"/>
              </w:rPr>
            </w:pPr>
            <w:r>
              <w:rPr>
                <w:rFonts w:ascii="Arial" w:cs="Arial" w:eastAsia="Arial" w:hAnsi="Arial"/>
                <w:sz w:val="16"/>
                <w:szCs w:val="16"/>
                <w:color w:val="FFFFFF"/>
              </w:rPr>
              <w:t>10%</w:t>
            </w:r>
          </w:p>
        </w:tc>
      </w:tr>
      <w:tr>
        <w:trPr>
          <w:trHeight w:val="263"/>
        </w:trPr>
        <w:tc>
          <w:tcPr>
            <w:tcW w:w="6800" w:type="dxa"/>
            <w:vAlign w:val="bottom"/>
            <w:shd w:val="clear" w:color="auto" w:fill="F3F3F4"/>
          </w:tcPr>
          <w:p>
            <w:pPr>
              <w:ind w:left="3420"/>
              <w:spacing w:after="0"/>
              <w:rPr>
                <w:sz w:val="20"/>
                <w:szCs w:val="20"/>
                <w:color w:val="auto"/>
              </w:rPr>
            </w:pPr>
            <w:r>
              <w:rPr>
                <w:rFonts w:ascii="Arial" w:cs="Arial" w:eastAsia="Arial" w:hAnsi="Arial"/>
                <w:sz w:val="16"/>
                <w:szCs w:val="16"/>
                <w:b w:val="1"/>
                <w:bCs w:val="1"/>
                <w:i w:val="1"/>
                <w:iCs w:val="1"/>
                <w:color w:val="7F7F7F"/>
              </w:rPr>
              <w:t>90% Quantitative Metrics</w:t>
            </w:r>
          </w:p>
        </w:tc>
        <w:tc>
          <w:tcPr>
            <w:tcW w:w="1960" w:type="dxa"/>
            <w:vAlign w:val="bottom"/>
            <w:shd w:val="clear" w:color="auto" w:fill="F3F3F4"/>
          </w:tcPr>
          <w:p>
            <w:pPr>
              <w:spacing w:after="0"/>
              <w:rPr>
                <w:sz w:val="22"/>
                <w:szCs w:val="22"/>
                <w:color w:val="auto"/>
              </w:rPr>
            </w:pPr>
          </w:p>
        </w:tc>
        <w:tc>
          <w:tcPr>
            <w:tcW w:w="960" w:type="dxa"/>
            <w:vAlign w:val="bottom"/>
          </w:tcPr>
          <w:p>
            <w:pPr>
              <w:spacing w:after="0"/>
              <w:rPr>
                <w:sz w:val="22"/>
                <w:szCs w:val="22"/>
                <w:color w:val="auto"/>
              </w:rPr>
            </w:pPr>
          </w:p>
        </w:tc>
      </w:tr>
      <w:tr>
        <w:trPr>
          <w:trHeight w:val="48"/>
        </w:trPr>
        <w:tc>
          <w:tcPr>
            <w:tcW w:w="6800" w:type="dxa"/>
            <w:vAlign w:val="bottom"/>
            <w:shd w:val="clear" w:color="auto" w:fill="F3F3F4"/>
          </w:tcPr>
          <w:p>
            <w:pPr>
              <w:spacing w:after="0"/>
              <w:rPr>
                <w:sz w:val="4"/>
                <w:szCs w:val="4"/>
                <w:color w:val="auto"/>
              </w:rPr>
            </w:pPr>
          </w:p>
        </w:tc>
        <w:tc>
          <w:tcPr>
            <w:tcW w:w="1960" w:type="dxa"/>
            <w:vAlign w:val="bottom"/>
            <w:shd w:val="clear" w:color="auto" w:fill="F3F3F4"/>
          </w:tcPr>
          <w:p>
            <w:pPr>
              <w:spacing w:after="0"/>
              <w:rPr>
                <w:sz w:val="4"/>
                <w:szCs w:val="4"/>
                <w:color w:val="auto"/>
              </w:rPr>
            </w:pPr>
          </w:p>
        </w:tc>
        <w:tc>
          <w:tcPr>
            <w:tcW w:w="960" w:type="dxa"/>
            <w:vAlign w:val="bottom"/>
          </w:tcPr>
          <w:p>
            <w:pPr>
              <w:spacing w:after="0"/>
              <w:rPr>
                <w:sz w:val="4"/>
                <w:szCs w:val="4"/>
                <w:color w:val="auto"/>
              </w:rPr>
            </w:pPr>
          </w:p>
        </w:tc>
      </w:tr>
    </w:tbl>
    <w:p>
      <w:pPr>
        <w:spacing w:after="0" w:line="67" w:lineRule="exact"/>
        <w:rPr>
          <w:sz w:val="20"/>
          <w:szCs w:val="20"/>
          <w:color w:val="auto"/>
        </w:rPr>
      </w:pPr>
    </w:p>
    <w:p>
      <w:pPr>
        <w:ind w:left="1140" w:hanging="243"/>
        <w:spacing w:after="0"/>
        <w:tabs>
          <w:tab w:leader="none" w:pos="1140" w:val="left"/>
        </w:tabs>
        <w:numPr>
          <w:ilvl w:val="0"/>
          <w:numId w:val="94"/>
        </w:numPr>
        <w:rPr>
          <w:rFonts w:ascii="Times New Roman" w:cs="Times New Roman" w:eastAsia="Times New Roman" w:hAnsi="Times New Roman"/>
          <w:sz w:val="16"/>
          <w:szCs w:val="16"/>
          <w:color w:val="D9AB28"/>
        </w:rPr>
      </w:pPr>
      <w:r>
        <w:rPr>
          <w:rFonts w:ascii="Arial" w:cs="Arial" w:eastAsia="Arial" w:hAnsi="Arial"/>
          <w:sz w:val="16"/>
          <w:szCs w:val="16"/>
          <w:b w:val="1"/>
          <w:bCs w:val="1"/>
          <w:color w:val="auto"/>
        </w:rPr>
        <w:t xml:space="preserve">Quantitative metrics (90%) </w:t>
      </w:r>
      <w:r>
        <w:rPr>
          <w:rFonts w:ascii="Arial" w:cs="Arial" w:eastAsia="Arial" w:hAnsi="Arial"/>
          <w:sz w:val="16"/>
          <w:szCs w:val="16"/>
          <w:color w:val="auto"/>
        </w:rPr>
        <w:t>are linked to specific financial, operational, and EH&amp;S goals.</w:t>
      </w:r>
    </w:p>
    <w:p>
      <w:pPr>
        <w:spacing w:after="0" w:line="125" w:lineRule="exact"/>
        <w:rPr>
          <w:rFonts w:ascii="Times New Roman" w:cs="Times New Roman" w:eastAsia="Times New Roman" w:hAnsi="Times New Roman"/>
          <w:sz w:val="16"/>
          <w:szCs w:val="16"/>
          <w:color w:val="D9AB28"/>
        </w:rPr>
      </w:pPr>
    </w:p>
    <w:p>
      <w:pPr>
        <w:ind w:left="1360" w:right="1080" w:hanging="233"/>
        <w:spacing w:after="0" w:line="284" w:lineRule="auto"/>
        <w:rPr>
          <w:rFonts w:ascii="Times New Roman" w:cs="Times New Roman" w:eastAsia="Times New Roman" w:hAnsi="Times New Roman"/>
          <w:sz w:val="16"/>
          <w:szCs w:val="16"/>
          <w:color w:val="D9AB28"/>
        </w:rPr>
      </w:pPr>
      <w:r>
        <w:rPr>
          <w:rFonts w:ascii="Times New Roman" w:cs="Times New Roman" w:eastAsia="Times New Roman" w:hAnsi="Times New Roman"/>
          <w:sz w:val="16"/>
          <w:szCs w:val="16"/>
          <w:color w:val="auto"/>
        </w:rPr>
        <w:t xml:space="preserve">o </w:t>
      </w:r>
      <w:r>
        <w:rPr>
          <w:rFonts w:ascii="Arial" w:cs="Arial" w:eastAsia="Arial" w:hAnsi="Arial"/>
          <w:sz w:val="16"/>
          <w:szCs w:val="16"/>
          <w:b w:val="1"/>
          <w:bCs w:val="1"/>
          <w:color w:val="auto"/>
        </w:rPr>
        <w:t>Financial and operational goals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emphasize disciplined capital allocation, cost efficiency, and reliable production, while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balancing cost discipline with dependable execution.</w:t>
      </w:r>
    </w:p>
    <w:p>
      <w:pPr>
        <w:spacing w:after="0" w:line="48" w:lineRule="exact"/>
        <w:rPr>
          <w:rFonts w:ascii="Times New Roman" w:cs="Times New Roman" w:eastAsia="Times New Roman" w:hAnsi="Times New Roman"/>
          <w:sz w:val="16"/>
          <w:szCs w:val="16"/>
          <w:color w:val="D9AB28"/>
        </w:rPr>
      </w:pPr>
    </w:p>
    <w:p>
      <w:pPr>
        <w:ind w:left="1360" w:right="720" w:hanging="233"/>
        <w:spacing w:after="0" w:line="284" w:lineRule="auto"/>
        <w:rPr>
          <w:rFonts w:ascii="Times New Roman" w:cs="Times New Roman" w:eastAsia="Times New Roman" w:hAnsi="Times New Roman"/>
          <w:sz w:val="16"/>
          <w:szCs w:val="16"/>
          <w:color w:val="D9AB28"/>
        </w:rPr>
      </w:pPr>
      <w:r>
        <w:rPr>
          <w:rFonts w:ascii="Times New Roman" w:cs="Times New Roman" w:eastAsia="Times New Roman" w:hAnsi="Times New Roman"/>
          <w:sz w:val="16"/>
          <w:szCs w:val="16"/>
          <w:color w:val="auto"/>
        </w:rPr>
        <w:t xml:space="preserve">o </w:t>
      </w:r>
      <w:r>
        <w:rPr>
          <w:rFonts w:ascii="Arial" w:cs="Arial" w:eastAsia="Arial" w:hAnsi="Arial"/>
          <w:sz w:val="16"/>
          <w:szCs w:val="16"/>
          <w:b w:val="1"/>
          <w:bCs w:val="1"/>
          <w:color w:val="auto"/>
        </w:rPr>
        <w:t>EH&amp;S goals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maintain focus on reducing routine flaring across U.S. onshore operations and achieving industry-leading safety</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performance, underscoring the Company’s commitment to operating responsibly and safely.</w:t>
      </w:r>
    </w:p>
    <w:p>
      <w:pPr>
        <w:spacing w:after="0" w:line="48" w:lineRule="exact"/>
        <w:rPr>
          <w:rFonts w:ascii="Times New Roman" w:cs="Times New Roman" w:eastAsia="Times New Roman" w:hAnsi="Times New Roman"/>
          <w:sz w:val="16"/>
          <w:szCs w:val="16"/>
          <w:color w:val="D9AB28"/>
        </w:rPr>
      </w:pPr>
    </w:p>
    <w:p>
      <w:pPr>
        <w:ind w:left="1140" w:right="780" w:hanging="243"/>
        <w:spacing w:after="0" w:line="266" w:lineRule="auto"/>
        <w:tabs>
          <w:tab w:leader="none" w:pos="1140" w:val="left"/>
        </w:tabs>
        <w:numPr>
          <w:ilvl w:val="0"/>
          <w:numId w:val="94"/>
        </w:numPr>
        <w:rPr>
          <w:rFonts w:ascii="Times New Roman" w:cs="Times New Roman" w:eastAsia="Times New Roman" w:hAnsi="Times New Roman"/>
          <w:sz w:val="16"/>
          <w:szCs w:val="16"/>
          <w:color w:val="D9AB28"/>
        </w:rPr>
      </w:pPr>
      <w:r>
        <w:rPr>
          <w:rFonts w:ascii="Arial" w:cs="Arial" w:eastAsia="Arial" w:hAnsi="Arial"/>
          <w:sz w:val="16"/>
          <w:szCs w:val="16"/>
          <w:b w:val="1"/>
          <w:bCs w:val="1"/>
          <w:color w:val="auto"/>
        </w:rPr>
        <w:t xml:space="preserve">Qualitative metrics (10%) </w:t>
      </w:r>
      <w:r>
        <w:rPr>
          <w:rFonts w:ascii="Arial" w:cs="Arial" w:eastAsia="Arial" w:hAnsi="Arial"/>
          <w:sz w:val="16"/>
          <w:szCs w:val="16"/>
          <w:color w:val="auto"/>
        </w:rPr>
        <w:t>evaluate progress on strategic priorities that enhance APA’s long-term outlook, including portfolio</w:t>
      </w:r>
      <w:r>
        <w:rPr>
          <w:rFonts w:ascii="Arial" w:cs="Arial" w:eastAsia="Arial" w:hAnsi="Arial"/>
          <w:sz w:val="16"/>
          <w:szCs w:val="16"/>
          <w:b w:val="1"/>
          <w:bCs w:val="1"/>
          <w:color w:val="auto"/>
        </w:rPr>
        <w:t xml:space="preserve"> </w:t>
      </w:r>
      <w:r>
        <w:rPr>
          <w:rFonts w:ascii="Arial" w:cs="Arial" w:eastAsia="Arial" w:hAnsi="Arial"/>
          <w:sz w:val="16"/>
          <w:szCs w:val="16"/>
          <w:color w:val="auto"/>
        </w:rPr>
        <w:t>optimization, integration of recent acquisitions, and balance sheet strength to position the Company for durable, long-term value creation.</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2025 Corporate Performance Scorecard</w:t>
      </w:r>
    </w:p>
    <w:p>
      <w:pPr>
        <w:spacing w:after="0" w:line="112" w:lineRule="exact"/>
        <w:rPr>
          <w:sz w:val="20"/>
          <w:szCs w:val="20"/>
          <w:color w:val="auto"/>
        </w:rPr>
      </w:pPr>
    </w:p>
    <w:p>
      <w:pPr>
        <w:ind w:left="660" w:right="780"/>
        <w:spacing w:after="0" w:line="253" w:lineRule="auto"/>
        <w:rPr>
          <w:sz w:val="20"/>
          <w:szCs w:val="20"/>
          <w:color w:val="auto"/>
        </w:rPr>
      </w:pPr>
      <w:r>
        <w:rPr>
          <w:rFonts w:ascii="Arial" w:cs="Arial" w:eastAsia="Arial" w:hAnsi="Arial"/>
          <w:sz w:val="16"/>
          <w:szCs w:val="16"/>
          <w:color w:val="auto"/>
        </w:rPr>
        <w:t>The MD&amp;C Committee also approved refinements to the corporate performance scorecard for annual incentives to improve transparency, further strengthen accountability, and align more directly with key value drivers. From 2021 through 2024, the scorecard used a more complex measure of costs, which captured broad spending efficiency but limited visibility into specific cost drivers. Following a comprehensive benchmarking review, the MD&amp;C Committee saw an opportunity to enhance focus by expanding and disaggregating costs into distinct Development Capital Expenditures, Lifting + Workover Costs, and Gross Department Costs metrics. This change provides clearer accountability for each cost category and allows for more targeted management of spending across the business.</w:t>
      </w:r>
    </w:p>
    <w:p>
      <w:pPr>
        <w:spacing w:after="0" w:line="73" w:lineRule="exact"/>
        <w:rPr>
          <w:sz w:val="20"/>
          <w:szCs w:val="20"/>
          <w:color w:val="auto"/>
        </w:rPr>
      </w:pPr>
    </w:p>
    <w:p>
      <w:pPr>
        <w:jc w:val="both"/>
        <w:ind w:left="660" w:right="840"/>
        <w:spacing w:after="0" w:line="266" w:lineRule="auto"/>
        <w:rPr>
          <w:sz w:val="20"/>
          <w:szCs w:val="20"/>
          <w:color w:val="auto"/>
        </w:rPr>
      </w:pPr>
      <w:r>
        <w:rPr>
          <w:rFonts w:ascii="Arial" w:cs="Arial" w:eastAsia="Arial" w:hAnsi="Arial"/>
          <w:sz w:val="16"/>
          <w:szCs w:val="16"/>
          <w:color w:val="auto"/>
        </w:rPr>
        <w:t>The 2025 scorecard also reintroduces Net Production (MBOE/D) as a standalone measure to ensure balance between cost discipline and operational execution. By including safety metrics alongside production and cost metrics, the framework reinforces that efficiency should not come at the expense of maintaining reliable, safe, and sustainable operations.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23</w:t>
            </w:r>
          </w:p>
        </w:tc>
      </w:tr>
      <w:tr>
        <w:trPr>
          <w:trHeight w:val="878"/>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18" w:right="439" w:bottom="1440" w:gutter="0" w:footer="0" w:header="0"/>
        </w:sectPr>
      </w:pPr>
    </w:p>
    <w:bookmarkStart w:id="29" w:name="page30"/>
    <w:bookmarkEnd w:id="29"/>
    <w:p>
      <w:pPr>
        <w:ind w:right="40"/>
        <w:spacing w:after="0" w:line="253" w:lineRule="auto"/>
        <w:rPr>
          <w:sz w:val="20"/>
          <w:szCs w:val="20"/>
          <w:color w:val="auto"/>
        </w:rPr>
      </w:pPr>
      <w:r>
        <w:rPr>
          <w:rFonts w:ascii="Arial" w:cs="Arial" w:eastAsia="Arial" w:hAnsi="Arial"/>
          <w:sz w:val="16"/>
          <w:szCs w:val="16"/>
          <w:color w:val="auto"/>
        </w:rPr>
        <w:t>The MD&amp;C Committee also simplified the scorecard by removing Profitability Index (P/I) as a standalone incentive metric. P/I remains a core tool used by management and the Board to evaluate and prioritize capital investments and is regularly discussed in Board meetings as part of capital allocation oversight. Rather than relying on P/I as a single, composite incentive measure, the refined scorecard reflects the same underlying economic principles through a set of discrete financial and operational metrics that provide clearer accountability and line of sight for participants. This approach preserves the capital efficiency discipline embedded in P/I while better aligning employee incentives with the Company’s balanced, returns-driven capital strategy and the Board’s capital allocation framework.</w:t>
      </w:r>
    </w:p>
    <w:p>
      <w:pPr>
        <w:spacing w:after="0" w:line="26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MD&amp;C Committee typically sets the threshold, target, and maximum performance goals for each metric at the start of the year, aligned with our approved annual corporate plan and submitted for approval at the February Board meeting. Our corporate performance is then measured against the scorecard at the end of the fiscal year to determine final payout results. The MD&amp;C Committee’s approach for approving the performance goals is grounded in the following guiding principles:</w:t>
      </w:r>
    </w:p>
    <w:p>
      <w:pPr>
        <w:spacing w:after="0" w:line="70" w:lineRule="exact"/>
        <w:rPr>
          <w:sz w:val="20"/>
          <w:szCs w:val="20"/>
          <w:color w:val="auto"/>
        </w:rPr>
      </w:pPr>
    </w:p>
    <w:p>
      <w:pPr>
        <w:ind w:left="480" w:right="240" w:hanging="243"/>
        <w:spacing w:after="0" w:line="296" w:lineRule="auto"/>
        <w:tabs>
          <w:tab w:leader="none" w:pos="48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Performance targets are established independently of past outcomes and grounded in forward-looking plans that are ambitious but attainable.</w:t>
      </w:r>
    </w:p>
    <w:p>
      <w:pPr>
        <w:spacing w:after="0" w:line="31" w:lineRule="exact"/>
        <w:rPr>
          <w:rFonts w:ascii="Times New Roman" w:cs="Times New Roman" w:eastAsia="Times New Roman" w:hAnsi="Times New Roman"/>
          <w:sz w:val="16"/>
          <w:szCs w:val="16"/>
          <w:color w:val="auto"/>
        </w:rPr>
      </w:pPr>
    </w:p>
    <w:p>
      <w:pPr>
        <w:ind w:left="480" w:right="60"/>
        <w:spacing w:after="0" w:line="250" w:lineRule="auto"/>
        <w:rPr>
          <w:rFonts w:ascii="Times New Roman" w:cs="Times New Roman" w:eastAsia="Times New Roman" w:hAnsi="Times New Roman"/>
          <w:sz w:val="16"/>
          <w:szCs w:val="16"/>
          <w:color w:val="auto"/>
        </w:rPr>
      </w:pPr>
      <w:r>
        <w:rPr>
          <w:rFonts w:ascii="Arial" w:cs="Arial" w:eastAsia="Arial" w:hAnsi="Arial"/>
          <w:sz w:val="16"/>
          <w:szCs w:val="16"/>
          <w:color w:val="auto"/>
        </w:rPr>
        <w:t>A key part of our process is ensuring that each year’s performance targets are established on a forward-looking basis, which is a common practice for E&amp;P companies like APA. In such an unpredictable landscape, relying on past performance alone would be neither practical nor effective. Free Cash Flow targets, for example, are based on our plan price for commodities in the year ahead, recognizing that fluctuating commodity prices directly impact cash generation and, by extension, our ability to reinvest, manage debt, and return value to shareholders. Beyond Free Cash Flow, cost, capital, and production metrics are established annually using detailed asset plans that set ambitious expectations for operational performance. Cost-related targets, for example, are set at levels that demand meaningful efficiency gains despite inflationary pressures and supply chain volatility. Production and capital goals are designed to push leadership to maximize output and returns while carefully managing risk. In this framework, “target” represents performance that requires strong execution beyond ordinary operating plans, striking a deliberate balance between ambition and achievability.</w:t>
      </w:r>
    </w:p>
    <w:p>
      <w:pPr>
        <w:spacing w:after="0" w:line="81" w:lineRule="exact"/>
        <w:rPr>
          <w:rFonts w:ascii="Times New Roman" w:cs="Times New Roman" w:eastAsia="Times New Roman" w:hAnsi="Times New Roman"/>
          <w:sz w:val="16"/>
          <w:szCs w:val="16"/>
          <w:color w:val="auto"/>
        </w:rPr>
      </w:pPr>
    </w:p>
    <w:p>
      <w:pPr>
        <w:ind w:left="480" w:hanging="243"/>
        <w:spacing w:after="0"/>
        <w:tabs>
          <w:tab w:leader="none" w:pos="48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Thresholds and maximums should establish clear boundaries for performance outcomes.</w:t>
      </w:r>
    </w:p>
    <w:p>
      <w:pPr>
        <w:spacing w:after="0" w:line="125" w:lineRule="exact"/>
        <w:rPr>
          <w:rFonts w:ascii="Times New Roman" w:cs="Times New Roman" w:eastAsia="Times New Roman" w:hAnsi="Times New Roman"/>
          <w:sz w:val="16"/>
          <w:szCs w:val="16"/>
          <w:color w:val="auto"/>
        </w:rPr>
      </w:pPr>
    </w:p>
    <w:p>
      <w:pPr>
        <w:ind w:left="480" w:right="20"/>
        <w:spacing w:after="0" w:line="256" w:lineRule="auto"/>
        <w:rPr>
          <w:rFonts w:ascii="Times New Roman" w:cs="Times New Roman" w:eastAsia="Times New Roman" w:hAnsi="Times New Roman"/>
          <w:sz w:val="16"/>
          <w:szCs w:val="16"/>
          <w:color w:val="auto"/>
        </w:rPr>
      </w:pPr>
      <w:r>
        <w:rPr>
          <w:rFonts w:ascii="Arial" w:cs="Arial" w:eastAsia="Arial" w:hAnsi="Arial"/>
          <w:sz w:val="16"/>
          <w:szCs w:val="16"/>
          <w:color w:val="auto"/>
        </w:rPr>
        <w:t>Threshold and maximum goals provide the outer parameters of our performance ranges. Thresholds represent a solid floor, requiring meaningful effort and execution even at the minimum payout level. Maximum goals are set at levels that demand exceptional execution and efficiency, often requiring management to capture improvements beyond plan assumptions and navigate operational or market challenges. Maximum performance reflects the upper boundary of expectations, ensuring payouts are reserved for outcomes that contribute to creating long-term shareholder value.</w:t>
      </w:r>
    </w:p>
    <w:p>
      <w:pPr>
        <w:spacing w:after="0" w:line="7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Based on year-end results, overall performance under the final scorecard exceeded target expectations and reflected strong execution across key financial, operational, and EH&amp;S metrics. Performance met or exceeded target levels for the majority of measures, with several metrics achieving results at or near maximum performance levels, including Free Cash Flow, production, capital spending efficiency, and EH&amp;S outcomes. Consistent with the design of the refined scorecard, results varied across individual cost categories, reinforcing accountability for distinct areas of performance rather than reliance on aggregated outcomes. The MD&amp;C Committee views these results as early confirmation that the redesigned scorecard is improving line-of-sight accountability and reinforcing balanced execution across cost discipline, production reliability, and safety.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2025 corporate performance scorecard is outlined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7F7F7F"/>
        </w:rPr>
        <w:t>[Remainder of Page Intentionally Left Blank]</w:t>
      </w:r>
    </w:p>
    <w:p>
      <w:pPr>
        <w:spacing w:after="0" w:line="327"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32" w:right="1099" w:bottom="1440" w:gutter="0" w:footer="0" w:header="0"/>
        </w:sectPr>
      </w:pPr>
    </w:p>
    <w:bookmarkStart w:id="30" w:name="page31"/>
    <w:bookmarkEnd w:id="30"/>
    <w:p>
      <w:pPr>
        <w:ind w:left="360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688340</wp:posOffset>
            </wp:positionH>
            <wp:positionV relativeFrom="page">
              <wp:posOffset>843280</wp:posOffset>
            </wp:positionV>
            <wp:extent cx="6172200" cy="3429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72200" cy="342900"/>
                    </a:xfrm>
                    <a:prstGeom prst="rect">
                      <a:avLst/>
                    </a:prstGeom>
                    <a:noFill/>
                  </pic:spPr>
                </pic:pic>
              </a:graphicData>
            </a:graphic>
          </wp:anchor>
        </w:drawing>
        <w:t>The MD&amp;C Committee’s Final Scorecard</w:t>
      </w:r>
    </w:p>
    <w:p>
      <w:pPr>
        <w:spacing w:after="0" w:line="6"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FFFFFF"/>
        </w:rPr>
        <w:t>2025 Corporate Performance Metrics</w:t>
      </w:r>
    </w:p>
    <w:p>
      <w:pPr>
        <w:spacing w:after="0" w:line="4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80" w:type="dxa"/>
            <w:vAlign w:val="bottom"/>
            <w:tcBorders>
              <w:bottom w:val="single" w:sz="8" w:color="F3F3F4"/>
            </w:tcBorders>
            <w:vMerge w:val="restart"/>
            <w:shd w:val="clear" w:color="auto" w:fill="F3F3F4"/>
          </w:tcPr>
          <w:p>
            <w:pPr>
              <w:ind w:left="60"/>
              <w:spacing w:after="0"/>
              <w:rPr>
                <w:sz w:val="20"/>
                <w:szCs w:val="20"/>
                <w:color w:val="auto"/>
              </w:rPr>
            </w:pPr>
            <w:r>
              <w:rPr>
                <w:rFonts w:ascii="Arial" w:cs="Arial" w:eastAsia="Arial" w:hAnsi="Arial"/>
                <w:sz w:val="16"/>
                <w:szCs w:val="16"/>
                <w:b w:val="1"/>
                <w:bCs w:val="1"/>
                <w:color w:val="auto"/>
              </w:rPr>
              <w:t>Objectives/Metrics</w:t>
            </w:r>
          </w:p>
        </w:tc>
        <w:tc>
          <w:tcPr>
            <w:tcW w:w="680" w:type="dxa"/>
            <w:vAlign w:val="bottom"/>
            <w:tcBorders>
              <w:bottom w:val="single" w:sz="8" w:color="F3F3F4"/>
            </w:tcBorders>
            <w:shd w:val="clear" w:color="auto" w:fill="F3F3F4"/>
          </w:tcPr>
          <w:p>
            <w:pPr>
              <w:spacing w:after="0"/>
              <w:rPr>
                <w:sz w:val="19"/>
                <w:szCs w:val="19"/>
                <w:color w:val="auto"/>
              </w:rPr>
            </w:pPr>
          </w:p>
        </w:tc>
        <w:tc>
          <w:tcPr>
            <w:tcW w:w="3480" w:type="dxa"/>
            <w:vAlign w:val="bottom"/>
            <w:tcBorders>
              <w:bottom w:val="single" w:sz="8" w:color="auto"/>
            </w:tcBorders>
            <w:gridSpan w:val="3"/>
            <w:shd w:val="clear" w:color="auto" w:fill="F3F3F4"/>
          </w:tcPr>
          <w:p>
            <w:pPr>
              <w:jc w:val="center"/>
              <w:spacing w:after="0"/>
              <w:rPr>
                <w:sz w:val="20"/>
                <w:szCs w:val="20"/>
                <w:color w:val="auto"/>
              </w:rPr>
            </w:pPr>
            <w:r>
              <w:rPr>
                <w:rFonts w:ascii="Arial" w:cs="Arial" w:eastAsia="Arial" w:hAnsi="Arial"/>
                <w:sz w:val="16"/>
                <w:szCs w:val="16"/>
                <w:b w:val="1"/>
                <w:bCs w:val="1"/>
                <w:color w:val="auto"/>
              </w:rPr>
              <w:t>Performance Goals and Results</w:t>
            </w:r>
          </w:p>
        </w:tc>
        <w:tc>
          <w:tcPr>
            <w:tcW w:w="680" w:type="dxa"/>
            <w:vAlign w:val="bottom"/>
            <w:tcBorders>
              <w:bottom w:val="single" w:sz="8" w:color="F3F3F4"/>
            </w:tcBorders>
            <w:shd w:val="clear" w:color="auto" w:fill="F3F3F4"/>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880" w:type="dxa"/>
            <w:vAlign w:val="bottom"/>
            <w:vMerge w:val="continue"/>
            <w:shd w:val="clear" w:color="auto" w:fill="F3F3F4"/>
          </w:tcPr>
          <w:p>
            <w:pPr>
              <w:spacing w:after="0"/>
              <w:rPr>
                <w:sz w:val="14"/>
                <w:szCs w:val="14"/>
                <w:color w:val="auto"/>
              </w:rPr>
            </w:pPr>
          </w:p>
        </w:tc>
        <w:tc>
          <w:tcPr>
            <w:tcW w:w="1720" w:type="dxa"/>
            <w:vAlign w:val="bottom"/>
            <w:gridSpan w:val="2"/>
            <w:shd w:val="clear" w:color="auto" w:fill="F3F3F4"/>
          </w:tcPr>
          <w:p>
            <w:pPr>
              <w:ind w:left="60"/>
              <w:spacing w:after="0" w:line="171" w:lineRule="exact"/>
              <w:rPr>
                <w:sz w:val="20"/>
                <w:szCs w:val="20"/>
                <w:color w:val="auto"/>
              </w:rPr>
            </w:pPr>
            <w:r>
              <w:rPr>
                <w:rFonts w:ascii="Arial" w:cs="Arial" w:eastAsia="Arial" w:hAnsi="Arial"/>
                <w:sz w:val="16"/>
                <w:szCs w:val="16"/>
                <w:b w:val="1"/>
                <w:bCs w:val="1"/>
                <w:color w:val="auto"/>
              </w:rPr>
              <w:t xml:space="preserve">Weight </w:t>
            </w:r>
            <w:r>
              <w:rPr>
                <w:rFonts w:ascii="Arial" w:cs="Arial" w:eastAsia="Arial" w:hAnsi="Arial"/>
                <w:sz w:val="16"/>
                <w:szCs w:val="16"/>
                <w:b w:val="1"/>
                <w:bCs w:val="1"/>
                <w:i w:val="1"/>
                <w:iCs w:val="1"/>
                <w:color w:val="auto"/>
              </w:rPr>
              <w:t>Threshold</w:t>
            </w:r>
          </w:p>
        </w:tc>
        <w:tc>
          <w:tcPr>
            <w:tcW w:w="1360" w:type="dxa"/>
            <w:vAlign w:val="bottom"/>
            <w:shd w:val="clear" w:color="auto" w:fill="F3F3F4"/>
          </w:tcPr>
          <w:p>
            <w:pPr>
              <w:jc w:val="center"/>
              <w:spacing w:after="0" w:line="171" w:lineRule="exact"/>
              <w:rPr>
                <w:sz w:val="20"/>
                <w:szCs w:val="20"/>
                <w:color w:val="auto"/>
              </w:rPr>
            </w:pPr>
            <w:r>
              <w:rPr>
                <w:rFonts w:ascii="Arial" w:cs="Arial" w:eastAsia="Arial" w:hAnsi="Arial"/>
                <w:sz w:val="16"/>
                <w:szCs w:val="16"/>
                <w:b w:val="1"/>
                <w:bCs w:val="1"/>
                <w:i w:val="1"/>
                <w:iCs w:val="1"/>
                <w:color w:val="auto"/>
                <w:w w:val="98"/>
              </w:rPr>
              <w:t>Target</w:t>
            </w:r>
          </w:p>
        </w:tc>
        <w:tc>
          <w:tcPr>
            <w:tcW w:w="1760" w:type="dxa"/>
            <w:vAlign w:val="bottom"/>
            <w:gridSpan w:val="2"/>
            <w:shd w:val="clear" w:color="auto" w:fill="F3F3F4"/>
          </w:tcPr>
          <w:p>
            <w:pPr>
              <w:ind w:left="320"/>
              <w:spacing w:after="0" w:line="171" w:lineRule="exact"/>
              <w:rPr>
                <w:sz w:val="20"/>
                <w:szCs w:val="20"/>
                <w:color w:val="auto"/>
              </w:rPr>
            </w:pPr>
            <w:r>
              <w:rPr>
                <w:rFonts w:ascii="Arial" w:cs="Arial" w:eastAsia="Arial" w:hAnsi="Arial"/>
                <w:sz w:val="16"/>
                <w:szCs w:val="16"/>
                <w:b w:val="1"/>
                <w:bCs w:val="1"/>
                <w:i w:val="1"/>
                <w:iCs w:val="1"/>
                <w:color w:val="auto"/>
              </w:rPr>
              <w:t xml:space="preserve">Maximum </w:t>
            </w:r>
            <w:r>
              <w:rPr>
                <w:rFonts w:ascii="Arial" w:cs="Arial" w:eastAsia="Arial" w:hAnsi="Arial"/>
                <w:sz w:val="16"/>
                <w:szCs w:val="16"/>
                <w:b w:val="1"/>
                <w:bCs w:val="1"/>
                <w:color w:val="auto"/>
              </w:rPr>
              <w:t>Payout</w:t>
            </w:r>
          </w:p>
        </w:tc>
        <w:tc>
          <w:tcPr>
            <w:tcW w:w="0" w:type="dxa"/>
            <w:vAlign w:val="bottom"/>
          </w:tcPr>
          <w:p>
            <w:pPr>
              <w:spacing w:after="0"/>
              <w:rPr>
                <w:sz w:val="1"/>
                <w:szCs w:val="1"/>
                <w:color w:val="auto"/>
              </w:rPr>
            </w:pPr>
          </w:p>
        </w:tc>
      </w:tr>
      <w:tr>
        <w:trPr>
          <w:trHeight w:val="201"/>
        </w:trPr>
        <w:tc>
          <w:tcPr>
            <w:tcW w:w="4880" w:type="dxa"/>
            <w:vAlign w:val="bottom"/>
            <w:tcBorders>
              <w:bottom w:val="single" w:sz="8" w:color="auto"/>
            </w:tcBorders>
            <w:shd w:val="clear" w:color="auto" w:fill="F3F3F4"/>
          </w:tcPr>
          <w:p>
            <w:pPr>
              <w:spacing w:after="0"/>
              <w:rPr>
                <w:sz w:val="17"/>
                <w:szCs w:val="17"/>
                <w:color w:val="auto"/>
              </w:rPr>
            </w:pPr>
          </w:p>
        </w:tc>
        <w:tc>
          <w:tcPr>
            <w:tcW w:w="680" w:type="dxa"/>
            <w:vAlign w:val="bottom"/>
            <w:tcBorders>
              <w:bottom w:val="single" w:sz="8" w:color="auto"/>
            </w:tcBorders>
            <w:shd w:val="clear" w:color="auto" w:fill="F3F3F4"/>
          </w:tcPr>
          <w:p>
            <w:pPr>
              <w:spacing w:after="0"/>
              <w:rPr>
                <w:sz w:val="17"/>
                <w:szCs w:val="17"/>
                <w:color w:val="auto"/>
              </w:rPr>
            </w:pPr>
          </w:p>
        </w:tc>
        <w:tc>
          <w:tcPr>
            <w:tcW w:w="104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6"/>
                <w:szCs w:val="16"/>
                <w:i w:val="1"/>
                <w:iCs w:val="1"/>
                <w:color w:val="auto"/>
              </w:rPr>
              <w:t>50% Payout</w:t>
            </w:r>
          </w:p>
        </w:tc>
        <w:tc>
          <w:tcPr>
            <w:tcW w:w="1360" w:type="dxa"/>
            <w:vAlign w:val="bottom"/>
            <w:tcBorders>
              <w:bottom w:val="single" w:sz="8" w:color="auto"/>
            </w:tcBorders>
            <w:shd w:val="clear" w:color="auto" w:fill="F3F3F4"/>
          </w:tcPr>
          <w:p>
            <w:pPr>
              <w:jc w:val="center"/>
              <w:spacing w:after="0"/>
              <w:rPr>
                <w:sz w:val="20"/>
                <w:szCs w:val="20"/>
                <w:color w:val="auto"/>
              </w:rPr>
            </w:pPr>
            <w:r>
              <w:rPr>
                <w:rFonts w:ascii="Arial" w:cs="Arial" w:eastAsia="Arial" w:hAnsi="Arial"/>
                <w:sz w:val="16"/>
                <w:szCs w:val="16"/>
                <w:i w:val="1"/>
                <w:iCs w:val="1"/>
                <w:color w:val="auto"/>
              </w:rPr>
              <w:t>100% Payout</w:t>
            </w:r>
          </w:p>
        </w:tc>
        <w:tc>
          <w:tcPr>
            <w:tcW w:w="108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6"/>
                <w:szCs w:val="16"/>
                <w:i w:val="1"/>
                <w:iCs w:val="1"/>
                <w:color w:val="auto"/>
              </w:rPr>
              <w:t>200% Payout</w:t>
            </w:r>
          </w:p>
        </w:tc>
        <w:tc>
          <w:tcPr>
            <w:tcW w:w="680" w:type="dxa"/>
            <w:vAlign w:val="bottom"/>
            <w:tcBorders>
              <w:bottom w:val="single" w:sz="8" w:color="auto"/>
            </w:tcBorders>
            <w:shd w:val="clear" w:color="auto" w:fill="F3F3F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auto"/>
            </w:tcBorders>
            <w:shd w:val="clear" w:color="auto" w:fill="07877B"/>
          </w:tcPr>
          <w:p>
            <w:pPr>
              <w:ind w:left="60"/>
              <w:spacing w:after="0"/>
              <w:rPr>
                <w:sz w:val="20"/>
                <w:szCs w:val="20"/>
                <w:color w:val="auto"/>
              </w:rPr>
            </w:pPr>
            <w:r>
              <w:rPr>
                <w:rFonts w:ascii="Arial" w:cs="Arial" w:eastAsia="Arial" w:hAnsi="Arial"/>
                <w:sz w:val="14"/>
                <w:szCs w:val="14"/>
                <w:b w:val="1"/>
                <w:bCs w:val="1"/>
                <w:color w:val="FFFFFF"/>
              </w:rPr>
              <w:t>Financial/Operational</w:t>
            </w:r>
          </w:p>
        </w:tc>
        <w:tc>
          <w:tcPr>
            <w:tcW w:w="680" w:type="dxa"/>
            <w:vAlign w:val="bottom"/>
            <w:tcBorders>
              <w:bottom w:val="single" w:sz="8" w:color="auto"/>
            </w:tcBorders>
            <w:shd w:val="clear" w:color="auto" w:fill="07877B"/>
          </w:tcPr>
          <w:p>
            <w:pPr>
              <w:spacing w:after="0"/>
              <w:rPr>
                <w:sz w:val="18"/>
                <w:szCs w:val="18"/>
                <w:color w:val="auto"/>
              </w:rPr>
            </w:pPr>
          </w:p>
        </w:tc>
        <w:tc>
          <w:tcPr>
            <w:tcW w:w="1040" w:type="dxa"/>
            <w:vAlign w:val="bottom"/>
            <w:tcBorders>
              <w:bottom w:val="single" w:sz="8" w:color="auto"/>
            </w:tcBorders>
            <w:shd w:val="clear" w:color="auto" w:fill="07877B"/>
          </w:tcPr>
          <w:p>
            <w:pPr>
              <w:spacing w:after="0"/>
              <w:rPr>
                <w:sz w:val="18"/>
                <w:szCs w:val="18"/>
                <w:color w:val="auto"/>
              </w:rPr>
            </w:pPr>
          </w:p>
        </w:tc>
        <w:tc>
          <w:tcPr>
            <w:tcW w:w="1360" w:type="dxa"/>
            <w:vAlign w:val="bottom"/>
            <w:tcBorders>
              <w:bottom w:val="single" w:sz="8" w:color="auto"/>
            </w:tcBorders>
            <w:shd w:val="clear" w:color="auto" w:fill="07877B"/>
          </w:tcPr>
          <w:p>
            <w:pPr>
              <w:spacing w:after="0"/>
              <w:rPr>
                <w:sz w:val="18"/>
                <w:szCs w:val="18"/>
                <w:color w:val="auto"/>
              </w:rPr>
            </w:pPr>
          </w:p>
        </w:tc>
        <w:tc>
          <w:tcPr>
            <w:tcW w:w="1080" w:type="dxa"/>
            <w:vAlign w:val="bottom"/>
            <w:tcBorders>
              <w:bottom w:val="single" w:sz="8" w:color="auto"/>
            </w:tcBorders>
            <w:shd w:val="clear" w:color="auto" w:fill="07877B"/>
          </w:tcPr>
          <w:p>
            <w:pPr>
              <w:spacing w:after="0"/>
              <w:rPr>
                <w:sz w:val="18"/>
                <w:szCs w:val="18"/>
                <w:color w:val="auto"/>
              </w:rPr>
            </w:pPr>
          </w:p>
        </w:tc>
        <w:tc>
          <w:tcPr>
            <w:tcW w:w="680" w:type="dxa"/>
            <w:vAlign w:val="bottom"/>
            <w:tcBorders>
              <w:bottom w:val="single" w:sz="8" w:color="auto"/>
            </w:tcBorders>
            <w:shd w:val="clear" w:color="auto" w:fill="07877B"/>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60"/>
              <w:spacing w:after="0" w:line="175" w:lineRule="exact"/>
              <w:rPr>
                <w:sz w:val="20"/>
                <w:szCs w:val="20"/>
                <w:color w:val="auto"/>
              </w:rPr>
            </w:pPr>
            <w:r>
              <w:rPr>
                <w:rFonts w:ascii="Arial" w:cs="Arial" w:eastAsia="Arial" w:hAnsi="Arial"/>
                <w:sz w:val="15"/>
                <w:szCs w:val="15"/>
                <w:b w:val="1"/>
                <w:bCs w:val="1"/>
                <w:color w:val="auto"/>
              </w:rPr>
              <w:t>Free Cash Flow ($MM)</w:t>
            </w:r>
            <w:r>
              <w:rPr>
                <w:rFonts w:ascii="Arial" w:cs="Arial" w:eastAsia="Arial" w:hAnsi="Arial"/>
                <w:sz w:val="20"/>
                <w:szCs w:val="20"/>
                <w:b w:val="1"/>
                <w:bCs w:val="1"/>
                <w:color w:val="auto"/>
                <w:vertAlign w:val="superscript"/>
              </w:rPr>
              <w:t>(1)</w:t>
            </w:r>
            <w:r>
              <w:rPr>
                <w:rFonts w:ascii="Arial" w:cs="Arial" w:eastAsia="Arial" w:hAnsi="Arial"/>
                <w:sz w:val="15"/>
                <w:szCs w:val="15"/>
                <w:b w:val="1"/>
                <w:bCs w:val="1"/>
                <w:color w:val="auto"/>
              </w:rPr>
              <w:t xml:space="preserve"> </w:t>
            </w:r>
            <w:r>
              <w:rPr>
                <w:rFonts w:ascii="Arial" w:cs="Arial" w:eastAsia="Arial" w:hAnsi="Arial"/>
                <w:sz w:val="15"/>
                <w:szCs w:val="15"/>
                <w:color w:val="auto"/>
              </w:rPr>
              <w:t>— focuses leadership on conservative</w:t>
            </w:r>
          </w:p>
        </w:tc>
        <w:tc>
          <w:tcPr>
            <w:tcW w:w="680" w:type="dxa"/>
            <w:vAlign w:val="bottom"/>
          </w:tcPr>
          <w:p>
            <w:pPr>
              <w:ind w:left="180"/>
              <w:spacing w:after="0" w:line="175" w:lineRule="exact"/>
              <w:rPr>
                <w:sz w:val="20"/>
                <w:szCs w:val="20"/>
                <w:color w:val="auto"/>
              </w:rPr>
            </w:pPr>
            <w:r>
              <w:rPr>
                <w:rFonts w:ascii="Arial" w:cs="Arial" w:eastAsia="Arial" w:hAnsi="Arial"/>
                <w:sz w:val="16"/>
                <w:szCs w:val="16"/>
                <w:color w:val="auto"/>
              </w:rPr>
              <w:t>20%</w:t>
            </w:r>
          </w:p>
        </w:tc>
        <w:tc>
          <w:tcPr>
            <w:tcW w:w="104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 xml:space="preserve">Result: </w:t>
            </w:r>
            <w:r>
              <w:rPr>
                <w:rFonts w:ascii="Arial" w:cs="Arial" w:eastAsia="Arial" w:hAnsi="Arial"/>
                <w:sz w:val="16"/>
                <w:szCs w:val="16"/>
                <w:color w:val="auto"/>
              </w:rPr>
              <w:t>$1,534</w:t>
            </w:r>
          </w:p>
        </w:tc>
        <w:tc>
          <w:tcPr>
            <w:tcW w:w="108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6"/>
              </w:rPr>
              <w:t>40.0%</w:t>
            </w: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budgeting and strict cost management; represents cash remaining</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after capital expenditures, highlighting our capacity to reinvest in</w:t>
            </w:r>
          </w:p>
        </w:tc>
        <w:tc>
          <w:tcPr>
            <w:tcW w:w="1720" w:type="dxa"/>
            <w:vAlign w:val="bottom"/>
            <w:gridSpan w:val="2"/>
            <w:vMerge w:val="restart"/>
          </w:tcPr>
          <w:p>
            <w:pPr>
              <w:ind w:left="680"/>
              <w:spacing w:after="0"/>
              <w:rPr>
                <w:sz w:val="20"/>
                <w:szCs w:val="20"/>
                <w:color w:val="auto"/>
              </w:rPr>
            </w:pPr>
            <w:r>
              <w:rPr>
                <w:rFonts w:ascii="Arial" w:cs="Arial" w:eastAsia="Arial" w:hAnsi="Arial"/>
                <w:sz w:val="16"/>
                <w:szCs w:val="16"/>
                <w:i w:val="1"/>
                <w:iCs w:val="1"/>
                <w:color w:val="auto"/>
              </w:rPr>
              <w:t>$606</w:t>
            </w:r>
          </w:p>
        </w:tc>
        <w:tc>
          <w:tcPr>
            <w:tcW w:w="1360" w:type="dxa"/>
            <w:vAlign w:val="bottom"/>
            <w:vMerge w:val="restart"/>
          </w:tcPr>
          <w:p>
            <w:pPr>
              <w:jc w:val="center"/>
              <w:spacing w:after="0"/>
              <w:rPr>
                <w:sz w:val="20"/>
                <w:szCs w:val="20"/>
                <w:color w:val="auto"/>
              </w:rPr>
            </w:pPr>
            <w:r>
              <w:rPr>
                <w:rFonts w:ascii="Arial" w:cs="Arial" w:eastAsia="Arial" w:hAnsi="Arial"/>
                <w:sz w:val="16"/>
                <w:szCs w:val="16"/>
                <w:i w:val="1"/>
                <w:iCs w:val="1"/>
                <w:color w:val="auto"/>
              </w:rPr>
              <w:t>$806</w:t>
            </w:r>
          </w:p>
        </w:tc>
        <w:tc>
          <w:tcPr>
            <w:tcW w:w="10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$1,006</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the business or return funds to shareholders</w:t>
            </w:r>
          </w:p>
        </w:tc>
        <w:tc>
          <w:tcPr>
            <w:tcW w:w="1720" w:type="dxa"/>
            <w:vAlign w:val="bottom"/>
            <w:tcBorders>
              <w:bottom w:val="single" w:sz="8" w:color="auto"/>
            </w:tcBorders>
            <w:gridSpan w:val="2"/>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Lifting + Workover Costs ($MM)</w:t>
            </w:r>
            <w:r>
              <w:rPr>
                <w:rFonts w:ascii="Arial" w:cs="Arial" w:eastAsia="Arial" w:hAnsi="Arial"/>
                <w:sz w:val="19"/>
                <w:szCs w:val="19"/>
                <w:b w:val="1"/>
                <w:bCs w:val="1"/>
                <w:color w:val="auto"/>
                <w:vertAlign w:val="superscript"/>
              </w:rPr>
              <w:t>(2)</w:t>
            </w:r>
            <w:r>
              <w:rPr>
                <w:rFonts w:ascii="Arial" w:cs="Arial" w:eastAsia="Arial" w:hAnsi="Arial"/>
                <w:sz w:val="15"/>
                <w:szCs w:val="15"/>
                <w:b w:val="1"/>
                <w:bCs w:val="1"/>
                <w:color w:val="auto"/>
              </w:rPr>
              <w:t xml:space="preserve"> </w:t>
            </w:r>
            <w:r>
              <w:rPr>
                <w:rFonts w:ascii="Arial" w:cs="Arial" w:eastAsia="Arial" w:hAnsi="Arial"/>
                <w:sz w:val="15"/>
                <w:szCs w:val="15"/>
                <w:color w:val="auto"/>
              </w:rPr>
              <w:t>— focuses management on</w:t>
            </w:r>
          </w:p>
        </w:tc>
        <w:tc>
          <w:tcPr>
            <w:tcW w:w="680" w:type="dxa"/>
            <w:vAlign w:val="bottom"/>
          </w:tcPr>
          <w:p>
            <w:pPr>
              <w:ind w:left="180"/>
              <w:spacing w:after="0" w:line="168" w:lineRule="exact"/>
              <w:rPr>
                <w:sz w:val="20"/>
                <w:szCs w:val="20"/>
                <w:color w:val="auto"/>
              </w:rPr>
            </w:pPr>
            <w:r>
              <w:rPr>
                <w:rFonts w:ascii="Arial" w:cs="Arial" w:eastAsia="Arial" w:hAnsi="Arial"/>
                <w:sz w:val="16"/>
                <w:szCs w:val="16"/>
                <w:color w:val="auto"/>
              </w:rPr>
              <w:t>15%</w:t>
            </w:r>
          </w:p>
        </w:tc>
        <w:tc>
          <w:tcPr>
            <w:tcW w:w="10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 xml:space="preserve">Result: </w:t>
            </w:r>
            <w:r>
              <w:rPr>
                <w:rFonts w:ascii="Arial" w:cs="Arial" w:eastAsia="Arial" w:hAnsi="Arial"/>
                <w:sz w:val="16"/>
                <w:szCs w:val="16"/>
                <w:color w:val="auto"/>
              </w:rPr>
              <w:t>$1,219</w:t>
            </w:r>
          </w:p>
        </w:tc>
        <w:tc>
          <w:tcPr>
            <w:tcW w:w="1080" w:type="dxa"/>
            <w:vAlign w:val="bottom"/>
          </w:tcPr>
          <w:p>
            <w:pPr>
              <w:spacing w:after="0"/>
              <w:rPr>
                <w:sz w:val="14"/>
                <w:szCs w:val="14"/>
                <w:color w:val="auto"/>
              </w:rPr>
            </w:pPr>
          </w:p>
        </w:tc>
        <w:tc>
          <w:tcPr>
            <w:tcW w:w="6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6"/>
              </w:rPr>
              <w:t>19.8%</w:t>
            </w: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controlling direct operating expenses associated with production</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and maintenance activity, reinforcing cost discipline in daily</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operations and ensuring capital is deployed efficiently to maximize</w:t>
            </w:r>
          </w:p>
        </w:tc>
        <w:tc>
          <w:tcPr>
            <w:tcW w:w="1720" w:type="dxa"/>
            <w:vAlign w:val="bottom"/>
            <w:gridSpan w:val="2"/>
            <w:vMerge w:val="restart"/>
          </w:tcPr>
          <w:p>
            <w:pPr>
              <w:ind w:left="680"/>
              <w:spacing w:after="0"/>
              <w:rPr>
                <w:sz w:val="20"/>
                <w:szCs w:val="20"/>
                <w:color w:val="auto"/>
              </w:rPr>
            </w:pPr>
            <w:r>
              <w:rPr>
                <w:rFonts w:ascii="Arial" w:cs="Arial" w:eastAsia="Arial" w:hAnsi="Arial"/>
                <w:sz w:val="16"/>
                <w:szCs w:val="16"/>
                <w:i w:val="1"/>
                <w:iCs w:val="1"/>
                <w:color w:val="auto"/>
              </w:rPr>
              <w:t>$1,250</w:t>
            </w:r>
          </w:p>
        </w:tc>
        <w:tc>
          <w:tcPr>
            <w:tcW w:w="1360" w:type="dxa"/>
            <w:vAlign w:val="bottom"/>
            <w:vMerge w:val="restart"/>
          </w:tcPr>
          <w:p>
            <w:pPr>
              <w:jc w:val="center"/>
              <w:spacing w:after="0"/>
              <w:rPr>
                <w:sz w:val="20"/>
                <w:szCs w:val="20"/>
                <w:color w:val="auto"/>
              </w:rPr>
            </w:pPr>
            <w:r>
              <w:rPr>
                <w:rFonts w:ascii="Arial" w:cs="Arial" w:eastAsia="Arial" w:hAnsi="Arial"/>
                <w:sz w:val="16"/>
                <w:szCs w:val="16"/>
                <w:i w:val="1"/>
                <w:iCs w:val="1"/>
                <w:color w:val="auto"/>
                <w:w w:val="98"/>
              </w:rPr>
              <w:t>$1,235</w:t>
            </w:r>
          </w:p>
        </w:tc>
        <w:tc>
          <w:tcPr>
            <w:tcW w:w="10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$1,185</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80" w:type="dxa"/>
            <w:vAlign w:val="bottom"/>
            <w:vMerge w:val="restart"/>
          </w:tcPr>
          <w:p>
            <w:pPr>
              <w:ind w:left="60"/>
              <w:spacing w:after="0"/>
              <w:rPr>
                <w:sz w:val="20"/>
                <w:szCs w:val="20"/>
                <w:color w:val="auto"/>
              </w:rPr>
            </w:pPr>
            <w:r>
              <w:rPr>
                <w:rFonts w:ascii="Arial" w:cs="Arial" w:eastAsia="Arial" w:hAnsi="Arial"/>
                <w:sz w:val="16"/>
                <w:szCs w:val="16"/>
                <w:color w:val="auto"/>
              </w:rPr>
              <w:t>margins and free cash flow</w:t>
            </w:r>
          </w:p>
        </w:tc>
        <w:tc>
          <w:tcPr>
            <w:tcW w:w="172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88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Gross Department Costs ($MM)</w:t>
            </w:r>
            <w:r>
              <w:rPr>
                <w:rFonts w:ascii="Arial" w:cs="Arial" w:eastAsia="Arial" w:hAnsi="Arial"/>
                <w:sz w:val="19"/>
                <w:szCs w:val="19"/>
                <w:b w:val="1"/>
                <w:bCs w:val="1"/>
                <w:color w:val="auto"/>
                <w:vertAlign w:val="superscript"/>
              </w:rPr>
              <w:t>(3)</w:t>
            </w:r>
            <w:r>
              <w:rPr>
                <w:rFonts w:ascii="Arial" w:cs="Arial" w:eastAsia="Arial" w:hAnsi="Arial"/>
                <w:sz w:val="15"/>
                <w:szCs w:val="15"/>
                <w:b w:val="1"/>
                <w:bCs w:val="1"/>
                <w:color w:val="auto"/>
              </w:rPr>
              <w:t xml:space="preserve"> </w:t>
            </w:r>
            <w:r>
              <w:rPr>
                <w:rFonts w:ascii="Arial" w:cs="Arial" w:eastAsia="Arial" w:hAnsi="Arial"/>
                <w:sz w:val="15"/>
                <w:szCs w:val="15"/>
                <w:color w:val="auto"/>
              </w:rPr>
              <w:t>— keeps management</w:t>
            </w:r>
          </w:p>
        </w:tc>
        <w:tc>
          <w:tcPr>
            <w:tcW w:w="680" w:type="dxa"/>
            <w:vAlign w:val="bottom"/>
          </w:tcPr>
          <w:p>
            <w:pPr>
              <w:ind w:left="180"/>
              <w:spacing w:after="0" w:line="168" w:lineRule="exact"/>
              <w:rPr>
                <w:sz w:val="20"/>
                <w:szCs w:val="20"/>
                <w:color w:val="auto"/>
              </w:rPr>
            </w:pPr>
            <w:r>
              <w:rPr>
                <w:rFonts w:ascii="Arial" w:cs="Arial" w:eastAsia="Arial" w:hAnsi="Arial"/>
                <w:sz w:val="16"/>
                <w:szCs w:val="16"/>
                <w:color w:val="auto"/>
              </w:rPr>
              <w:t>15%</w:t>
            </w:r>
          </w:p>
        </w:tc>
        <w:tc>
          <w:tcPr>
            <w:tcW w:w="10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 xml:space="preserve">Result: </w:t>
            </w:r>
            <w:r>
              <w:rPr>
                <w:rFonts w:ascii="Arial" w:cs="Arial" w:eastAsia="Arial" w:hAnsi="Arial"/>
                <w:sz w:val="16"/>
                <w:szCs w:val="16"/>
                <w:color w:val="auto"/>
              </w:rPr>
              <w:t>$464</w:t>
            </w:r>
          </w:p>
        </w:tc>
        <w:tc>
          <w:tcPr>
            <w:tcW w:w="1080" w:type="dxa"/>
            <w:vAlign w:val="bottom"/>
          </w:tcPr>
          <w:p>
            <w:pPr>
              <w:spacing w:after="0"/>
              <w:rPr>
                <w:sz w:val="14"/>
                <w:szCs w:val="14"/>
                <w:color w:val="auto"/>
              </w:rPr>
            </w:pPr>
          </w:p>
        </w:tc>
        <w:tc>
          <w:tcPr>
            <w:tcW w:w="6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6"/>
              </w:rPr>
              <w:t>30.0%</w:t>
            </w: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accountable for overhead and administrative cost control across</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the organization, promoting efficiency in support functions and</w:t>
            </w:r>
          </w:p>
        </w:tc>
        <w:tc>
          <w:tcPr>
            <w:tcW w:w="1720" w:type="dxa"/>
            <w:vAlign w:val="bottom"/>
            <w:gridSpan w:val="2"/>
            <w:vMerge w:val="restart"/>
          </w:tcPr>
          <w:p>
            <w:pPr>
              <w:ind w:left="680"/>
              <w:spacing w:after="0"/>
              <w:rPr>
                <w:sz w:val="20"/>
                <w:szCs w:val="20"/>
                <w:color w:val="auto"/>
              </w:rPr>
            </w:pPr>
            <w:r>
              <w:rPr>
                <w:rFonts w:ascii="Arial" w:cs="Arial" w:eastAsia="Arial" w:hAnsi="Arial"/>
                <w:sz w:val="16"/>
                <w:szCs w:val="16"/>
                <w:i w:val="1"/>
                <w:iCs w:val="1"/>
                <w:color w:val="auto"/>
              </w:rPr>
              <w:t>$540</w:t>
            </w:r>
          </w:p>
        </w:tc>
        <w:tc>
          <w:tcPr>
            <w:tcW w:w="1360" w:type="dxa"/>
            <w:vAlign w:val="bottom"/>
            <w:vMerge w:val="restart"/>
          </w:tcPr>
          <w:p>
            <w:pPr>
              <w:jc w:val="center"/>
              <w:spacing w:after="0"/>
              <w:rPr>
                <w:sz w:val="20"/>
                <w:szCs w:val="20"/>
                <w:color w:val="auto"/>
              </w:rPr>
            </w:pPr>
            <w:r>
              <w:rPr>
                <w:rFonts w:ascii="Arial" w:cs="Arial" w:eastAsia="Arial" w:hAnsi="Arial"/>
                <w:sz w:val="16"/>
                <w:szCs w:val="16"/>
                <w:i w:val="1"/>
                <w:iCs w:val="1"/>
                <w:color w:val="auto"/>
              </w:rPr>
              <w:t>$525</w:t>
            </w:r>
          </w:p>
        </w:tc>
        <w:tc>
          <w:tcPr>
            <w:tcW w:w="10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$500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sustaining financial discipline in all areas of the business</w:t>
            </w:r>
          </w:p>
        </w:tc>
        <w:tc>
          <w:tcPr>
            <w:tcW w:w="1720" w:type="dxa"/>
            <w:vAlign w:val="bottom"/>
            <w:tcBorders>
              <w:bottom w:val="single" w:sz="8" w:color="auto"/>
            </w:tcBorders>
            <w:gridSpan w:val="2"/>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Development Capital Expenditures ($MM)</w:t>
            </w:r>
            <w:r>
              <w:rPr>
                <w:rFonts w:ascii="Arial" w:cs="Arial" w:eastAsia="Arial" w:hAnsi="Arial"/>
                <w:sz w:val="19"/>
                <w:szCs w:val="19"/>
                <w:b w:val="1"/>
                <w:bCs w:val="1"/>
                <w:color w:val="auto"/>
                <w:vertAlign w:val="superscript"/>
              </w:rPr>
              <w:t>(4)</w:t>
            </w:r>
            <w:r>
              <w:rPr>
                <w:rFonts w:ascii="Arial" w:cs="Arial" w:eastAsia="Arial" w:hAnsi="Arial"/>
                <w:sz w:val="15"/>
                <w:szCs w:val="15"/>
                <w:b w:val="1"/>
                <w:bCs w:val="1"/>
                <w:color w:val="auto"/>
              </w:rPr>
              <w:t xml:space="preserve"> </w:t>
            </w:r>
            <w:r>
              <w:rPr>
                <w:rFonts w:ascii="Arial" w:cs="Arial" w:eastAsia="Arial" w:hAnsi="Arial"/>
                <w:sz w:val="15"/>
                <w:szCs w:val="15"/>
                <w:color w:val="auto"/>
              </w:rPr>
              <w:t>— directs</w:t>
            </w:r>
          </w:p>
        </w:tc>
        <w:tc>
          <w:tcPr>
            <w:tcW w:w="680" w:type="dxa"/>
            <w:vAlign w:val="bottom"/>
          </w:tcPr>
          <w:p>
            <w:pPr>
              <w:ind w:left="180"/>
              <w:spacing w:after="0" w:line="168" w:lineRule="exact"/>
              <w:rPr>
                <w:sz w:val="20"/>
                <w:szCs w:val="20"/>
                <w:color w:val="auto"/>
              </w:rPr>
            </w:pPr>
            <w:r>
              <w:rPr>
                <w:rFonts w:ascii="Arial" w:cs="Arial" w:eastAsia="Arial" w:hAnsi="Arial"/>
                <w:sz w:val="16"/>
                <w:szCs w:val="16"/>
                <w:color w:val="auto"/>
              </w:rPr>
              <w:t>10%</w:t>
            </w:r>
          </w:p>
        </w:tc>
        <w:tc>
          <w:tcPr>
            <w:tcW w:w="10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 xml:space="preserve">Result: </w:t>
            </w:r>
            <w:r>
              <w:rPr>
                <w:rFonts w:ascii="Arial" w:cs="Arial" w:eastAsia="Arial" w:hAnsi="Arial"/>
                <w:sz w:val="16"/>
                <w:szCs w:val="16"/>
                <w:color w:val="auto"/>
              </w:rPr>
              <w:t>$1,957</w:t>
            </w:r>
          </w:p>
        </w:tc>
        <w:tc>
          <w:tcPr>
            <w:tcW w:w="1080" w:type="dxa"/>
            <w:vAlign w:val="bottom"/>
          </w:tcPr>
          <w:p>
            <w:pPr>
              <w:spacing w:after="0"/>
              <w:rPr>
                <w:sz w:val="14"/>
                <w:szCs w:val="14"/>
                <w:color w:val="auto"/>
              </w:rPr>
            </w:pPr>
          </w:p>
        </w:tc>
        <w:tc>
          <w:tcPr>
            <w:tcW w:w="6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6"/>
              </w:rPr>
              <w:t>20.0%</w:t>
            </w: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management to maintain disciplined investment in drilling and</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development projects, balancing growth opportunities with returns</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and ensuring capital is allocated to maximize long-term value</w:t>
            </w:r>
          </w:p>
        </w:tc>
        <w:tc>
          <w:tcPr>
            <w:tcW w:w="1720" w:type="dxa"/>
            <w:vAlign w:val="bottom"/>
            <w:gridSpan w:val="2"/>
            <w:vMerge w:val="restart"/>
          </w:tcPr>
          <w:p>
            <w:pPr>
              <w:ind w:left="680"/>
              <w:spacing w:after="0"/>
              <w:rPr>
                <w:sz w:val="20"/>
                <w:szCs w:val="20"/>
                <w:color w:val="auto"/>
              </w:rPr>
            </w:pPr>
            <w:r>
              <w:rPr>
                <w:rFonts w:ascii="Arial" w:cs="Arial" w:eastAsia="Arial" w:hAnsi="Arial"/>
                <w:sz w:val="16"/>
                <w:szCs w:val="16"/>
                <w:i w:val="1"/>
                <w:iCs w:val="1"/>
                <w:color w:val="auto"/>
              </w:rPr>
              <w:t>$2,135</w:t>
            </w:r>
          </w:p>
        </w:tc>
        <w:tc>
          <w:tcPr>
            <w:tcW w:w="1360" w:type="dxa"/>
            <w:vAlign w:val="bottom"/>
            <w:vMerge w:val="restart"/>
          </w:tcPr>
          <w:p>
            <w:pPr>
              <w:jc w:val="center"/>
              <w:spacing w:after="0"/>
              <w:rPr>
                <w:sz w:val="20"/>
                <w:szCs w:val="20"/>
                <w:color w:val="auto"/>
              </w:rPr>
            </w:pPr>
            <w:r>
              <w:rPr>
                <w:rFonts w:ascii="Arial" w:cs="Arial" w:eastAsia="Arial" w:hAnsi="Arial"/>
                <w:sz w:val="16"/>
                <w:szCs w:val="16"/>
                <w:i w:val="1"/>
                <w:iCs w:val="1"/>
                <w:color w:val="auto"/>
                <w:w w:val="98"/>
              </w:rPr>
              <w:t>$2,110</w:t>
            </w:r>
          </w:p>
        </w:tc>
        <w:tc>
          <w:tcPr>
            <w:tcW w:w="10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$2,060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880" w:type="dxa"/>
            <w:vAlign w:val="bottom"/>
            <w:vMerge w:val="restart"/>
          </w:tcPr>
          <w:p>
            <w:pPr>
              <w:ind w:left="60"/>
              <w:spacing w:after="0"/>
              <w:rPr>
                <w:sz w:val="20"/>
                <w:szCs w:val="20"/>
                <w:color w:val="auto"/>
              </w:rPr>
            </w:pPr>
            <w:r>
              <w:rPr>
                <w:rFonts w:ascii="Arial" w:cs="Arial" w:eastAsia="Arial" w:hAnsi="Arial"/>
                <w:sz w:val="16"/>
                <w:szCs w:val="16"/>
                <w:color w:val="auto"/>
              </w:rPr>
              <w:t>creation</w:t>
            </w:r>
          </w:p>
        </w:tc>
        <w:tc>
          <w:tcPr>
            <w:tcW w:w="17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4880" w:type="dxa"/>
            <w:vAlign w:val="bottom"/>
            <w:tcBorders>
              <w:bottom w:val="single" w:sz="8" w:color="auto"/>
            </w:tcBorders>
            <w:vMerge w:val="continue"/>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880" w:type="dxa"/>
            <w:vAlign w:val="bottom"/>
          </w:tcPr>
          <w:p>
            <w:pPr>
              <w:ind w:left="60"/>
              <w:spacing w:after="0" w:line="168" w:lineRule="exact"/>
              <w:rPr>
                <w:sz w:val="20"/>
                <w:szCs w:val="20"/>
                <w:color w:val="auto"/>
              </w:rPr>
            </w:pPr>
            <w:r>
              <w:rPr>
                <w:rFonts w:ascii="Arial" w:cs="Arial" w:eastAsia="Arial" w:hAnsi="Arial"/>
                <w:sz w:val="15"/>
                <w:szCs w:val="15"/>
                <w:b w:val="1"/>
                <w:bCs w:val="1"/>
                <w:color w:val="auto"/>
              </w:rPr>
              <w:t>Net Production (MBOE/D)</w:t>
            </w:r>
            <w:r>
              <w:rPr>
                <w:rFonts w:ascii="Arial" w:cs="Arial" w:eastAsia="Arial" w:hAnsi="Arial"/>
                <w:sz w:val="19"/>
                <w:szCs w:val="19"/>
                <w:color w:val="auto"/>
                <w:vertAlign w:val="superscript"/>
              </w:rPr>
              <w:t>(5)</w:t>
            </w:r>
            <w:r>
              <w:rPr>
                <w:rFonts w:ascii="Arial" w:cs="Arial" w:eastAsia="Arial" w:hAnsi="Arial"/>
                <w:sz w:val="15"/>
                <w:szCs w:val="15"/>
                <w:b w:val="1"/>
                <w:bCs w:val="1"/>
                <w:color w:val="auto"/>
              </w:rPr>
              <w:t xml:space="preserve"> </w:t>
            </w:r>
            <w:r>
              <w:rPr>
                <w:rFonts w:ascii="Arial" w:cs="Arial" w:eastAsia="Arial" w:hAnsi="Arial"/>
                <w:sz w:val="15"/>
                <w:szCs w:val="15"/>
                <w:color w:val="auto"/>
              </w:rPr>
              <w:t>— measures the Company’s ability</w:t>
            </w:r>
          </w:p>
        </w:tc>
        <w:tc>
          <w:tcPr>
            <w:tcW w:w="680" w:type="dxa"/>
            <w:vAlign w:val="bottom"/>
          </w:tcPr>
          <w:p>
            <w:pPr>
              <w:ind w:left="180"/>
              <w:spacing w:after="0" w:line="168" w:lineRule="exact"/>
              <w:rPr>
                <w:sz w:val="20"/>
                <w:szCs w:val="20"/>
                <w:color w:val="auto"/>
              </w:rPr>
            </w:pPr>
            <w:r>
              <w:rPr>
                <w:rFonts w:ascii="Arial" w:cs="Arial" w:eastAsia="Arial" w:hAnsi="Arial"/>
                <w:sz w:val="16"/>
                <w:szCs w:val="16"/>
                <w:color w:val="auto"/>
              </w:rPr>
              <w:t>10%</w:t>
            </w:r>
          </w:p>
        </w:tc>
        <w:tc>
          <w:tcPr>
            <w:tcW w:w="10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 xml:space="preserve">Result: </w:t>
            </w:r>
            <w:r>
              <w:rPr>
                <w:rFonts w:ascii="Arial" w:cs="Arial" w:eastAsia="Arial" w:hAnsi="Arial"/>
                <w:sz w:val="16"/>
                <w:szCs w:val="16"/>
                <w:color w:val="auto"/>
              </w:rPr>
              <w:t>399</w:t>
            </w:r>
          </w:p>
        </w:tc>
        <w:tc>
          <w:tcPr>
            <w:tcW w:w="1080" w:type="dxa"/>
            <w:vAlign w:val="bottom"/>
          </w:tcPr>
          <w:p>
            <w:pPr>
              <w:spacing w:after="0"/>
              <w:rPr>
                <w:sz w:val="14"/>
                <w:szCs w:val="14"/>
                <w:color w:val="auto"/>
              </w:rPr>
            </w:pPr>
          </w:p>
        </w:tc>
        <w:tc>
          <w:tcPr>
            <w:tcW w:w="6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6"/>
              </w:rPr>
              <w:t>20.0%</w:t>
            </w: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to reliably deliver production volumes in line with plan, reflecting</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execution across drilling, development, and operational</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performance that underpins both cash flow generation and</w:t>
            </w:r>
          </w:p>
        </w:tc>
        <w:tc>
          <w:tcPr>
            <w:tcW w:w="1720" w:type="dxa"/>
            <w:vAlign w:val="bottom"/>
            <w:gridSpan w:val="2"/>
            <w:vMerge w:val="restart"/>
          </w:tcPr>
          <w:p>
            <w:pPr>
              <w:ind w:left="680"/>
              <w:spacing w:after="0"/>
              <w:rPr>
                <w:sz w:val="20"/>
                <w:szCs w:val="20"/>
                <w:color w:val="auto"/>
              </w:rPr>
            </w:pPr>
            <w:r>
              <w:rPr>
                <w:rFonts w:ascii="Arial" w:cs="Arial" w:eastAsia="Arial" w:hAnsi="Arial"/>
                <w:sz w:val="16"/>
                <w:szCs w:val="16"/>
                <w:i w:val="1"/>
                <w:iCs w:val="1"/>
                <w:color w:val="auto"/>
              </w:rPr>
              <w:t>379</w:t>
            </w:r>
          </w:p>
        </w:tc>
        <w:tc>
          <w:tcPr>
            <w:tcW w:w="1360" w:type="dxa"/>
            <w:vAlign w:val="bottom"/>
            <w:vMerge w:val="restart"/>
          </w:tcPr>
          <w:p>
            <w:pPr>
              <w:jc w:val="center"/>
              <w:spacing w:after="0"/>
              <w:rPr>
                <w:sz w:val="20"/>
                <w:szCs w:val="20"/>
                <w:color w:val="auto"/>
              </w:rPr>
            </w:pPr>
            <w:r>
              <w:rPr>
                <w:rFonts w:ascii="Arial" w:cs="Arial" w:eastAsia="Arial" w:hAnsi="Arial"/>
                <w:sz w:val="16"/>
                <w:szCs w:val="16"/>
                <w:i w:val="1"/>
                <w:iCs w:val="1"/>
                <w:color w:val="auto"/>
              </w:rPr>
              <w:t>388</w:t>
            </w:r>
          </w:p>
        </w:tc>
        <w:tc>
          <w:tcPr>
            <w:tcW w:w="10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395</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880" w:type="dxa"/>
            <w:vAlign w:val="bottom"/>
            <w:vMerge w:val="restart"/>
          </w:tcPr>
          <w:p>
            <w:pPr>
              <w:ind w:left="60"/>
              <w:spacing w:after="0"/>
              <w:rPr>
                <w:sz w:val="20"/>
                <w:szCs w:val="20"/>
                <w:color w:val="auto"/>
              </w:rPr>
            </w:pPr>
            <w:r>
              <w:rPr>
                <w:rFonts w:ascii="Arial" w:cs="Arial" w:eastAsia="Arial" w:hAnsi="Arial"/>
                <w:sz w:val="16"/>
                <w:szCs w:val="16"/>
                <w:color w:val="auto"/>
              </w:rPr>
              <w:t>shareholder returns</w:t>
            </w:r>
          </w:p>
        </w:tc>
        <w:tc>
          <w:tcPr>
            <w:tcW w:w="17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4880" w:type="dxa"/>
            <w:vAlign w:val="bottom"/>
            <w:tcBorders>
              <w:bottom w:val="single" w:sz="8" w:color="auto"/>
            </w:tcBorders>
            <w:vMerge w:val="continue"/>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880" w:type="dxa"/>
            <w:vAlign w:val="bottom"/>
            <w:tcBorders>
              <w:bottom w:val="single" w:sz="8" w:color="07877B"/>
            </w:tcBorders>
            <w:shd w:val="clear" w:color="auto" w:fill="07877B"/>
          </w:tcPr>
          <w:p>
            <w:pPr>
              <w:ind w:left="60"/>
              <w:spacing w:after="0"/>
              <w:rPr>
                <w:sz w:val="20"/>
                <w:szCs w:val="20"/>
                <w:color w:val="auto"/>
              </w:rPr>
            </w:pPr>
            <w:r>
              <w:rPr>
                <w:rFonts w:ascii="Arial" w:cs="Arial" w:eastAsia="Arial" w:hAnsi="Arial"/>
                <w:sz w:val="14"/>
                <w:szCs w:val="14"/>
                <w:b w:val="1"/>
                <w:bCs w:val="1"/>
                <w:color w:val="FFFFFF"/>
              </w:rPr>
              <w:t>EH&amp;S</w:t>
            </w:r>
          </w:p>
        </w:tc>
        <w:tc>
          <w:tcPr>
            <w:tcW w:w="680" w:type="dxa"/>
            <w:vAlign w:val="bottom"/>
            <w:tcBorders>
              <w:bottom w:val="single" w:sz="8" w:color="07877B"/>
            </w:tcBorders>
            <w:shd w:val="clear" w:color="auto" w:fill="07877B"/>
          </w:tcPr>
          <w:p>
            <w:pPr>
              <w:spacing w:after="0"/>
              <w:rPr>
                <w:sz w:val="21"/>
                <w:szCs w:val="21"/>
                <w:color w:val="auto"/>
              </w:rPr>
            </w:pPr>
          </w:p>
        </w:tc>
        <w:tc>
          <w:tcPr>
            <w:tcW w:w="1040" w:type="dxa"/>
            <w:vAlign w:val="bottom"/>
            <w:tcBorders>
              <w:bottom w:val="single" w:sz="8" w:color="07877B"/>
            </w:tcBorders>
            <w:shd w:val="clear" w:color="auto" w:fill="07877B"/>
          </w:tcPr>
          <w:p>
            <w:pPr>
              <w:spacing w:after="0"/>
              <w:rPr>
                <w:sz w:val="21"/>
                <w:szCs w:val="21"/>
                <w:color w:val="auto"/>
              </w:rPr>
            </w:pPr>
          </w:p>
        </w:tc>
        <w:tc>
          <w:tcPr>
            <w:tcW w:w="1360" w:type="dxa"/>
            <w:vAlign w:val="bottom"/>
            <w:tcBorders>
              <w:bottom w:val="single" w:sz="8" w:color="07877B"/>
            </w:tcBorders>
            <w:shd w:val="clear" w:color="auto" w:fill="07877B"/>
          </w:tcPr>
          <w:p>
            <w:pPr>
              <w:spacing w:after="0"/>
              <w:rPr>
                <w:sz w:val="21"/>
                <w:szCs w:val="21"/>
                <w:color w:val="auto"/>
              </w:rPr>
            </w:pPr>
          </w:p>
        </w:tc>
        <w:tc>
          <w:tcPr>
            <w:tcW w:w="1080" w:type="dxa"/>
            <w:vAlign w:val="bottom"/>
            <w:tcBorders>
              <w:bottom w:val="single" w:sz="8" w:color="07877B"/>
            </w:tcBorders>
            <w:shd w:val="clear" w:color="auto" w:fill="07877B"/>
          </w:tcPr>
          <w:p>
            <w:pPr>
              <w:spacing w:after="0"/>
              <w:rPr>
                <w:sz w:val="21"/>
                <w:szCs w:val="21"/>
                <w:color w:val="auto"/>
              </w:rPr>
            </w:pPr>
          </w:p>
        </w:tc>
        <w:tc>
          <w:tcPr>
            <w:tcW w:w="680" w:type="dxa"/>
            <w:vAlign w:val="bottom"/>
            <w:tcBorders>
              <w:bottom w:val="single" w:sz="8" w:color="07877B"/>
            </w:tcBorders>
            <w:shd w:val="clear" w:color="auto" w:fill="07877B"/>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8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 xml:space="preserve">Air </w:t>
            </w:r>
            <w:r>
              <w:rPr>
                <w:rFonts w:ascii="Arial" w:cs="Arial" w:eastAsia="Arial" w:hAnsi="Arial"/>
                <w:sz w:val="16"/>
                <w:szCs w:val="16"/>
                <w:color w:val="auto"/>
              </w:rPr>
              <w:t>— focuses management on reducing routine flaring across</w:t>
            </w:r>
          </w:p>
        </w:tc>
        <w:tc>
          <w:tcPr>
            <w:tcW w:w="680" w:type="dxa"/>
            <w:vAlign w:val="bottom"/>
          </w:tcPr>
          <w:p>
            <w:pPr>
              <w:ind w:left="180"/>
              <w:spacing w:after="0" w:line="175" w:lineRule="exact"/>
              <w:rPr>
                <w:sz w:val="20"/>
                <w:szCs w:val="20"/>
                <w:color w:val="auto"/>
              </w:rPr>
            </w:pPr>
            <w:r>
              <w:rPr>
                <w:rFonts w:ascii="Arial" w:cs="Arial" w:eastAsia="Arial" w:hAnsi="Arial"/>
                <w:sz w:val="16"/>
                <w:szCs w:val="16"/>
                <w:color w:val="auto"/>
              </w:rPr>
              <w:t>10%</w:t>
            </w:r>
          </w:p>
        </w:tc>
        <w:tc>
          <w:tcPr>
            <w:tcW w:w="104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9"/>
              </w:rPr>
              <w:t xml:space="preserve">Result: </w:t>
            </w:r>
            <w:r>
              <w:rPr>
                <w:rFonts w:ascii="Arial" w:cs="Arial" w:eastAsia="Arial" w:hAnsi="Arial"/>
                <w:sz w:val="16"/>
                <w:szCs w:val="16"/>
                <w:color w:val="auto"/>
                <w:w w:val="99"/>
              </w:rPr>
              <w:t>0.84%</w:t>
            </w:r>
          </w:p>
        </w:tc>
        <w:tc>
          <w:tcPr>
            <w:tcW w:w="1080" w:type="dxa"/>
            <w:vAlign w:val="bottom"/>
          </w:tcPr>
          <w:p>
            <w:pPr>
              <w:spacing w:after="0"/>
              <w:rPr>
                <w:sz w:val="15"/>
                <w:szCs w:val="15"/>
                <w:color w:val="auto"/>
              </w:rPr>
            </w:pPr>
          </w:p>
        </w:tc>
        <w:tc>
          <w:tcPr>
            <w:tcW w:w="6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6"/>
              </w:rPr>
              <w:t>20.0%</w:t>
            </w: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U.S. Onshore operations, driving structural emissions</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improvements and reinforcing APA’s commitment to lowering its</w:t>
            </w:r>
          </w:p>
        </w:tc>
        <w:tc>
          <w:tcPr>
            <w:tcW w:w="1720" w:type="dxa"/>
            <w:vAlign w:val="bottom"/>
            <w:gridSpan w:val="2"/>
            <w:vMerge w:val="restart"/>
          </w:tcPr>
          <w:p>
            <w:pPr>
              <w:ind w:left="680"/>
              <w:spacing w:after="0"/>
              <w:rPr>
                <w:sz w:val="20"/>
                <w:szCs w:val="20"/>
                <w:color w:val="auto"/>
              </w:rPr>
            </w:pPr>
            <w:r>
              <w:rPr>
                <w:rFonts w:ascii="Arial" w:cs="Arial" w:eastAsia="Arial" w:hAnsi="Arial"/>
                <w:sz w:val="16"/>
                <w:szCs w:val="16"/>
                <w:i w:val="1"/>
                <w:iCs w:val="1"/>
                <w:color w:val="auto"/>
              </w:rPr>
              <w:t>1.15%</w:t>
            </w:r>
          </w:p>
        </w:tc>
        <w:tc>
          <w:tcPr>
            <w:tcW w:w="1360" w:type="dxa"/>
            <w:vAlign w:val="bottom"/>
            <w:vMerge w:val="restart"/>
          </w:tcPr>
          <w:p>
            <w:pPr>
              <w:jc w:val="center"/>
              <w:spacing w:after="0"/>
              <w:rPr>
                <w:sz w:val="20"/>
                <w:szCs w:val="20"/>
                <w:color w:val="auto"/>
              </w:rPr>
            </w:pPr>
            <w:r>
              <w:rPr>
                <w:rFonts w:ascii="Arial" w:cs="Arial" w:eastAsia="Arial" w:hAnsi="Arial"/>
                <w:sz w:val="16"/>
                <w:szCs w:val="16"/>
                <w:i w:val="1"/>
                <w:iCs w:val="1"/>
                <w:color w:val="auto"/>
              </w:rPr>
              <w:t>1.00%</w:t>
            </w:r>
          </w:p>
        </w:tc>
        <w:tc>
          <w:tcPr>
            <w:tcW w:w="10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0.85%</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environmental footprint while maintaining efficient production</w:t>
            </w:r>
          </w:p>
        </w:tc>
        <w:tc>
          <w:tcPr>
            <w:tcW w:w="1720" w:type="dxa"/>
            <w:vAlign w:val="bottom"/>
            <w:tcBorders>
              <w:bottom w:val="single" w:sz="8" w:color="auto"/>
            </w:tcBorders>
            <w:gridSpan w:val="2"/>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60"/>
              <w:spacing w:after="0"/>
              <w:rPr>
                <w:sz w:val="20"/>
                <w:szCs w:val="20"/>
                <w:color w:val="auto"/>
              </w:rPr>
            </w:pPr>
            <w:r>
              <w:rPr>
                <w:rFonts w:ascii="Arial" w:cs="Arial" w:eastAsia="Arial" w:hAnsi="Arial"/>
                <w:sz w:val="16"/>
                <w:szCs w:val="16"/>
                <w:b w:val="1"/>
                <w:bCs w:val="1"/>
                <w:color w:val="auto"/>
              </w:rPr>
              <w:t xml:space="preserve">Safety </w:t>
            </w:r>
            <w:r>
              <w:rPr>
                <w:rFonts w:ascii="Arial" w:cs="Arial" w:eastAsia="Arial" w:hAnsi="Arial"/>
                <w:sz w:val="16"/>
                <w:szCs w:val="16"/>
                <w:color w:val="auto"/>
              </w:rPr>
              <w:t>— holds management accountable for minimizing serious</w:t>
            </w:r>
          </w:p>
        </w:tc>
        <w:tc>
          <w:tcPr>
            <w:tcW w:w="680" w:type="dxa"/>
            <w:vAlign w:val="bottom"/>
          </w:tcPr>
          <w:p>
            <w:pPr>
              <w:ind w:left="180"/>
              <w:spacing w:after="0"/>
              <w:rPr>
                <w:sz w:val="20"/>
                <w:szCs w:val="20"/>
                <w:color w:val="auto"/>
              </w:rPr>
            </w:pPr>
            <w:r>
              <w:rPr>
                <w:rFonts w:ascii="Arial" w:cs="Arial" w:eastAsia="Arial" w:hAnsi="Arial"/>
                <w:sz w:val="16"/>
                <w:szCs w:val="16"/>
                <w:color w:val="auto"/>
              </w:rPr>
              <w:t>10%</w:t>
            </w:r>
          </w:p>
        </w:tc>
        <w:tc>
          <w:tcPr>
            <w:tcW w:w="10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 xml:space="preserve">Result: </w:t>
            </w:r>
            <w:r>
              <w:rPr>
                <w:rFonts w:ascii="Arial" w:cs="Arial" w:eastAsia="Arial" w:hAnsi="Arial"/>
                <w:sz w:val="16"/>
                <w:szCs w:val="16"/>
                <w:color w:val="auto"/>
              </w:rPr>
              <w:t>0.000</w:t>
            </w:r>
          </w:p>
        </w:tc>
        <w:tc>
          <w:tcPr>
            <w:tcW w:w="10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6"/>
              </w:rPr>
              <w:t>20.0%</w:t>
            </w: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workplace incidents, emphasizing leadership engagement,</w:t>
            </w: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Pr>
          <w:p>
            <w:pPr>
              <w:ind w:left="60"/>
              <w:spacing w:after="0"/>
              <w:rPr>
                <w:sz w:val="20"/>
                <w:szCs w:val="20"/>
                <w:color w:val="auto"/>
              </w:rPr>
            </w:pPr>
            <w:r>
              <w:rPr>
                <w:rFonts w:ascii="Arial" w:cs="Arial" w:eastAsia="Arial" w:hAnsi="Arial"/>
                <w:sz w:val="16"/>
                <w:szCs w:val="16"/>
                <w:color w:val="auto"/>
              </w:rPr>
              <w:t>operational discipline, and a strong safety culture to protect</w:t>
            </w:r>
          </w:p>
        </w:tc>
        <w:tc>
          <w:tcPr>
            <w:tcW w:w="1720" w:type="dxa"/>
            <w:vAlign w:val="bottom"/>
            <w:gridSpan w:val="2"/>
            <w:vMerge w:val="restart"/>
          </w:tcPr>
          <w:p>
            <w:pPr>
              <w:ind w:left="680"/>
              <w:spacing w:after="0"/>
              <w:rPr>
                <w:sz w:val="20"/>
                <w:szCs w:val="20"/>
                <w:color w:val="auto"/>
              </w:rPr>
            </w:pPr>
            <w:r>
              <w:rPr>
                <w:rFonts w:ascii="Arial" w:cs="Arial" w:eastAsia="Arial" w:hAnsi="Arial"/>
                <w:sz w:val="16"/>
                <w:szCs w:val="16"/>
                <w:i w:val="1"/>
                <w:iCs w:val="1"/>
                <w:color w:val="auto"/>
              </w:rPr>
              <w:t>0.015</w:t>
            </w:r>
          </w:p>
        </w:tc>
        <w:tc>
          <w:tcPr>
            <w:tcW w:w="1360" w:type="dxa"/>
            <w:vAlign w:val="bottom"/>
            <w:vMerge w:val="restart"/>
          </w:tcPr>
          <w:p>
            <w:pPr>
              <w:jc w:val="center"/>
              <w:spacing w:after="0"/>
              <w:rPr>
                <w:sz w:val="20"/>
                <w:szCs w:val="20"/>
                <w:color w:val="auto"/>
              </w:rPr>
            </w:pPr>
            <w:r>
              <w:rPr>
                <w:rFonts w:ascii="Arial" w:cs="Arial" w:eastAsia="Arial" w:hAnsi="Arial"/>
                <w:sz w:val="16"/>
                <w:szCs w:val="16"/>
                <w:i w:val="1"/>
                <w:iCs w:val="1"/>
                <w:color w:val="auto"/>
                <w:w w:val="99"/>
              </w:rPr>
              <w:t>0.010</w:t>
            </w:r>
          </w:p>
        </w:tc>
        <w:tc>
          <w:tcPr>
            <w:tcW w:w="10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0.005</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employees and contractors</w:t>
            </w:r>
          </w:p>
        </w:tc>
        <w:tc>
          <w:tcPr>
            <w:tcW w:w="1720" w:type="dxa"/>
            <w:vAlign w:val="bottom"/>
            <w:tcBorders>
              <w:bottom w:val="single" w:sz="8" w:color="auto"/>
            </w:tcBorders>
            <w:gridSpan w:val="2"/>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880" w:type="dxa"/>
            <w:vAlign w:val="bottom"/>
            <w:tcBorders>
              <w:bottom w:val="single" w:sz="8" w:color="07877B"/>
            </w:tcBorders>
            <w:shd w:val="clear" w:color="auto" w:fill="07877B"/>
          </w:tcPr>
          <w:p>
            <w:pPr>
              <w:ind w:left="60"/>
              <w:spacing w:after="0"/>
              <w:rPr>
                <w:sz w:val="20"/>
                <w:szCs w:val="20"/>
                <w:color w:val="auto"/>
              </w:rPr>
            </w:pPr>
            <w:r>
              <w:rPr>
                <w:rFonts w:ascii="Arial" w:cs="Arial" w:eastAsia="Arial" w:hAnsi="Arial"/>
                <w:sz w:val="14"/>
                <w:szCs w:val="14"/>
                <w:b w:val="1"/>
                <w:bCs w:val="1"/>
                <w:color w:val="FFFFFF"/>
              </w:rPr>
              <w:t>Strategic</w:t>
            </w:r>
          </w:p>
        </w:tc>
        <w:tc>
          <w:tcPr>
            <w:tcW w:w="680" w:type="dxa"/>
            <w:vAlign w:val="bottom"/>
            <w:tcBorders>
              <w:bottom w:val="single" w:sz="8" w:color="07877B"/>
            </w:tcBorders>
            <w:shd w:val="clear" w:color="auto" w:fill="07877B"/>
          </w:tcPr>
          <w:p>
            <w:pPr>
              <w:spacing w:after="0"/>
              <w:rPr>
                <w:sz w:val="21"/>
                <w:szCs w:val="21"/>
                <w:color w:val="auto"/>
              </w:rPr>
            </w:pPr>
          </w:p>
        </w:tc>
        <w:tc>
          <w:tcPr>
            <w:tcW w:w="1040" w:type="dxa"/>
            <w:vAlign w:val="bottom"/>
            <w:tcBorders>
              <w:bottom w:val="single" w:sz="8" w:color="07877B"/>
            </w:tcBorders>
            <w:shd w:val="clear" w:color="auto" w:fill="07877B"/>
          </w:tcPr>
          <w:p>
            <w:pPr>
              <w:spacing w:after="0"/>
              <w:rPr>
                <w:sz w:val="21"/>
                <w:szCs w:val="21"/>
                <w:color w:val="auto"/>
              </w:rPr>
            </w:pPr>
          </w:p>
        </w:tc>
        <w:tc>
          <w:tcPr>
            <w:tcW w:w="1360" w:type="dxa"/>
            <w:vAlign w:val="bottom"/>
            <w:tcBorders>
              <w:bottom w:val="single" w:sz="8" w:color="07877B"/>
            </w:tcBorders>
            <w:shd w:val="clear" w:color="auto" w:fill="07877B"/>
          </w:tcPr>
          <w:p>
            <w:pPr>
              <w:spacing w:after="0"/>
              <w:rPr>
                <w:sz w:val="21"/>
                <w:szCs w:val="21"/>
                <w:color w:val="auto"/>
              </w:rPr>
            </w:pPr>
          </w:p>
        </w:tc>
        <w:tc>
          <w:tcPr>
            <w:tcW w:w="1080" w:type="dxa"/>
            <w:vAlign w:val="bottom"/>
            <w:tcBorders>
              <w:bottom w:val="single" w:sz="8" w:color="07877B"/>
            </w:tcBorders>
            <w:shd w:val="clear" w:color="auto" w:fill="07877B"/>
          </w:tcPr>
          <w:p>
            <w:pPr>
              <w:spacing w:after="0"/>
              <w:rPr>
                <w:sz w:val="21"/>
                <w:szCs w:val="21"/>
                <w:color w:val="auto"/>
              </w:rPr>
            </w:pPr>
          </w:p>
        </w:tc>
        <w:tc>
          <w:tcPr>
            <w:tcW w:w="680" w:type="dxa"/>
            <w:vAlign w:val="bottom"/>
            <w:tcBorders>
              <w:bottom w:val="single" w:sz="8" w:color="07877B"/>
            </w:tcBorders>
            <w:shd w:val="clear" w:color="auto" w:fill="07877B"/>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880" w:type="dxa"/>
            <w:vAlign w:val="bottom"/>
            <w:tcBorders>
              <w:top w:val="single" w:sz="8" w:color="auto"/>
            </w:tcBorders>
          </w:tcPr>
          <w:p>
            <w:pPr>
              <w:ind w:left="60"/>
              <w:spacing w:after="0" w:line="146" w:lineRule="exact"/>
              <w:rPr>
                <w:sz w:val="20"/>
                <w:szCs w:val="20"/>
                <w:color w:val="auto"/>
              </w:rPr>
            </w:pPr>
            <w:r>
              <w:rPr>
                <w:rFonts w:ascii="Arial" w:cs="Arial" w:eastAsia="Arial" w:hAnsi="Arial"/>
                <w:sz w:val="16"/>
                <w:szCs w:val="16"/>
                <w:b w:val="1"/>
                <w:bCs w:val="1"/>
                <w:color w:val="auto"/>
              </w:rPr>
              <w:t xml:space="preserve">Long-Term Outlook — </w:t>
            </w:r>
            <w:r>
              <w:rPr>
                <w:rFonts w:ascii="Arial" w:cs="Arial" w:eastAsia="Arial" w:hAnsi="Arial"/>
                <w:sz w:val="16"/>
                <w:szCs w:val="16"/>
                <w:color w:val="auto"/>
              </w:rPr>
              <w:t>Materially improve the long-term</w:t>
            </w:r>
          </w:p>
        </w:tc>
        <w:tc>
          <w:tcPr>
            <w:tcW w:w="4160" w:type="dxa"/>
            <w:vAlign w:val="bottom"/>
            <w:tcBorders>
              <w:top w:val="single" w:sz="8" w:color="auto"/>
            </w:tcBorders>
            <w:gridSpan w:val="4"/>
          </w:tcPr>
          <w:p>
            <w:pPr>
              <w:ind w:left="180"/>
              <w:spacing w:after="0" w:line="146" w:lineRule="exact"/>
              <w:rPr>
                <w:sz w:val="20"/>
                <w:szCs w:val="20"/>
                <w:color w:val="auto"/>
              </w:rPr>
            </w:pPr>
            <w:r>
              <w:rPr>
                <w:rFonts w:ascii="Arial" w:cs="Arial" w:eastAsia="Arial" w:hAnsi="Arial"/>
                <w:sz w:val="16"/>
                <w:szCs w:val="16"/>
                <w:color w:val="auto"/>
              </w:rPr>
              <w:t xml:space="preserve">10%  </w:t>
            </w:r>
            <w:r>
              <w:rPr>
                <w:rFonts w:ascii="Arial" w:cs="Arial" w:eastAsia="Arial" w:hAnsi="Arial"/>
                <w:sz w:val="14"/>
                <w:szCs w:val="14"/>
                <w:color w:val="auto"/>
              </w:rPr>
              <w:t>Achieved significant milestones across our portfolio,</w:t>
            </w:r>
          </w:p>
        </w:tc>
        <w:tc>
          <w:tcPr>
            <w:tcW w:w="68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6"/>
                <w:szCs w:val="16"/>
                <w:b w:val="1"/>
                <w:bCs w:val="1"/>
                <w:color w:val="auto"/>
                <w:w w:val="96"/>
              </w:rPr>
              <w:t>20.0%</w:t>
            </w:r>
          </w:p>
        </w:tc>
        <w:tc>
          <w:tcPr>
            <w:tcW w:w="0" w:type="dxa"/>
            <w:vAlign w:val="bottom"/>
          </w:tcPr>
          <w:p>
            <w:pPr>
              <w:spacing w:after="0"/>
              <w:rPr>
                <w:sz w:val="1"/>
                <w:szCs w:val="1"/>
                <w:color w:val="auto"/>
              </w:rPr>
            </w:pPr>
          </w:p>
        </w:tc>
      </w:tr>
      <w:tr>
        <w:trPr>
          <w:trHeight w:val="185"/>
        </w:trPr>
        <w:tc>
          <w:tcPr>
            <w:tcW w:w="4880" w:type="dxa"/>
            <w:vAlign w:val="bottom"/>
          </w:tcPr>
          <w:p>
            <w:pPr>
              <w:ind w:left="60"/>
              <w:spacing w:after="0"/>
              <w:rPr>
                <w:sz w:val="20"/>
                <w:szCs w:val="20"/>
                <w:color w:val="auto"/>
              </w:rPr>
            </w:pPr>
            <w:r>
              <w:rPr>
                <w:rFonts w:ascii="Arial" w:cs="Arial" w:eastAsia="Arial" w:hAnsi="Arial"/>
                <w:sz w:val="16"/>
                <w:szCs w:val="16"/>
                <w:color w:val="auto"/>
              </w:rPr>
              <w:t>Company outlook (outside the three-year plan)</w:t>
            </w:r>
          </w:p>
        </w:tc>
        <w:tc>
          <w:tcPr>
            <w:tcW w:w="680" w:type="dxa"/>
            <w:vAlign w:val="bottom"/>
          </w:tcPr>
          <w:p>
            <w:pPr>
              <w:spacing w:after="0"/>
              <w:rPr>
                <w:sz w:val="16"/>
                <w:szCs w:val="16"/>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including accelerating sustainable cost reductions</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80" w:type="dxa"/>
            <w:vAlign w:val="bottom"/>
            <w:gridSpan w:val="3"/>
          </w:tcPr>
          <w:p>
            <w:pPr>
              <w:jc w:val="center"/>
              <w:spacing w:after="0" w:line="139" w:lineRule="exact"/>
              <w:rPr>
                <w:sz w:val="20"/>
                <w:szCs w:val="20"/>
                <w:color w:val="auto"/>
              </w:rPr>
            </w:pPr>
            <w:r>
              <w:rPr>
                <w:rFonts w:ascii="Arial" w:cs="Arial" w:eastAsia="Arial" w:hAnsi="Arial"/>
                <w:sz w:val="14"/>
                <w:szCs w:val="14"/>
                <w:color w:val="auto"/>
              </w:rPr>
              <w:t>across the organization, expanding Permian inventory</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gridSpan w:val="3"/>
          </w:tcPr>
          <w:p>
            <w:pPr>
              <w:jc w:val="center"/>
              <w:spacing w:after="0"/>
              <w:rPr>
                <w:sz w:val="20"/>
                <w:szCs w:val="20"/>
                <w:color w:val="auto"/>
              </w:rPr>
            </w:pPr>
            <w:r>
              <w:rPr>
                <w:rFonts w:ascii="Arial" w:cs="Arial" w:eastAsia="Arial" w:hAnsi="Arial"/>
                <w:sz w:val="14"/>
                <w:szCs w:val="14"/>
                <w:color w:val="auto"/>
              </w:rPr>
              <w:t>runway, transforming long-term Egypt asset trajectory,</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optimizing late life operations in the North Sea,</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gridSpan w:val="3"/>
          </w:tcPr>
          <w:p>
            <w:pPr>
              <w:spacing w:after="0"/>
              <w:rPr>
                <w:sz w:val="20"/>
                <w:szCs w:val="20"/>
                <w:color w:val="auto"/>
              </w:rPr>
            </w:pPr>
            <w:r>
              <w:rPr>
                <w:rFonts w:ascii="Arial" w:cs="Arial" w:eastAsia="Arial" w:hAnsi="Arial"/>
                <w:sz w:val="14"/>
                <w:szCs w:val="14"/>
                <w:color w:val="auto"/>
              </w:rPr>
              <w:t>progressing decommissioning planning, and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80" w:type="dxa"/>
            <w:vAlign w:val="bottom"/>
            <w:gridSpan w:val="3"/>
          </w:tcPr>
          <w:p>
            <w:pPr>
              <w:jc w:val="center"/>
              <w:spacing w:after="0"/>
              <w:rPr>
                <w:sz w:val="20"/>
                <w:szCs w:val="20"/>
                <w:color w:val="auto"/>
              </w:rPr>
            </w:pPr>
            <w:r>
              <w:rPr>
                <w:rFonts w:ascii="Arial" w:cs="Arial" w:eastAsia="Arial" w:hAnsi="Arial"/>
                <w:sz w:val="14"/>
                <w:szCs w:val="14"/>
                <w:color w:val="auto"/>
              </w:rPr>
              <w:t>exploration and appraisal planning in Alaska following</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the Sockeye-2 discovery</w:t>
            </w:r>
          </w:p>
        </w:tc>
        <w:tc>
          <w:tcPr>
            <w:tcW w:w="10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00506F"/>
            </w:tcBorders>
            <w:shd w:val="clear" w:color="auto" w:fill="00506F"/>
          </w:tcPr>
          <w:p>
            <w:pPr>
              <w:ind w:left="60"/>
              <w:spacing w:after="0"/>
              <w:rPr>
                <w:sz w:val="20"/>
                <w:szCs w:val="20"/>
                <w:color w:val="auto"/>
              </w:rPr>
            </w:pPr>
            <w:r>
              <w:rPr>
                <w:rFonts w:ascii="Arial" w:cs="Arial" w:eastAsia="Arial" w:hAnsi="Arial"/>
                <w:sz w:val="14"/>
                <w:szCs w:val="14"/>
                <w:b w:val="1"/>
                <w:bCs w:val="1"/>
                <w:color w:val="FFFFFF"/>
              </w:rPr>
              <w:t>Final Achievement</w:t>
            </w:r>
          </w:p>
        </w:tc>
        <w:tc>
          <w:tcPr>
            <w:tcW w:w="680" w:type="dxa"/>
            <w:vAlign w:val="bottom"/>
            <w:tcBorders>
              <w:bottom w:val="single" w:sz="8" w:color="00506F"/>
            </w:tcBorders>
            <w:shd w:val="clear" w:color="auto" w:fill="00506F"/>
          </w:tcPr>
          <w:p>
            <w:pPr>
              <w:spacing w:after="0"/>
              <w:rPr>
                <w:sz w:val="22"/>
                <w:szCs w:val="22"/>
                <w:color w:val="auto"/>
              </w:rPr>
            </w:pPr>
          </w:p>
        </w:tc>
        <w:tc>
          <w:tcPr>
            <w:tcW w:w="1040" w:type="dxa"/>
            <w:vAlign w:val="bottom"/>
            <w:tcBorders>
              <w:bottom w:val="single" w:sz="8" w:color="00506F"/>
            </w:tcBorders>
            <w:shd w:val="clear" w:color="auto" w:fill="00506F"/>
          </w:tcPr>
          <w:p>
            <w:pPr>
              <w:spacing w:after="0"/>
              <w:rPr>
                <w:sz w:val="22"/>
                <w:szCs w:val="22"/>
                <w:color w:val="auto"/>
              </w:rPr>
            </w:pPr>
          </w:p>
        </w:tc>
        <w:tc>
          <w:tcPr>
            <w:tcW w:w="1360" w:type="dxa"/>
            <w:vAlign w:val="bottom"/>
            <w:tcBorders>
              <w:bottom w:val="single" w:sz="8" w:color="00506F"/>
            </w:tcBorders>
            <w:shd w:val="clear" w:color="auto" w:fill="00506F"/>
          </w:tcPr>
          <w:p>
            <w:pPr>
              <w:spacing w:after="0"/>
              <w:rPr>
                <w:sz w:val="22"/>
                <w:szCs w:val="22"/>
                <w:color w:val="auto"/>
              </w:rPr>
            </w:pPr>
          </w:p>
        </w:tc>
        <w:tc>
          <w:tcPr>
            <w:tcW w:w="1080" w:type="dxa"/>
            <w:vAlign w:val="bottom"/>
            <w:tcBorders>
              <w:bottom w:val="single" w:sz="8" w:color="00506F"/>
            </w:tcBorders>
            <w:shd w:val="clear" w:color="auto" w:fill="00506F"/>
          </w:tcPr>
          <w:p>
            <w:pPr>
              <w:spacing w:after="0"/>
              <w:rPr>
                <w:sz w:val="22"/>
                <w:szCs w:val="22"/>
                <w:color w:val="auto"/>
              </w:rPr>
            </w:pPr>
          </w:p>
        </w:tc>
        <w:tc>
          <w:tcPr>
            <w:tcW w:w="680" w:type="dxa"/>
            <w:vAlign w:val="bottom"/>
            <w:tcBorders>
              <w:bottom w:val="single" w:sz="8" w:color="00506F"/>
            </w:tcBorders>
            <w:shd w:val="clear" w:color="auto" w:fill="00506F"/>
          </w:tcPr>
          <w:p>
            <w:pPr>
              <w:jc w:val="center"/>
              <w:spacing w:after="0"/>
              <w:rPr>
                <w:sz w:val="20"/>
                <w:szCs w:val="20"/>
                <w:color w:val="auto"/>
              </w:rPr>
            </w:pPr>
            <w:r>
              <w:rPr>
                <w:rFonts w:ascii="Arial" w:cs="Arial" w:eastAsia="Arial" w:hAnsi="Arial"/>
                <w:sz w:val="16"/>
                <w:szCs w:val="16"/>
                <w:b w:val="1"/>
                <w:bCs w:val="1"/>
                <w:color w:val="FFFFFF"/>
              </w:rPr>
              <w:t>189.8%</w:t>
            </w:r>
          </w:p>
        </w:tc>
        <w:tc>
          <w:tcPr>
            <w:tcW w:w="0" w:type="dxa"/>
            <w:vAlign w:val="bottom"/>
          </w:tcPr>
          <w:p>
            <w:pPr>
              <w:spacing w:after="0"/>
              <w:rPr>
                <w:sz w:val="1"/>
                <w:szCs w:val="1"/>
                <w:color w:val="auto"/>
              </w:rPr>
            </w:pPr>
          </w:p>
        </w:tc>
      </w:tr>
      <w:tr>
        <w:trPr>
          <w:trHeight w:val="20"/>
        </w:trPr>
        <w:tc>
          <w:tcPr>
            <w:tcW w:w="48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6165215</wp:posOffset>
            </wp:positionH>
            <wp:positionV relativeFrom="paragraph">
              <wp:posOffset>-5588635</wp:posOffset>
            </wp:positionV>
            <wp:extent cx="4286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-5057140</wp:posOffset>
            </wp:positionV>
            <wp:extent cx="2211705" cy="214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211705" cy="21463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-4568825</wp:posOffset>
            </wp:positionV>
            <wp:extent cx="2211705"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211705" cy="18034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-3959860</wp:posOffset>
            </wp:positionV>
            <wp:extent cx="2211705" cy="2146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11705" cy="21463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-3471545</wp:posOffset>
            </wp:positionV>
            <wp:extent cx="2211705" cy="2146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11705" cy="21463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-2862580</wp:posOffset>
            </wp:positionV>
            <wp:extent cx="2211705" cy="2146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11705" cy="21463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-2082800</wp:posOffset>
            </wp:positionV>
            <wp:extent cx="2211705" cy="2146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211705" cy="21463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-1593850</wp:posOffset>
            </wp:positionV>
            <wp:extent cx="2211705" cy="2146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11705" cy="214630"/>
                    </a:xfrm>
                    <a:prstGeom prst="rect">
                      <a:avLst/>
                    </a:prstGeom>
                    <a:noFill/>
                  </pic:spPr>
                </pic:pic>
              </a:graphicData>
            </a:graphic>
          </wp:anchor>
        </w:drawing>
      </w:r>
    </w:p>
    <w:p>
      <w:pPr>
        <w:spacing w:after="0" w:line="92" w:lineRule="exact"/>
        <w:rPr>
          <w:sz w:val="20"/>
          <w:szCs w:val="20"/>
          <w:color w:val="auto"/>
        </w:rPr>
      </w:pPr>
    </w:p>
    <w:p>
      <w:pPr>
        <w:ind w:left="900" w:right="900" w:hanging="236"/>
        <w:spacing w:after="0" w:line="246" w:lineRule="auto"/>
        <w:tabs>
          <w:tab w:leader="none" w:pos="900" w:val="left"/>
        </w:tabs>
        <w:numPr>
          <w:ilvl w:val="0"/>
          <w:numId w:val="96"/>
        </w:numPr>
        <w:rPr>
          <w:rFonts w:ascii="Arial" w:cs="Arial" w:eastAsia="Arial" w:hAnsi="Arial"/>
          <w:sz w:val="14"/>
          <w:szCs w:val="14"/>
          <w:color w:val="77787B"/>
        </w:rPr>
      </w:pPr>
      <w:r>
        <w:rPr>
          <w:rFonts w:ascii="Arial" w:cs="Arial" w:eastAsia="Arial" w:hAnsi="Arial"/>
          <w:sz w:val="14"/>
          <w:szCs w:val="14"/>
          <w:i w:val="1"/>
          <w:iCs w:val="1"/>
          <w:color w:val="77787B"/>
        </w:rPr>
        <w:t xml:space="preserve">Free Cash Flow </w:t>
      </w:r>
      <w:r>
        <w:rPr>
          <w:rFonts w:ascii="Arial" w:cs="Arial" w:eastAsia="Arial" w:hAnsi="Arial"/>
          <w:sz w:val="14"/>
          <w:szCs w:val="14"/>
          <w:color w:val="77787B"/>
        </w:rPr>
        <w:t>for goal metrics is defined as cash flows from operations before changes in operating assets and liabilities, less upstream capital,</w:t>
      </w:r>
      <w:r>
        <w:rPr>
          <w:rFonts w:ascii="Arial" w:cs="Arial" w:eastAsia="Arial" w:hAnsi="Arial"/>
          <w:sz w:val="14"/>
          <w:szCs w:val="14"/>
          <w:i w:val="1"/>
          <w:iCs w:val="1"/>
          <w:color w:val="77787B"/>
        </w:rPr>
        <w:t xml:space="preserve"> </w:t>
      </w:r>
      <w:r>
        <w:rPr>
          <w:rFonts w:ascii="Arial" w:cs="Arial" w:eastAsia="Arial" w:hAnsi="Arial"/>
          <w:sz w:val="14"/>
          <w:szCs w:val="14"/>
          <w:color w:val="77787B"/>
        </w:rPr>
        <w:t>leasehold, capitalized interest and decommissioning spend. It is then adjusted to add back impacts from stock compensation, Transaction, Reorganization and Separation (TRS) expense and Gulf of America decommissioning spend. The final result is then adjusted for sales &amp; acquisitions, as well as timing of Suriname development spend.</w:t>
      </w:r>
    </w:p>
    <w:p>
      <w:pPr>
        <w:spacing w:after="0" w:line="1" w:lineRule="exact"/>
        <w:rPr>
          <w:rFonts w:ascii="Arial" w:cs="Arial" w:eastAsia="Arial" w:hAnsi="Arial"/>
          <w:sz w:val="14"/>
          <w:szCs w:val="14"/>
          <w:color w:val="77787B"/>
        </w:rPr>
      </w:pPr>
    </w:p>
    <w:p>
      <w:pPr>
        <w:ind w:left="900" w:right="940" w:hanging="236"/>
        <w:spacing w:after="0" w:line="241" w:lineRule="auto"/>
        <w:tabs>
          <w:tab w:leader="none" w:pos="900" w:val="left"/>
        </w:tabs>
        <w:numPr>
          <w:ilvl w:val="0"/>
          <w:numId w:val="96"/>
        </w:numPr>
        <w:rPr>
          <w:rFonts w:ascii="Arial" w:cs="Arial" w:eastAsia="Arial" w:hAnsi="Arial"/>
          <w:sz w:val="14"/>
          <w:szCs w:val="14"/>
          <w:color w:val="77787B"/>
        </w:rPr>
      </w:pPr>
      <w:r>
        <w:rPr>
          <w:rFonts w:ascii="Arial" w:cs="Arial" w:eastAsia="Arial" w:hAnsi="Arial"/>
          <w:sz w:val="14"/>
          <w:szCs w:val="14"/>
          <w:color w:val="77787B"/>
        </w:rPr>
        <w:t>Includes Lifting (Direct) Expense and Workover Expense excluding Sinopec’s minority interest and allocated overhead expense. Final results are adjusted for changes in foreign exchange and targets are adjusted for asset divestitures.</w:t>
      </w:r>
    </w:p>
    <w:p>
      <w:pPr>
        <w:ind w:left="900" w:hanging="236"/>
        <w:spacing w:after="0"/>
        <w:tabs>
          <w:tab w:leader="none" w:pos="900" w:val="left"/>
        </w:tabs>
        <w:numPr>
          <w:ilvl w:val="0"/>
          <w:numId w:val="96"/>
        </w:numPr>
        <w:rPr>
          <w:rFonts w:ascii="Arial" w:cs="Arial" w:eastAsia="Arial" w:hAnsi="Arial"/>
          <w:sz w:val="14"/>
          <w:szCs w:val="14"/>
          <w:color w:val="77787B"/>
        </w:rPr>
      </w:pPr>
      <w:r>
        <w:rPr>
          <w:rFonts w:ascii="Arial" w:cs="Arial" w:eastAsia="Arial" w:hAnsi="Arial"/>
          <w:sz w:val="14"/>
          <w:szCs w:val="14"/>
          <w:color w:val="77787B"/>
        </w:rPr>
        <w:t>Includes all corporate and asset-level gross department (G&amp;A) costs; Excludes incentive &amp; stock compensation, as well as TRS costs.</w:t>
      </w:r>
    </w:p>
    <w:p>
      <w:pPr>
        <w:spacing w:after="0" w:line="1" w:lineRule="exact"/>
        <w:rPr>
          <w:rFonts w:ascii="Arial" w:cs="Arial" w:eastAsia="Arial" w:hAnsi="Arial"/>
          <w:sz w:val="14"/>
          <w:szCs w:val="14"/>
          <w:color w:val="77787B"/>
        </w:rPr>
      </w:pPr>
    </w:p>
    <w:p>
      <w:pPr>
        <w:ind w:left="900" w:hanging="236"/>
        <w:spacing w:after="0"/>
        <w:tabs>
          <w:tab w:leader="none" w:pos="900" w:val="left"/>
        </w:tabs>
        <w:numPr>
          <w:ilvl w:val="0"/>
          <w:numId w:val="96"/>
        </w:numPr>
        <w:rPr>
          <w:rFonts w:ascii="Arial" w:cs="Arial" w:eastAsia="Arial" w:hAnsi="Arial"/>
          <w:sz w:val="14"/>
          <w:szCs w:val="14"/>
          <w:color w:val="77787B"/>
        </w:rPr>
      </w:pPr>
      <w:r>
        <w:rPr>
          <w:rFonts w:ascii="Arial" w:cs="Arial" w:eastAsia="Arial" w:hAnsi="Arial"/>
          <w:sz w:val="14"/>
          <w:szCs w:val="14"/>
          <w:color w:val="77787B"/>
        </w:rPr>
        <w:t>Total capital expenditure excluding Suriname, exploration, U.S. lease acquisition, legacy Gulf of America P&amp;A and capitalized overhead.</w:t>
      </w:r>
    </w:p>
    <w:p>
      <w:pPr>
        <w:spacing w:after="0" w:line="1" w:lineRule="exact"/>
        <w:rPr>
          <w:rFonts w:ascii="Arial" w:cs="Arial" w:eastAsia="Arial" w:hAnsi="Arial"/>
          <w:sz w:val="14"/>
          <w:szCs w:val="14"/>
          <w:color w:val="77787B"/>
        </w:rPr>
      </w:pPr>
    </w:p>
    <w:p>
      <w:pPr>
        <w:ind w:left="900" w:right="900" w:hanging="236"/>
        <w:spacing w:after="0" w:line="252" w:lineRule="auto"/>
        <w:tabs>
          <w:tab w:leader="none" w:pos="900" w:val="left"/>
        </w:tabs>
        <w:numPr>
          <w:ilvl w:val="0"/>
          <w:numId w:val="96"/>
        </w:numPr>
        <w:rPr>
          <w:rFonts w:ascii="Arial" w:cs="Arial" w:eastAsia="Arial" w:hAnsi="Arial"/>
          <w:sz w:val="14"/>
          <w:szCs w:val="14"/>
          <w:color w:val="77787B"/>
        </w:rPr>
      </w:pPr>
      <w:r>
        <w:rPr>
          <w:rFonts w:ascii="Arial" w:cs="Arial" w:eastAsia="Arial" w:hAnsi="Arial"/>
          <w:sz w:val="14"/>
          <w:szCs w:val="14"/>
          <w:color w:val="77787B"/>
        </w:rPr>
        <w:t>Total Adjusted BOE production (excludes Egypt tax barrels and Sinopec’s minority interest). Final results are adjusted for Waha-related price curtailments and impacts of ethane rejection and recovery assumptions. Targets are adjusted for asset sales as well as price impact on the Egypt production sharing contract.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25</w:t>
            </w:r>
          </w:p>
        </w:tc>
      </w:tr>
      <w:tr>
        <w:trPr>
          <w:trHeight w:val="879"/>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358" w:right="4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i w:val="1"/>
          <w:iCs w:val="1"/>
          <w:color w:val="auto"/>
        </w:rPr>
        <w:t>Individual Performance Factor</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annual incentive compensation plan includes an individual performance factor that may be applied at the discretion of the MD&amp;C Committee to reflect each NEO’s individual contributions and leadership impact. After the corporate performance results determine the initial payout, the MD&amp;C Committee may adjust an NEO’s award upward or downward by applying a multiplier ranging from 0% to 200%. An individual performance factor of 100% results in no adjustment to the initial payout.</w:t>
      </w:r>
    </w:p>
    <w:p>
      <w:pPr>
        <w:spacing w:after="0" w:line="7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For 2025, the CEO provided performance factor recommendations for the other NEOs, which the MD&amp;C Committee carefully evaluated as part of its independent review process. The MD&amp;C Committee separately assessed and determined the CEO’s individual performance factor to be recommended to the full Board for approval.</w:t>
      </w:r>
    </w:p>
    <w:p>
      <w:pPr>
        <w:spacing w:after="0" w:line="6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Following deliberation, the MD&amp;C Committee recommended an individual performance factor of 100% for the CEO, which the full Board reviewed and approved, and the MD&amp;C Committee approved an individual performance factor of 100% for all other NEOs, except for Messrs. Riney and Rodgers, who each received a factor of 105.4%. As a result, their final incentive payouts were 200% of target.</w:t>
      </w:r>
    </w:p>
    <w:p>
      <w:pPr>
        <w:spacing w:after="0" w:line="63"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In approving these adjustments, the MD&amp;C Committee considered the Company’s strong performance across both operational and financial metrics and determined that Messrs. Riney and Rodgers made distinct and outsized contributions that warranted additional recognition.</w:t>
      </w:r>
    </w:p>
    <w:p>
      <w:pPr>
        <w:spacing w:after="0" w:line="63" w:lineRule="exact"/>
        <w:rPr>
          <w:sz w:val="20"/>
          <w:szCs w:val="20"/>
          <w:color w:val="auto"/>
        </w:rPr>
      </w:pPr>
    </w:p>
    <w:p>
      <w:pPr>
        <w:ind w:left="480" w:right="560" w:hanging="243"/>
        <w:spacing w:after="0" w:line="285" w:lineRule="auto"/>
        <w:tabs>
          <w:tab w:leader="none" w:pos="48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Mr. Riney </w:t>
      </w:r>
      <w:r>
        <w:rPr>
          <w:rFonts w:ascii="Arial" w:cs="Arial" w:eastAsia="Arial" w:hAnsi="Arial"/>
          <w:sz w:val="16"/>
          <w:szCs w:val="16"/>
          <w:color w:val="auto"/>
        </w:rPr>
        <w:t>was recognized for exceptional asset-level operational performance, including reducing capital costs and lease</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expenses below target while delivering production above target.</w:t>
      </w:r>
    </w:p>
    <w:p>
      <w:pPr>
        <w:spacing w:after="0" w:line="48" w:lineRule="exact"/>
        <w:rPr>
          <w:rFonts w:ascii="Times New Roman" w:cs="Times New Roman" w:eastAsia="Times New Roman" w:hAnsi="Times New Roman"/>
          <w:sz w:val="16"/>
          <w:szCs w:val="16"/>
          <w:color w:val="auto"/>
        </w:rPr>
      </w:pPr>
    </w:p>
    <w:p>
      <w:pPr>
        <w:ind w:left="480" w:right="380" w:hanging="243"/>
        <w:spacing w:after="0" w:line="285" w:lineRule="auto"/>
        <w:tabs>
          <w:tab w:leader="none" w:pos="480" w:val="left"/>
        </w:tabs>
        <w:numPr>
          <w:ilvl w:val="0"/>
          <w:numId w:val="9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Mr. Rodgers </w:t>
      </w:r>
      <w:r>
        <w:rPr>
          <w:rFonts w:ascii="Arial" w:cs="Arial" w:eastAsia="Arial" w:hAnsi="Arial"/>
          <w:sz w:val="16"/>
          <w:szCs w:val="16"/>
          <w:color w:val="auto"/>
        </w:rPr>
        <w:t>was recognized for his leadership in strengthening the Company’s financial performance, including meaningful</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reductions in overhead cost structure, progress on debt reduction, and overall balance sheet strengthening.</w:t>
      </w:r>
    </w:p>
    <w:p>
      <w:pPr>
        <w:spacing w:after="0" w:line="48"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MD&amp;C Committee concluded that these contributions materially enhanced shareholder value and supported the Company’s strategic and financial objectives.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2025 Annual Incentive Award Payouts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Based on the results above, the actual annual incentive awards paid to the NEOs for 2025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20" w:type="dxa"/>
            <w:vAlign w:val="bottom"/>
            <w:tcBorders>
              <w:top w:val="single" w:sz="8" w:color="auto"/>
            </w:tcBorders>
            <w:shd w:val="clear" w:color="auto" w:fill="F3F3F4"/>
          </w:tcPr>
          <w:p>
            <w:pPr>
              <w:spacing w:after="0"/>
              <w:rPr>
                <w:sz w:val="16"/>
                <w:szCs w:val="16"/>
                <w:color w:val="auto"/>
              </w:rPr>
            </w:pPr>
          </w:p>
        </w:tc>
        <w:tc>
          <w:tcPr>
            <w:tcW w:w="1280" w:type="dxa"/>
            <w:vAlign w:val="bottom"/>
            <w:tcBorders>
              <w:top w:val="single" w:sz="8" w:color="auto"/>
            </w:tcBorders>
            <w:shd w:val="clear" w:color="auto" w:fill="F3F3F4"/>
          </w:tcPr>
          <w:p>
            <w:pPr>
              <w:spacing w:after="0"/>
              <w:rPr>
                <w:sz w:val="16"/>
                <w:szCs w:val="16"/>
                <w:color w:val="auto"/>
              </w:rPr>
            </w:pPr>
          </w:p>
        </w:tc>
        <w:tc>
          <w:tcPr>
            <w:tcW w:w="1300" w:type="dxa"/>
            <w:vAlign w:val="bottom"/>
            <w:tcBorders>
              <w:top w:val="single" w:sz="8" w:color="auto"/>
            </w:tcBorders>
            <w:shd w:val="clear" w:color="auto" w:fill="F3F3F4"/>
          </w:tcPr>
          <w:p>
            <w:pPr>
              <w:spacing w:after="0"/>
              <w:rPr>
                <w:sz w:val="16"/>
                <w:szCs w:val="16"/>
                <w:color w:val="auto"/>
              </w:rPr>
            </w:pPr>
          </w:p>
        </w:tc>
        <w:tc>
          <w:tcPr>
            <w:tcW w:w="1420" w:type="dxa"/>
            <w:vAlign w:val="bottom"/>
            <w:tcBorders>
              <w:top w:val="single" w:sz="8" w:color="auto"/>
            </w:tcBorders>
            <w:shd w:val="clear" w:color="auto" w:fill="F3F3F4"/>
          </w:tcPr>
          <w:p>
            <w:pPr>
              <w:jc w:val="right"/>
              <w:ind w:right="139"/>
              <w:spacing w:after="0"/>
              <w:rPr>
                <w:sz w:val="20"/>
                <w:szCs w:val="20"/>
                <w:color w:val="auto"/>
              </w:rPr>
            </w:pPr>
            <w:r>
              <w:rPr>
                <w:rFonts w:ascii="Arial" w:cs="Arial" w:eastAsia="Arial" w:hAnsi="Arial"/>
                <w:sz w:val="16"/>
                <w:szCs w:val="16"/>
                <w:b w:val="1"/>
                <w:bCs w:val="1"/>
                <w:color w:val="auto"/>
              </w:rPr>
              <w:t>Corporate</w:t>
            </w:r>
          </w:p>
        </w:tc>
        <w:tc>
          <w:tcPr>
            <w:tcW w:w="1380" w:type="dxa"/>
            <w:vAlign w:val="bottom"/>
            <w:tcBorders>
              <w:top w:val="single" w:sz="8" w:color="auto"/>
            </w:tcBorders>
            <w:shd w:val="clear" w:color="auto" w:fill="F3F3F4"/>
          </w:tcPr>
          <w:p>
            <w:pPr>
              <w:jc w:val="right"/>
              <w:ind w:right="79"/>
              <w:spacing w:after="0"/>
              <w:rPr>
                <w:sz w:val="20"/>
                <w:szCs w:val="20"/>
                <w:color w:val="auto"/>
              </w:rPr>
            </w:pPr>
            <w:r>
              <w:rPr>
                <w:rFonts w:ascii="Arial" w:cs="Arial" w:eastAsia="Arial" w:hAnsi="Arial"/>
                <w:sz w:val="16"/>
                <w:szCs w:val="16"/>
                <w:b w:val="1"/>
                <w:bCs w:val="1"/>
                <w:color w:val="auto"/>
              </w:rPr>
              <w:t>Individual</w:t>
            </w:r>
          </w:p>
        </w:tc>
        <w:tc>
          <w:tcPr>
            <w:tcW w:w="1280" w:type="dxa"/>
            <w:vAlign w:val="bottom"/>
            <w:tcBorders>
              <w:top w:val="single" w:sz="8" w:color="auto"/>
            </w:tcBorders>
            <w:shd w:val="clear" w:color="auto" w:fill="F3F3F4"/>
          </w:tcPr>
          <w:p>
            <w:pPr>
              <w:spacing w:after="0"/>
              <w:rPr>
                <w:sz w:val="16"/>
                <w:szCs w:val="16"/>
                <w:color w:val="auto"/>
              </w:rPr>
            </w:pPr>
          </w:p>
        </w:tc>
        <w:tc>
          <w:tcPr>
            <w:tcW w:w="1140" w:type="dxa"/>
            <w:vAlign w:val="bottom"/>
            <w:tcBorders>
              <w:top w:val="single" w:sz="8" w:color="auto"/>
            </w:tcBorders>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Actual as</w:t>
            </w:r>
          </w:p>
        </w:tc>
      </w:tr>
      <w:tr>
        <w:trPr>
          <w:trHeight w:val="189"/>
        </w:trPr>
        <w:tc>
          <w:tcPr>
            <w:tcW w:w="1920" w:type="dxa"/>
            <w:vAlign w:val="bottom"/>
            <w:shd w:val="clear" w:color="auto" w:fill="F3F3F4"/>
          </w:tcPr>
          <w:p>
            <w:pPr>
              <w:spacing w:after="0"/>
              <w:rPr>
                <w:sz w:val="16"/>
                <w:szCs w:val="16"/>
                <w:color w:val="auto"/>
              </w:rPr>
            </w:pPr>
          </w:p>
        </w:tc>
        <w:tc>
          <w:tcPr>
            <w:tcW w:w="1280" w:type="dxa"/>
            <w:vAlign w:val="bottom"/>
            <w:shd w:val="clear" w:color="auto" w:fill="F3F3F4"/>
          </w:tcPr>
          <w:p>
            <w:pPr>
              <w:spacing w:after="0"/>
              <w:rPr>
                <w:sz w:val="16"/>
                <w:szCs w:val="16"/>
                <w:color w:val="auto"/>
              </w:rPr>
            </w:pPr>
          </w:p>
        </w:tc>
        <w:tc>
          <w:tcPr>
            <w:tcW w:w="1300" w:type="dxa"/>
            <w:vAlign w:val="bottom"/>
            <w:shd w:val="clear" w:color="auto" w:fill="F3F3F4"/>
          </w:tcPr>
          <w:p>
            <w:pPr>
              <w:spacing w:after="0"/>
              <w:rPr>
                <w:sz w:val="16"/>
                <w:szCs w:val="16"/>
                <w:color w:val="auto"/>
              </w:rPr>
            </w:pPr>
          </w:p>
        </w:tc>
        <w:tc>
          <w:tcPr>
            <w:tcW w:w="1420" w:type="dxa"/>
            <w:vAlign w:val="bottom"/>
            <w:shd w:val="clear" w:color="auto" w:fill="F3F3F4"/>
          </w:tcPr>
          <w:p>
            <w:pPr>
              <w:jc w:val="right"/>
              <w:ind w:right="139"/>
              <w:spacing w:after="0"/>
              <w:rPr>
                <w:sz w:val="20"/>
                <w:szCs w:val="20"/>
                <w:color w:val="auto"/>
              </w:rPr>
            </w:pPr>
            <w:r>
              <w:rPr>
                <w:rFonts w:ascii="Arial" w:cs="Arial" w:eastAsia="Arial" w:hAnsi="Arial"/>
                <w:sz w:val="16"/>
                <w:szCs w:val="16"/>
                <w:b w:val="1"/>
                <w:bCs w:val="1"/>
                <w:color w:val="auto"/>
              </w:rPr>
              <w:t>Performance</w:t>
            </w:r>
          </w:p>
        </w:tc>
        <w:tc>
          <w:tcPr>
            <w:tcW w:w="1380" w:type="dxa"/>
            <w:vAlign w:val="bottom"/>
            <w:shd w:val="clear" w:color="auto" w:fill="F3F3F4"/>
          </w:tcPr>
          <w:p>
            <w:pPr>
              <w:jc w:val="right"/>
              <w:ind w:right="79"/>
              <w:spacing w:after="0"/>
              <w:rPr>
                <w:sz w:val="20"/>
                <w:szCs w:val="20"/>
                <w:color w:val="auto"/>
              </w:rPr>
            </w:pPr>
            <w:r>
              <w:rPr>
                <w:rFonts w:ascii="Arial" w:cs="Arial" w:eastAsia="Arial" w:hAnsi="Arial"/>
                <w:sz w:val="16"/>
                <w:szCs w:val="16"/>
                <w:b w:val="1"/>
                <w:bCs w:val="1"/>
                <w:color w:val="auto"/>
              </w:rPr>
              <w:t>Performance</w:t>
            </w:r>
          </w:p>
        </w:tc>
        <w:tc>
          <w:tcPr>
            <w:tcW w:w="1280" w:type="dxa"/>
            <w:vAlign w:val="bottom"/>
            <w:shd w:val="clear" w:color="auto" w:fill="F3F3F4"/>
          </w:tcPr>
          <w:p>
            <w:pPr>
              <w:spacing w:after="0"/>
              <w:rPr>
                <w:sz w:val="16"/>
                <w:szCs w:val="16"/>
                <w:color w:val="auto"/>
              </w:rPr>
            </w:pPr>
          </w:p>
        </w:tc>
        <w:tc>
          <w:tcPr>
            <w:tcW w:w="1140" w:type="dxa"/>
            <w:vAlign w:val="bottom"/>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Percent of</w:t>
            </w:r>
          </w:p>
        </w:tc>
      </w:tr>
      <w:tr>
        <w:trPr>
          <w:trHeight w:val="189"/>
        </w:trPr>
        <w:tc>
          <w:tcPr>
            <w:tcW w:w="1920" w:type="dxa"/>
            <w:vAlign w:val="bottom"/>
            <w:shd w:val="clear" w:color="auto" w:fill="F3F3F4"/>
          </w:tcPr>
          <w:p>
            <w:pPr>
              <w:spacing w:after="0"/>
              <w:rPr>
                <w:sz w:val="20"/>
                <w:szCs w:val="20"/>
                <w:color w:val="auto"/>
              </w:rPr>
            </w:pPr>
            <w:r>
              <w:rPr>
                <w:rFonts w:ascii="Arial" w:cs="Arial" w:eastAsia="Arial" w:hAnsi="Arial"/>
                <w:sz w:val="16"/>
                <w:szCs w:val="16"/>
                <w:b w:val="1"/>
                <w:bCs w:val="1"/>
                <w:color w:val="auto"/>
              </w:rPr>
              <w:t>Named Executive</w:t>
            </w:r>
          </w:p>
        </w:tc>
        <w:tc>
          <w:tcPr>
            <w:tcW w:w="1280" w:type="dxa"/>
            <w:vAlign w:val="bottom"/>
            <w:shd w:val="clear" w:color="auto" w:fill="F3F3F4"/>
          </w:tcPr>
          <w:p>
            <w:pPr>
              <w:jc w:val="right"/>
              <w:ind w:right="99"/>
              <w:spacing w:after="0"/>
              <w:rPr>
                <w:sz w:val="20"/>
                <w:szCs w:val="20"/>
                <w:color w:val="auto"/>
              </w:rPr>
            </w:pPr>
            <w:r>
              <w:rPr>
                <w:rFonts w:ascii="Arial" w:cs="Arial" w:eastAsia="Arial" w:hAnsi="Arial"/>
                <w:sz w:val="16"/>
                <w:szCs w:val="16"/>
                <w:b w:val="1"/>
                <w:bCs w:val="1"/>
                <w:color w:val="auto"/>
              </w:rPr>
              <w:t>2025 Target</w:t>
            </w:r>
          </w:p>
        </w:tc>
        <w:tc>
          <w:tcPr>
            <w:tcW w:w="1300" w:type="dxa"/>
            <w:vAlign w:val="bottom"/>
            <w:shd w:val="clear" w:color="auto" w:fill="F3F3F4"/>
          </w:tcPr>
          <w:p>
            <w:pPr>
              <w:jc w:val="right"/>
              <w:ind w:right="139"/>
              <w:spacing w:after="0"/>
              <w:rPr>
                <w:sz w:val="20"/>
                <w:szCs w:val="20"/>
                <w:color w:val="auto"/>
              </w:rPr>
            </w:pPr>
            <w:r>
              <w:rPr>
                <w:rFonts w:ascii="Arial" w:cs="Arial" w:eastAsia="Arial" w:hAnsi="Arial"/>
                <w:sz w:val="16"/>
                <w:szCs w:val="16"/>
                <w:b w:val="1"/>
                <w:bCs w:val="1"/>
                <w:color w:val="auto"/>
              </w:rPr>
              <w:t>2025 Target</w:t>
            </w:r>
          </w:p>
        </w:tc>
        <w:tc>
          <w:tcPr>
            <w:tcW w:w="1420" w:type="dxa"/>
            <w:vAlign w:val="bottom"/>
            <w:shd w:val="clear" w:color="auto" w:fill="F3F3F4"/>
          </w:tcPr>
          <w:p>
            <w:pPr>
              <w:jc w:val="right"/>
              <w:ind w:right="139"/>
              <w:spacing w:after="0"/>
              <w:rPr>
                <w:sz w:val="20"/>
                <w:szCs w:val="20"/>
                <w:color w:val="auto"/>
              </w:rPr>
            </w:pPr>
            <w:r>
              <w:rPr>
                <w:rFonts w:ascii="Arial" w:cs="Arial" w:eastAsia="Arial" w:hAnsi="Arial"/>
                <w:sz w:val="16"/>
                <w:szCs w:val="16"/>
                <w:b w:val="1"/>
                <w:bCs w:val="1"/>
                <w:color w:val="auto"/>
              </w:rPr>
              <w:t>Results</w:t>
            </w:r>
          </w:p>
        </w:tc>
        <w:tc>
          <w:tcPr>
            <w:tcW w:w="1380" w:type="dxa"/>
            <w:vAlign w:val="bottom"/>
            <w:shd w:val="clear" w:color="auto" w:fill="F3F3F4"/>
          </w:tcPr>
          <w:p>
            <w:pPr>
              <w:jc w:val="right"/>
              <w:ind w:right="79"/>
              <w:spacing w:after="0"/>
              <w:rPr>
                <w:sz w:val="20"/>
                <w:szCs w:val="20"/>
                <w:color w:val="auto"/>
              </w:rPr>
            </w:pPr>
            <w:r>
              <w:rPr>
                <w:rFonts w:ascii="Arial" w:cs="Arial" w:eastAsia="Arial" w:hAnsi="Arial"/>
                <w:sz w:val="16"/>
                <w:szCs w:val="16"/>
                <w:b w:val="1"/>
                <w:bCs w:val="1"/>
                <w:color w:val="auto"/>
              </w:rPr>
              <w:t>Results</w:t>
            </w:r>
          </w:p>
        </w:tc>
        <w:tc>
          <w:tcPr>
            <w:tcW w:w="1280" w:type="dxa"/>
            <w:vAlign w:val="bottom"/>
            <w:shd w:val="clear" w:color="auto" w:fill="F3F3F4"/>
          </w:tcPr>
          <w:p>
            <w:pPr>
              <w:jc w:val="right"/>
              <w:ind w:right="159"/>
              <w:spacing w:after="0"/>
              <w:rPr>
                <w:sz w:val="20"/>
                <w:szCs w:val="20"/>
                <w:color w:val="auto"/>
              </w:rPr>
            </w:pPr>
            <w:r>
              <w:rPr>
                <w:rFonts w:ascii="Arial" w:cs="Arial" w:eastAsia="Arial" w:hAnsi="Arial"/>
                <w:sz w:val="16"/>
                <w:szCs w:val="16"/>
                <w:b w:val="1"/>
                <w:bCs w:val="1"/>
                <w:color w:val="auto"/>
              </w:rPr>
              <w:t>2025 Actual</w:t>
            </w:r>
          </w:p>
        </w:tc>
        <w:tc>
          <w:tcPr>
            <w:tcW w:w="1140" w:type="dxa"/>
            <w:vAlign w:val="bottom"/>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Target</w:t>
            </w:r>
          </w:p>
        </w:tc>
      </w:tr>
      <w:tr>
        <w:trPr>
          <w:trHeight w:val="203"/>
        </w:trPr>
        <w:tc>
          <w:tcPr>
            <w:tcW w:w="192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Officer</w:t>
            </w:r>
          </w:p>
        </w:tc>
        <w:tc>
          <w:tcPr>
            <w:tcW w:w="1280" w:type="dxa"/>
            <w:vAlign w:val="bottom"/>
            <w:tcBorders>
              <w:bottom w:val="single" w:sz="8" w:color="auto"/>
            </w:tcBorders>
            <w:shd w:val="clear" w:color="auto" w:fill="F3F3F4"/>
          </w:tcPr>
          <w:p>
            <w:pPr>
              <w:jc w:val="right"/>
              <w:ind w:right="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F3F3F4"/>
          </w:tcPr>
          <w:p>
            <w:pPr>
              <w:jc w:val="right"/>
              <w:ind w:right="13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F3F3F4"/>
          </w:tcPr>
          <w:p>
            <w:pPr>
              <w:jc w:val="right"/>
              <w:ind w:right="1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F3F3F4"/>
          </w:tcPr>
          <w:p>
            <w:pPr>
              <w:jc w:val="right"/>
              <w:ind w:right="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F3F3F4"/>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83"/>
        </w:trPr>
        <w:tc>
          <w:tcPr>
            <w:tcW w:w="19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John J. Christmann IV</w:t>
            </w:r>
          </w:p>
        </w:tc>
        <w:tc>
          <w:tcPr>
            <w:tcW w:w="1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140</w:t>
            </w:r>
          </w:p>
        </w:tc>
        <w:tc>
          <w:tcPr>
            <w:tcW w:w="13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1,820,000</w:t>
            </w:r>
          </w:p>
        </w:tc>
        <w:tc>
          <w:tcPr>
            <w:tcW w:w="14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189.8</w:t>
            </w:r>
          </w:p>
        </w:tc>
        <w:tc>
          <w:tcPr>
            <w:tcW w:w="13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100.0</w:t>
            </w:r>
          </w:p>
        </w:tc>
        <w:tc>
          <w:tcPr>
            <w:tcW w:w="128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3,454,360</w:t>
            </w: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189.8</w:t>
            </w:r>
          </w:p>
        </w:tc>
      </w:tr>
      <w:tr>
        <w:trPr>
          <w:trHeight w:val="183"/>
        </w:trPr>
        <w:tc>
          <w:tcPr>
            <w:tcW w:w="19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Stephen J. Riney</w:t>
            </w:r>
          </w:p>
        </w:tc>
        <w:tc>
          <w:tcPr>
            <w:tcW w:w="1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120</w:t>
            </w:r>
          </w:p>
        </w:tc>
        <w:tc>
          <w:tcPr>
            <w:tcW w:w="13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1,080,000</w:t>
            </w:r>
          </w:p>
        </w:tc>
        <w:tc>
          <w:tcPr>
            <w:tcW w:w="14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189.8</w:t>
            </w:r>
          </w:p>
        </w:tc>
        <w:tc>
          <w:tcPr>
            <w:tcW w:w="13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105.4</w:t>
            </w:r>
          </w:p>
        </w:tc>
        <w:tc>
          <w:tcPr>
            <w:tcW w:w="128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2,160,000</w:t>
            </w: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200.0</w:t>
            </w:r>
          </w:p>
        </w:tc>
      </w:tr>
      <w:tr>
        <w:trPr>
          <w:trHeight w:val="183"/>
        </w:trPr>
        <w:tc>
          <w:tcPr>
            <w:tcW w:w="19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Ben C. Rodgers</w:t>
            </w:r>
            <w:r>
              <w:rPr>
                <w:rFonts w:ascii="Arial" w:cs="Arial" w:eastAsia="Arial" w:hAnsi="Arial"/>
                <w:sz w:val="21"/>
                <w:szCs w:val="21"/>
                <w:color w:val="auto"/>
                <w:vertAlign w:val="superscript"/>
              </w:rPr>
              <w:t>(1)</w:t>
            </w:r>
          </w:p>
        </w:tc>
        <w:tc>
          <w:tcPr>
            <w:tcW w:w="1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100</w:t>
            </w:r>
          </w:p>
        </w:tc>
        <w:tc>
          <w:tcPr>
            <w:tcW w:w="13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625,000</w:t>
            </w:r>
          </w:p>
        </w:tc>
        <w:tc>
          <w:tcPr>
            <w:tcW w:w="14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189.8</w:t>
            </w:r>
          </w:p>
        </w:tc>
        <w:tc>
          <w:tcPr>
            <w:tcW w:w="13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105.4</w:t>
            </w:r>
          </w:p>
        </w:tc>
        <w:tc>
          <w:tcPr>
            <w:tcW w:w="128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1,056,341</w:t>
            </w: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200.0</w:t>
            </w:r>
          </w:p>
        </w:tc>
      </w:tr>
      <w:tr>
        <w:trPr>
          <w:trHeight w:val="183"/>
        </w:trPr>
        <w:tc>
          <w:tcPr>
            <w:tcW w:w="19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Tracey K. Henderson</w:t>
            </w:r>
          </w:p>
        </w:tc>
        <w:tc>
          <w:tcPr>
            <w:tcW w:w="1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100</w:t>
            </w:r>
          </w:p>
        </w:tc>
        <w:tc>
          <w:tcPr>
            <w:tcW w:w="13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625,000</w:t>
            </w:r>
          </w:p>
        </w:tc>
        <w:tc>
          <w:tcPr>
            <w:tcW w:w="14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189.8</w:t>
            </w:r>
          </w:p>
        </w:tc>
        <w:tc>
          <w:tcPr>
            <w:tcW w:w="13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100.0</w:t>
            </w:r>
          </w:p>
        </w:tc>
        <w:tc>
          <w:tcPr>
            <w:tcW w:w="128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1,186,250</w:t>
            </w: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189.8</w:t>
            </w:r>
          </w:p>
        </w:tc>
      </w:tr>
      <w:tr>
        <w:trPr>
          <w:trHeight w:val="183"/>
        </w:trPr>
        <w:tc>
          <w:tcPr>
            <w:tcW w:w="19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Kimberly O. Warnica</w:t>
            </w:r>
            <w:r>
              <w:rPr>
                <w:rFonts w:ascii="Arial" w:cs="Arial" w:eastAsia="Arial" w:hAnsi="Arial"/>
                <w:sz w:val="21"/>
                <w:szCs w:val="21"/>
                <w:color w:val="auto"/>
                <w:vertAlign w:val="superscript"/>
              </w:rPr>
              <w:t>(2)</w:t>
            </w:r>
          </w:p>
        </w:tc>
        <w:tc>
          <w:tcPr>
            <w:tcW w:w="1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100</w:t>
            </w:r>
          </w:p>
        </w:tc>
        <w:tc>
          <w:tcPr>
            <w:tcW w:w="13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625,000</w:t>
            </w:r>
          </w:p>
        </w:tc>
        <w:tc>
          <w:tcPr>
            <w:tcW w:w="14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189.8</w:t>
            </w:r>
          </w:p>
        </w:tc>
        <w:tc>
          <w:tcPr>
            <w:tcW w:w="13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100.0</w:t>
            </w:r>
          </w:p>
        </w:tc>
        <w:tc>
          <w:tcPr>
            <w:tcW w:w="128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1,151,818</w:t>
            </w: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189.8</w:t>
            </w:r>
          </w:p>
        </w:tc>
      </w:tr>
      <w:tr>
        <w:trPr>
          <w:trHeight w:val="183"/>
        </w:trPr>
        <w:tc>
          <w:tcPr>
            <w:tcW w:w="19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D. Clay Bretches</w:t>
            </w:r>
            <w:r>
              <w:rPr>
                <w:rFonts w:ascii="Arial" w:cs="Arial" w:eastAsia="Arial" w:hAnsi="Arial"/>
                <w:sz w:val="21"/>
                <w:szCs w:val="21"/>
                <w:color w:val="auto"/>
                <w:vertAlign w:val="superscript"/>
              </w:rPr>
              <w:t>(3)</w:t>
            </w:r>
          </w:p>
        </w:tc>
        <w:tc>
          <w:tcPr>
            <w:tcW w:w="1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100</w:t>
            </w:r>
          </w:p>
        </w:tc>
        <w:tc>
          <w:tcPr>
            <w:tcW w:w="13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675,000</w:t>
            </w:r>
          </w:p>
        </w:tc>
        <w:tc>
          <w:tcPr>
            <w:tcW w:w="14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N/A</w:t>
            </w:r>
          </w:p>
        </w:tc>
        <w:tc>
          <w:tcPr>
            <w:tcW w:w="13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N/A</w:t>
            </w:r>
          </w:p>
        </w:tc>
        <w:tc>
          <w:tcPr>
            <w:tcW w:w="128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286,875</w:t>
            </w:r>
          </w:p>
        </w:tc>
        <w:tc>
          <w:tcPr>
            <w:tcW w:w="11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42.5</w:t>
            </w:r>
          </w:p>
        </w:tc>
      </w:tr>
    </w:tbl>
    <w:p>
      <w:pPr>
        <w:spacing w:after="0" w:line="45" w:lineRule="exact"/>
        <w:rPr>
          <w:sz w:val="20"/>
          <w:szCs w:val="20"/>
          <w:color w:val="auto"/>
        </w:rPr>
      </w:pPr>
    </w:p>
    <w:p>
      <w:pPr>
        <w:ind w:left="240" w:right="120" w:hanging="236"/>
        <w:spacing w:after="0" w:line="281" w:lineRule="auto"/>
        <w:tabs>
          <w:tab w:leader="none" w:pos="327" w:val="left"/>
        </w:tabs>
        <w:numPr>
          <w:ilvl w:val="0"/>
          <w:numId w:val="98"/>
        </w:numPr>
        <w:rPr>
          <w:rFonts w:ascii="Arial" w:cs="Arial" w:eastAsia="Arial" w:hAnsi="Arial"/>
          <w:sz w:val="14"/>
          <w:szCs w:val="14"/>
          <w:color w:val="595959"/>
        </w:rPr>
      </w:pPr>
      <w:r>
        <w:rPr>
          <w:rFonts w:ascii="Arial" w:cs="Arial" w:eastAsia="Arial" w:hAnsi="Arial"/>
          <w:sz w:val="14"/>
          <w:szCs w:val="14"/>
          <w:color w:val="595959"/>
        </w:rPr>
        <w:t xml:space="preserve">Mr. Rodgers’s </w:t>
      </w:r>
      <w:r>
        <w:rPr>
          <w:rFonts w:ascii="Arial" w:cs="Arial" w:eastAsia="Arial" w:hAnsi="Arial"/>
          <w:sz w:val="14"/>
          <w:szCs w:val="14"/>
          <w:i w:val="1"/>
          <w:iCs w:val="1"/>
          <w:color w:val="595959"/>
        </w:rPr>
        <w:t>2025 Actual</w:t>
      </w:r>
      <w:r>
        <w:rPr>
          <w:rFonts w:ascii="Arial" w:cs="Arial" w:eastAsia="Arial" w:hAnsi="Arial"/>
          <w:sz w:val="14"/>
          <w:szCs w:val="14"/>
          <w:color w:val="595959"/>
        </w:rPr>
        <w:t xml:space="preserve"> payout was prorated as a result of his mid-year promotion to EVP and CFO. The </w:t>
      </w:r>
      <w:r>
        <w:rPr>
          <w:rFonts w:ascii="Arial" w:cs="Arial" w:eastAsia="Arial" w:hAnsi="Arial"/>
          <w:sz w:val="14"/>
          <w:szCs w:val="14"/>
          <w:i w:val="1"/>
          <w:iCs w:val="1"/>
          <w:color w:val="595959"/>
        </w:rPr>
        <w:t>2025 Target</w:t>
      </w:r>
      <w:r>
        <w:rPr>
          <w:rFonts w:ascii="Arial" w:cs="Arial" w:eastAsia="Arial" w:hAnsi="Arial"/>
          <w:sz w:val="14"/>
          <w:szCs w:val="14"/>
          <w:color w:val="595959"/>
        </w:rPr>
        <w:t xml:space="preserve"> and </w:t>
      </w:r>
      <w:r>
        <w:rPr>
          <w:rFonts w:ascii="Arial" w:cs="Arial" w:eastAsia="Arial" w:hAnsi="Arial"/>
          <w:sz w:val="14"/>
          <w:szCs w:val="14"/>
          <w:i w:val="1"/>
          <w:iCs w:val="1"/>
          <w:color w:val="595959"/>
        </w:rPr>
        <w:t>Actual as Percent of</w:t>
      </w:r>
      <w:r>
        <w:rPr>
          <w:rFonts w:ascii="Arial" w:cs="Arial" w:eastAsia="Arial" w:hAnsi="Arial"/>
          <w:sz w:val="14"/>
          <w:szCs w:val="14"/>
          <w:color w:val="595959"/>
        </w:rPr>
        <w:t xml:space="preserve"> </w:t>
      </w:r>
      <w:r>
        <w:rPr>
          <w:rFonts w:ascii="Arial" w:cs="Arial" w:eastAsia="Arial" w:hAnsi="Arial"/>
          <w:sz w:val="14"/>
          <w:szCs w:val="14"/>
          <w:i w:val="1"/>
          <w:iCs w:val="1"/>
          <w:color w:val="595959"/>
        </w:rPr>
        <w:t xml:space="preserve">Target </w:t>
      </w:r>
      <w:r>
        <w:rPr>
          <w:rFonts w:ascii="Arial" w:cs="Arial" w:eastAsia="Arial" w:hAnsi="Arial"/>
          <w:sz w:val="14"/>
          <w:szCs w:val="14"/>
          <w:color w:val="595959"/>
        </w:rPr>
        <w:t>amounts are shown without proration, to provide annualized amounts comparable to the other NEOs.</w:t>
      </w:r>
    </w:p>
    <w:p>
      <w:pPr>
        <w:spacing w:after="0" w:line="1" w:lineRule="exact"/>
        <w:rPr>
          <w:rFonts w:ascii="Arial" w:cs="Arial" w:eastAsia="Arial" w:hAnsi="Arial"/>
          <w:sz w:val="14"/>
          <w:szCs w:val="14"/>
          <w:color w:val="595959"/>
        </w:rPr>
      </w:pPr>
    </w:p>
    <w:p>
      <w:pPr>
        <w:ind w:left="240" w:right="40" w:hanging="236"/>
        <w:spacing w:after="0" w:line="281" w:lineRule="auto"/>
        <w:tabs>
          <w:tab w:leader="none" w:pos="327" w:val="left"/>
        </w:tabs>
        <w:numPr>
          <w:ilvl w:val="0"/>
          <w:numId w:val="98"/>
        </w:numPr>
        <w:rPr>
          <w:rFonts w:ascii="Arial" w:cs="Arial" w:eastAsia="Arial" w:hAnsi="Arial"/>
          <w:sz w:val="14"/>
          <w:szCs w:val="14"/>
          <w:color w:val="595959"/>
        </w:rPr>
      </w:pPr>
      <w:r>
        <w:rPr>
          <w:rFonts w:ascii="Arial" w:cs="Arial" w:eastAsia="Arial" w:hAnsi="Arial"/>
          <w:sz w:val="14"/>
          <w:szCs w:val="14"/>
          <w:color w:val="595959"/>
        </w:rPr>
        <w:t xml:space="preserve">Ms. Warnica’s </w:t>
      </w:r>
      <w:r>
        <w:rPr>
          <w:rFonts w:ascii="Arial" w:cs="Arial" w:eastAsia="Arial" w:hAnsi="Arial"/>
          <w:sz w:val="14"/>
          <w:szCs w:val="14"/>
          <w:i w:val="1"/>
          <w:iCs w:val="1"/>
          <w:color w:val="595959"/>
        </w:rPr>
        <w:t>2025 Actual</w:t>
      </w:r>
      <w:r>
        <w:rPr>
          <w:rFonts w:ascii="Arial" w:cs="Arial" w:eastAsia="Arial" w:hAnsi="Arial"/>
          <w:sz w:val="14"/>
          <w:szCs w:val="14"/>
          <w:color w:val="595959"/>
        </w:rPr>
        <w:t xml:space="preserve"> payout was prorated as a result of joining the Company on January 13, 2025. The </w:t>
      </w:r>
      <w:r>
        <w:rPr>
          <w:rFonts w:ascii="Arial" w:cs="Arial" w:eastAsia="Arial" w:hAnsi="Arial"/>
          <w:sz w:val="14"/>
          <w:szCs w:val="14"/>
          <w:i w:val="1"/>
          <w:iCs w:val="1"/>
          <w:color w:val="595959"/>
        </w:rPr>
        <w:t>2025 Target</w:t>
      </w:r>
      <w:r>
        <w:rPr>
          <w:rFonts w:ascii="Arial" w:cs="Arial" w:eastAsia="Arial" w:hAnsi="Arial"/>
          <w:sz w:val="14"/>
          <w:szCs w:val="14"/>
          <w:color w:val="595959"/>
        </w:rPr>
        <w:t xml:space="preserve"> and </w:t>
      </w:r>
      <w:r>
        <w:rPr>
          <w:rFonts w:ascii="Arial" w:cs="Arial" w:eastAsia="Arial" w:hAnsi="Arial"/>
          <w:sz w:val="14"/>
          <w:szCs w:val="14"/>
          <w:i w:val="1"/>
          <w:iCs w:val="1"/>
          <w:color w:val="595959"/>
        </w:rPr>
        <w:t>Actual as Percent of</w:t>
      </w:r>
      <w:r>
        <w:rPr>
          <w:rFonts w:ascii="Arial" w:cs="Arial" w:eastAsia="Arial" w:hAnsi="Arial"/>
          <w:sz w:val="14"/>
          <w:szCs w:val="14"/>
          <w:color w:val="595959"/>
        </w:rPr>
        <w:t xml:space="preserve"> </w:t>
      </w:r>
      <w:r>
        <w:rPr>
          <w:rFonts w:ascii="Arial" w:cs="Arial" w:eastAsia="Arial" w:hAnsi="Arial"/>
          <w:sz w:val="14"/>
          <w:szCs w:val="14"/>
          <w:i w:val="1"/>
          <w:iCs w:val="1"/>
          <w:color w:val="595959"/>
        </w:rPr>
        <w:t xml:space="preserve">Target </w:t>
      </w:r>
      <w:r>
        <w:rPr>
          <w:rFonts w:ascii="Arial" w:cs="Arial" w:eastAsia="Arial" w:hAnsi="Arial"/>
          <w:sz w:val="14"/>
          <w:szCs w:val="14"/>
          <w:color w:val="595959"/>
        </w:rPr>
        <w:t>amounts are shown without proration, to provide annualized amounts comparable to the other NEOs.</w:t>
      </w:r>
    </w:p>
    <w:p>
      <w:pPr>
        <w:spacing w:after="0" w:line="1" w:lineRule="exact"/>
        <w:rPr>
          <w:rFonts w:ascii="Arial" w:cs="Arial" w:eastAsia="Arial" w:hAnsi="Arial"/>
          <w:sz w:val="14"/>
          <w:szCs w:val="14"/>
          <w:color w:val="595959"/>
        </w:rPr>
      </w:pPr>
    </w:p>
    <w:p>
      <w:pPr>
        <w:jc w:val="both"/>
        <w:ind w:left="240" w:right="160" w:hanging="236"/>
        <w:spacing w:after="0" w:line="263" w:lineRule="auto"/>
        <w:tabs>
          <w:tab w:leader="none" w:pos="327" w:val="left"/>
        </w:tabs>
        <w:numPr>
          <w:ilvl w:val="0"/>
          <w:numId w:val="98"/>
        </w:numPr>
        <w:rPr>
          <w:rFonts w:ascii="Arial" w:cs="Arial" w:eastAsia="Arial" w:hAnsi="Arial"/>
          <w:sz w:val="14"/>
          <w:szCs w:val="14"/>
          <w:color w:val="595959"/>
        </w:rPr>
      </w:pPr>
      <w:r>
        <w:rPr>
          <w:rFonts w:ascii="Arial" w:cs="Arial" w:eastAsia="Arial" w:hAnsi="Arial"/>
          <w:sz w:val="14"/>
          <w:szCs w:val="14"/>
          <w:color w:val="595959"/>
        </w:rPr>
        <w:t xml:space="preserve">Mr. Bretches ceased employment with the Company effective June 4, 2025. Pursuant to the Executive Termination Policy (ETP), as described in footnote (2) of the </w:t>
      </w:r>
      <w:r>
        <w:rPr>
          <w:rFonts w:ascii="Arial" w:cs="Arial" w:eastAsia="Arial" w:hAnsi="Arial"/>
          <w:sz w:val="14"/>
          <w:szCs w:val="14"/>
          <w:i w:val="1"/>
          <w:iCs w:val="1"/>
          <w:color w:val="595959"/>
        </w:rPr>
        <w:t>Potential Payments upon Termination or Change in Control</w:t>
      </w:r>
      <w:r>
        <w:rPr>
          <w:rFonts w:ascii="Arial" w:cs="Arial" w:eastAsia="Arial" w:hAnsi="Arial"/>
          <w:sz w:val="14"/>
          <w:szCs w:val="14"/>
          <w:color w:val="595959"/>
        </w:rPr>
        <w:t xml:space="preserve"> table, he received prorated annual incentive awards based on 100% achievement of his 2025 Target amount.</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Incentive Compensation</w:t>
      </w:r>
    </w:p>
    <w:p>
      <w:pPr>
        <w:spacing w:after="0" w:line="112"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Our long-term incentive compensation plan is intended to align the long-term interests of our NEOs and our shareholders and encourage the achievement of the long-term goals of the Company. Long-term equity incentives are also designed to motivate and retain top talent. To accomplish these objectives, the MD&amp;C Committee considers a mix of equity vehicles when granting long-term incentives. To better align executive decision-making with shareholder interests and strengthen the link between pay and stock performance, the MD&amp;C Committee refined the 2025 equity mix by adding stock options. Unlike performance awards, which focus on specific financial goals, stock options create value only with stock price growth, increasing at-risk compensation and promoting long-term value creation. This change also reduced the proportion of time-based RSUs, placing greater emphasis on performance-driven rewards,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56515</wp:posOffset>
            </wp:positionV>
            <wp:extent cx="6184900" cy="4584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84900" cy="45847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00" w:type="dxa"/>
            <w:vAlign w:val="bottom"/>
            <w:shd w:val="clear" w:color="auto" w:fill="D9AB26"/>
          </w:tcPr>
          <w:p>
            <w:pPr>
              <w:jc w:val="center"/>
              <w:spacing w:after="0"/>
              <w:rPr>
                <w:sz w:val="20"/>
                <w:szCs w:val="20"/>
                <w:color w:val="auto"/>
              </w:rPr>
            </w:pPr>
            <w:r>
              <w:rPr>
                <w:rFonts w:ascii="Arial" w:cs="Arial" w:eastAsia="Arial" w:hAnsi="Arial"/>
                <w:sz w:val="16"/>
                <w:szCs w:val="16"/>
                <w:b w:val="1"/>
                <w:bCs w:val="1"/>
                <w:color w:val="FFFFFF"/>
              </w:rPr>
              <w:t>Performance Awards</w:t>
            </w:r>
          </w:p>
        </w:tc>
        <w:tc>
          <w:tcPr>
            <w:tcW w:w="1960" w:type="dxa"/>
            <w:vAlign w:val="bottom"/>
            <w:shd w:val="clear" w:color="auto" w:fill="07877B"/>
          </w:tcPr>
          <w:p>
            <w:pPr>
              <w:jc w:val="center"/>
              <w:spacing w:after="0"/>
              <w:rPr>
                <w:sz w:val="20"/>
                <w:szCs w:val="20"/>
                <w:color w:val="auto"/>
              </w:rPr>
            </w:pPr>
            <w:r>
              <w:rPr>
                <w:rFonts w:ascii="Arial" w:cs="Arial" w:eastAsia="Arial" w:hAnsi="Arial"/>
                <w:sz w:val="16"/>
                <w:szCs w:val="16"/>
                <w:b w:val="1"/>
                <w:bCs w:val="1"/>
                <w:color w:val="FFFFFF"/>
              </w:rPr>
              <w:t>Stock Options</w:t>
            </w:r>
          </w:p>
        </w:tc>
        <w:tc>
          <w:tcPr>
            <w:tcW w:w="1960" w:type="dxa"/>
            <w:vAlign w:val="bottom"/>
            <w:shd w:val="clear" w:color="auto" w:fill="00506F"/>
          </w:tcPr>
          <w:p>
            <w:pPr>
              <w:jc w:val="center"/>
              <w:spacing w:after="0"/>
              <w:rPr>
                <w:sz w:val="20"/>
                <w:szCs w:val="20"/>
                <w:color w:val="auto"/>
              </w:rPr>
            </w:pPr>
            <w:r>
              <w:rPr>
                <w:rFonts w:ascii="Arial" w:cs="Arial" w:eastAsia="Arial" w:hAnsi="Arial"/>
                <w:sz w:val="16"/>
                <w:szCs w:val="16"/>
                <w:b w:val="1"/>
                <w:bCs w:val="1"/>
                <w:color w:val="FFFFFF"/>
              </w:rPr>
              <w:t>RSUs</w:t>
            </w:r>
          </w:p>
        </w:tc>
      </w:tr>
      <w:tr>
        <w:trPr>
          <w:trHeight w:val="203"/>
        </w:trPr>
        <w:tc>
          <w:tcPr>
            <w:tcW w:w="5800" w:type="dxa"/>
            <w:vAlign w:val="bottom"/>
            <w:shd w:val="clear" w:color="auto" w:fill="D9AB26"/>
          </w:tcPr>
          <w:p>
            <w:pPr>
              <w:jc w:val="right"/>
              <w:ind w:right="2639"/>
              <w:spacing w:after="0"/>
              <w:rPr>
                <w:sz w:val="20"/>
                <w:szCs w:val="20"/>
                <w:color w:val="auto"/>
              </w:rPr>
            </w:pPr>
            <w:r>
              <w:rPr>
                <w:rFonts w:ascii="Arial" w:cs="Arial" w:eastAsia="Arial" w:hAnsi="Arial"/>
                <w:sz w:val="16"/>
                <w:szCs w:val="16"/>
                <w:color w:val="FFFFFF"/>
              </w:rPr>
              <w:t>60%</w:t>
            </w:r>
          </w:p>
        </w:tc>
        <w:tc>
          <w:tcPr>
            <w:tcW w:w="1960" w:type="dxa"/>
            <w:vAlign w:val="bottom"/>
            <w:shd w:val="clear" w:color="auto" w:fill="07877B"/>
          </w:tcPr>
          <w:p>
            <w:pPr>
              <w:jc w:val="right"/>
              <w:ind w:right="739"/>
              <w:spacing w:after="0"/>
              <w:rPr>
                <w:sz w:val="20"/>
                <w:szCs w:val="20"/>
                <w:color w:val="auto"/>
              </w:rPr>
            </w:pPr>
            <w:r>
              <w:rPr>
                <w:rFonts w:ascii="Arial" w:cs="Arial" w:eastAsia="Arial" w:hAnsi="Arial"/>
                <w:sz w:val="16"/>
                <w:szCs w:val="16"/>
                <w:color w:val="FFFFFF"/>
              </w:rPr>
              <w:t>20%</w:t>
            </w:r>
          </w:p>
        </w:tc>
        <w:tc>
          <w:tcPr>
            <w:tcW w:w="1960" w:type="dxa"/>
            <w:vAlign w:val="bottom"/>
            <w:shd w:val="clear" w:color="auto" w:fill="00506F"/>
          </w:tcPr>
          <w:p>
            <w:pPr>
              <w:jc w:val="right"/>
              <w:ind w:right="739"/>
              <w:spacing w:after="0"/>
              <w:rPr>
                <w:sz w:val="20"/>
                <w:szCs w:val="20"/>
                <w:color w:val="auto"/>
              </w:rPr>
            </w:pPr>
            <w:r>
              <w:rPr>
                <w:rFonts w:ascii="Arial" w:cs="Arial" w:eastAsia="Arial" w:hAnsi="Arial"/>
                <w:sz w:val="16"/>
                <w:szCs w:val="16"/>
                <w:color w:val="FFFFFF"/>
              </w:rPr>
              <w:t>20%</w:t>
            </w:r>
          </w:p>
        </w:tc>
      </w:tr>
      <w:tr>
        <w:trPr>
          <w:trHeight w:val="263"/>
        </w:trPr>
        <w:tc>
          <w:tcPr>
            <w:tcW w:w="5800" w:type="dxa"/>
            <w:vAlign w:val="bottom"/>
            <w:shd w:val="clear" w:color="auto" w:fill="F3F3F4"/>
          </w:tcPr>
          <w:p>
            <w:pPr>
              <w:ind w:left="2920"/>
              <w:spacing w:after="0"/>
              <w:rPr>
                <w:sz w:val="20"/>
                <w:szCs w:val="20"/>
                <w:color w:val="auto"/>
              </w:rPr>
            </w:pPr>
            <w:r>
              <w:rPr>
                <w:rFonts w:ascii="Arial" w:cs="Arial" w:eastAsia="Arial" w:hAnsi="Arial"/>
                <w:sz w:val="16"/>
                <w:szCs w:val="16"/>
                <w:b w:val="1"/>
                <w:bCs w:val="1"/>
                <w:i w:val="1"/>
                <w:iCs w:val="1"/>
                <w:color w:val="7F7F7F"/>
              </w:rPr>
              <w:t>80% Performance-Based</w:t>
            </w:r>
          </w:p>
        </w:tc>
        <w:tc>
          <w:tcPr>
            <w:tcW w:w="1960" w:type="dxa"/>
            <w:vAlign w:val="bottom"/>
            <w:shd w:val="clear" w:color="auto" w:fill="F3F3F4"/>
          </w:tcPr>
          <w:p>
            <w:pPr>
              <w:spacing w:after="0"/>
              <w:rPr>
                <w:sz w:val="22"/>
                <w:szCs w:val="22"/>
                <w:color w:val="auto"/>
              </w:rPr>
            </w:pPr>
          </w:p>
        </w:tc>
        <w:tc>
          <w:tcPr>
            <w:tcW w:w="1960" w:type="dxa"/>
            <w:vAlign w:val="bottom"/>
          </w:tcPr>
          <w:p>
            <w:pPr>
              <w:spacing w:after="0"/>
              <w:rPr>
                <w:sz w:val="22"/>
                <w:szCs w:val="22"/>
                <w:color w:val="auto"/>
              </w:rPr>
            </w:pPr>
          </w:p>
        </w:tc>
      </w:tr>
      <w:tr>
        <w:trPr>
          <w:trHeight w:val="48"/>
        </w:trPr>
        <w:tc>
          <w:tcPr>
            <w:tcW w:w="5800" w:type="dxa"/>
            <w:vAlign w:val="bottom"/>
            <w:shd w:val="clear" w:color="auto" w:fill="F3F3F4"/>
          </w:tcPr>
          <w:p>
            <w:pPr>
              <w:spacing w:after="0"/>
              <w:rPr>
                <w:sz w:val="4"/>
                <w:szCs w:val="4"/>
                <w:color w:val="auto"/>
              </w:rPr>
            </w:pPr>
          </w:p>
        </w:tc>
        <w:tc>
          <w:tcPr>
            <w:tcW w:w="1960" w:type="dxa"/>
            <w:vAlign w:val="bottom"/>
            <w:shd w:val="clear" w:color="auto" w:fill="F3F3F4"/>
          </w:tcPr>
          <w:p>
            <w:pPr>
              <w:spacing w:after="0"/>
              <w:rPr>
                <w:sz w:val="4"/>
                <w:szCs w:val="4"/>
                <w:color w:val="auto"/>
              </w:rPr>
            </w:pPr>
          </w:p>
        </w:tc>
        <w:tc>
          <w:tcPr>
            <w:tcW w:w="1960" w:type="dxa"/>
            <w:vAlign w:val="bottom"/>
          </w:tcPr>
          <w:p>
            <w:pPr>
              <w:spacing w:after="0"/>
              <w:rPr>
                <w:sz w:val="4"/>
                <w:szCs w:val="4"/>
                <w:color w:val="auto"/>
              </w:rPr>
            </w:pPr>
          </w:p>
        </w:tc>
      </w:tr>
    </w:tbl>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25" w:right="1099" w:bottom="1440" w:gutter="0" w:footer="0" w:header="0"/>
        </w:sectPr>
      </w:pPr>
    </w:p>
    <w:bookmarkStart w:id="32" w:name="page33"/>
    <w:bookmarkEnd w:id="32"/>
    <w:p>
      <w:pPr>
        <w:ind w:left="660"/>
        <w:spacing w:after="0"/>
        <w:rPr>
          <w:sz w:val="20"/>
          <w:szCs w:val="20"/>
          <w:color w:val="auto"/>
        </w:rPr>
      </w:pPr>
      <w:r>
        <w:rPr>
          <w:rFonts w:ascii="Arial" w:cs="Arial" w:eastAsia="Arial" w:hAnsi="Arial"/>
          <w:sz w:val="20"/>
          <w:szCs w:val="20"/>
          <w:b w:val="1"/>
          <w:bCs w:val="1"/>
          <w:i w:val="1"/>
          <w:iCs w:val="1"/>
          <w:color w:val="auto"/>
        </w:rPr>
        <w:t>2025 Long-Term Incentive Target Award Opportunity</w:t>
      </w:r>
    </w:p>
    <w:p>
      <w:pPr>
        <w:spacing w:after="0" w:line="102" w:lineRule="exact"/>
        <w:rPr>
          <w:sz w:val="20"/>
          <w:szCs w:val="20"/>
          <w:color w:val="auto"/>
        </w:rPr>
      </w:pPr>
    </w:p>
    <w:p>
      <w:pPr>
        <w:jc w:val="both"/>
        <w:ind w:left="660" w:right="840"/>
        <w:spacing w:after="0" w:line="266" w:lineRule="auto"/>
        <w:rPr>
          <w:sz w:val="20"/>
          <w:szCs w:val="20"/>
          <w:color w:val="auto"/>
        </w:rPr>
      </w:pPr>
      <w:r>
        <w:rPr>
          <w:rFonts w:ascii="Arial" w:cs="Arial" w:eastAsia="Arial" w:hAnsi="Arial"/>
          <w:sz w:val="16"/>
          <w:szCs w:val="16"/>
          <w:color w:val="auto"/>
        </w:rPr>
        <w:t>The MD&amp;C Committee determines long-term incentive award amounts based upon a number of factors, including competitive market data, total overall compensation provided to each NEO, Company performance during the fiscal year preceding the year of grant, and historic grants. All NEO target long-term incentive award opportunities remained unchanged from 2024.</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shows the target annual long-term incentive award values granted for fiscal year 2025 for each of the NEOs:</w:t>
      </w:r>
    </w:p>
    <w:p>
      <w:pPr>
        <w:spacing w:after="0" w:line="107"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3580" w:type="dxa"/>
            <w:vAlign w:val="bottom"/>
            <w:tcBorders>
              <w:top w:val="single" w:sz="8" w:color="auto"/>
            </w:tcBorders>
            <w:shd w:val="clear" w:color="auto" w:fill="F3F3F4"/>
          </w:tcPr>
          <w:p>
            <w:pPr>
              <w:spacing w:after="0"/>
              <w:rPr>
                <w:sz w:val="16"/>
                <w:szCs w:val="16"/>
                <w:color w:val="auto"/>
              </w:rPr>
            </w:pPr>
          </w:p>
        </w:tc>
        <w:tc>
          <w:tcPr>
            <w:tcW w:w="2800" w:type="dxa"/>
            <w:vAlign w:val="bottom"/>
            <w:tcBorders>
              <w:top w:val="single" w:sz="8" w:color="auto"/>
            </w:tcBorders>
            <w:shd w:val="clear" w:color="auto" w:fill="F3F3F4"/>
          </w:tcPr>
          <w:p>
            <w:pPr>
              <w:jc w:val="right"/>
              <w:ind w:right="139"/>
              <w:spacing w:after="0"/>
              <w:rPr>
                <w:sz w:val="20"/>
                <w:szCs w:val="20"/>
                <w:color w:val="auto"/>
              </w:rPr>
            </w:pPr>
            <w:r>
              <w:rPr>
                <w:rFonts w:ascii="Arial" w:cs="Arial" w:eastAsia="Arial" w:hAnsi="Arial"/>
                <w:sz w:val="16"/>
                <w:szCs w:val="16"/>
                <w:b w:val="1"/>
                <w:bCs w:val="1"/>
                <w:color w:val="auto"/>
              </w:rPr>
              <w:t>Performance</w:t>
            </w:r>
          </w:p>
        </w:tc>
        <w:tc>
          <w:tcPr>
            <w:tcW w:w="1040" w:type="dxa"/>
            <w:vAlign w:val="bottom"/>
            <w:tcBorders>
              <w:top w:val="single" w:sz="8" w:color="auto"/>
            </w:tcBorders>
            <w:shd w:val="clear" w:color="auto" w:fill="F3F3F4"/>
          </w:tcPr>
          <w:p>
            <w:pPr>
              <w:jc w:val="right"/>
              <w:ind w:right="79"/>
              <w:spacing w:after="0"/>
              <w:rPr>
                <w:sz w:val="20"/>
                <w:szCs w:val="20"/>
                <w:color w:val="auto"/>
              </w:rPr>
            </w:pPr>
            <w:r>
              <w:rPr>
                <w:rFonts w:ascii="Arial" w:cs="Arial" w:eastAsia="Arial" w:hAnsi="Arial"/>
                <w:sz w:val="16"/>
                <w:szCs w:val="16"/>
                <w:b w:val="1"/>
                <w:bCs w:val="1"/>
                <w:color w:val="auto"/>
              </w:rPr>
              <w:t>Stock</w:t>
            </w:r>
          </w:p>
        </w:tc>
        <w:tc>
          <w:tcPr>
            <w:tcW w:w="1120" w:type="dxa"/>
            <w:vAlign w:val="bottom"/>
            <w:tcBorders>
              <w:top w:val="single" w:sz="8" w:color="auto"/>
            </w:tcBorders>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Restricted</w:t>
            </w:r>
          </w:p>
        </w:tc>
        <w:tc>
          <w:tcPr>
            <w:tcW w:w="1180" w:type="dxa"/>
            <w:vAlign w:val="bottom"/>
            <w:tcBorders>
              <w:top w:val="single" w:sz="8" w:color="auto"/>
            </w:tcBorders>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Total Target</w:t>
            </w:r>
          </w:p>
        </w:tc>
      </w:tr>
      <w:tr>
        <w:trPr>
          <w:trHeight w:val="189"/>
        </w:trPr>
        <w:tc>
          <w:tcPr>
            <w:tcW w:w="3580" w:type="dxa"/>
            <w:vAlign w:val="bottom"/>
            <w:shd w:val="clear" w:color="auto" w:fill="F3F3F4"/>
          </w:tcPr>
          <w:p>
            <w:pPr>
              <w:spacing w:after="0"/>
              <w:rPr>
                <w:sz w:val="16"/>
                <w:szCs w:val="16"/>
                <w:color w:val="auto"/>
              </w:rPr>
            </w:pPr>
          </w:p>
        </w:tc>
        <w:tc>
          <w:tcPr>
            <w:tcW w:w="2800" w:type="dxa"/>
            <w:vAlign w:val="bottom"/>
            <w:shd w:val="clear" w:color="auto" w:fill="F3F3F4"/>
          </w:tcPr>
          <w:p>
            <w:pPr>
              <w:jc w:val="right"/>
              <w:ind w:right="139"/>
              <w:spacing w:after="0"/>
              <w:rPr>
                <w:sz w:val="20"/>
                <w:szCs w:val="20"/>
                <w:color w:val="auto"/>
              </w:rPr>
            </w:pPr>
            <w:r>
              <w:rPr>
                <w:rFonts w:ascii="Arial" w:cs="Arial" w:eastAsia="Arial" w:hAnsi="Arial"/>
                <w:sz w:val="16"/>
                <w:szCs w:val="16"/>
                <w:b w:val="1"/>
                <w:bCs w:val="1"/>
                <w:color w:val="auto"/>
              </w:rPr>
              <w:t>Awards</w:t>
            </w:r>
          </w:p>
        </w:tc>
        <w:tc>
          <w:tcPr>
            <w:tcW w:w="1040" w:type="dxa"/>
            <w:vAlign w:val="bottom"/>
            <w:shd w:val="clear" w:color="auto" w:fill="F3F3F4"/>
          </w:tcPr>
          <w:p>
            <w:pPr>
              <w:jc w:val="right"/>
              <w:ind w:right="39"/>
              <w:spacing w:after="0"/>
              <w:rPr>
                <w:sz w:val="20"/>
                <w:szCs w:val="20"/>
                <w:color w:val="auto"/>
              </w:rPr>
            </w:pPr>
            <w:r>
              <w:rPr>
                <w:rFonts w:ascii="Arial" w:cs="Arial" w:eastAsia="Arial" w:hAnsi="Arial"/>
                <w:sz w:val="16"/>
                <w:szCs w:val="16"/>
                <w:b w:val="1"/>
                <w:bCs w:val="1"/>
                <w:color w:val="auto"/>
              </w:rPr>
              <w:t>Options</w:t>
            </w:r>
          </w:p>
        </w:tc>
        <w:tc>
          <w:tcPr>
            <w:tcW w:w="1120" w:type="dxa"/>
            <w:vAlign w:val="bottom"/>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Stock Units</w:t>
            </w:r>
          </w:p>
        </w:tc>
        <w:tc>
          <w:tcPr>
            <w:tcW w:w="1180" w:type="dxa"/>
            <w:vAlign w:val="bottom"/>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Award Value</w:t>
            </w:r>
          </w:p>
        </w:tc>
      </w:tr>
      <w:tr>
        <w:trPr>
          <w:trHeight w:val="203"/>
        </w:trPr>
        <w:tc>
          <w:tcPr>
            <w:tcW w:w="3580" w:type="dxa"/>
            <w:vAlign w:val="bottom"/>
            <w:tcBorders>
              <w:bottom w:val="single" w:sz="8" w:color="auto"/>
            </w:tcBorders>
            <w:shd w:val="clear" w:color="auto" w:fill="F3F3F4"/>
          </w:tcPr>
          <w:p>
            <w:pPr>
              <w:ind w:left="100"/>
              <w:spacing w:after="0"/>
              <w:rPr>
                <w:sz w:val="20"/>
                <w:szCs w:val="20"/>
                <w:color w:val="auto"/>
              </w:rPr>
            </w:pPr>
            <w:r>
              <w:rPr>
                <w:rFonts w:ascii="Arial" w:cs="Arial" w:eastAsia="Arial" w:hAnsi="Arial"/>
                <w:sz w:val="16"/>
                <w:szCs w:val="16"/>
                <w:b w:val="1"/>
                <w:bCs w:val="1"/>
                <w:color w:val="auto"/>
              </w:rPr>
              <w:t>Named Executive Officer</w:t>
            </w:r>
          </w:p>
        </w:tc>
        <w:tc>
          <w:tcPr>
            <w:tcW w:w="2800" w:type="dxa"/>
            <w:vAlign w:val="bottom"/>
            <w:tcBorders>
              <w:bottom w:val="single" w:sz="8" w:color="auto"/>
            </w:tcBorders>
            <w:shd w:val="clear" w:color="auto" w:fill="F3F3F4"/>
          </w:tcPr>
          <w:p>
            <w:pPr>
              <w:jc w:val="right"/>
              <w:ind w:right="1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F3F3F4"/>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83"/>
        </w:trPr>
        <w:tc>
          <w:tcPr>
            <w:tcW w:w="35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John J. Christmann IV</w:t>
            </w:r>
          </w:p>
        </w:tc>
        <w:tc>
          <w:tcPr>
            <w:tcW w:w="28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5,694,000</w:t>
            </w: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1,898,000</w:t>
            </w:r>
          </w:p>
        </w:tc>
        <w:tc>
          <w:tcPr>
            <w:tcW w:w="11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1,898,000</w:t>
            </w:r>
          </w:p>
        </w:tc>
        <w:tc>
          <w:tcPr>
            <w:tcW w:w="11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9,490,000</w:t>
            </w:r>
          </w:p>
        </w:tc>
      </w:tr>
      <w:tr>
        <w:trPr>
          <w:trHeight w:val="183"/>
        </w:trPr>
        <w:tc>
          <w:tcPr>
            <w:tcW w:w="35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Stephen J. Riney</w:t>
            </w:r>
          </w:p>
        </w:tc>
        <w:tc>
          <w:tcPr>
            <w:tcW w:w="28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3,240,000</w:t>
            </w: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1,080,000</w:t>
            </w:r>
          </w:p>
        </w:tc>
        <w:tc>
          <w:tcPr>
            <w:tcW w:w="11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1,080,000</w:t>
            </w:r>
          </w:p>
        </w:tc>
        <w:tc>
          <w:tcPr>
            <w:tcW w:w="11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5,400,000</w:t>
            </w:r>
          </w:p>
        </w:tc>
      </w:tr>
      <w:tr>
        <w:trPr>
          <w:trHeight w:val="183"/>
        </w:trPr>
        <w:tc>
          <w:tcPr>
            <w:tcW w:w="35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Ben C. Rodgers</w:t>
            </w:r>
            <w:r>
              <w:rPr>
                <w:rFonts w:ascii="Arial" w:cs="Arial" w:eastAsia="Arial" w:hAnsi="Arial"/>
                <w:sz w:val="21"/>
                <w:szCs w:val="21"/>
                <w:color w:val="auto"/>
                <w:vertAlign w:val="superscript"/>
              </w:rPr>
              <w:t>(1)</w:t>
            </w:r>
          </w:p>
        </w:tc>
        <w:tc>
          <w:tcPr>
            <w:tcW w:w="28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900,000</w:t>
            </w: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300,000</w:t>
            </w:r>
          </w:p>
        </w:tc>
        <w:tc>
          <w:tcPr>
            <w:tcW w:w="11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300,000</w:t>
            </w:r>
          </w:p>
        </w:tc>
        <w:tc>
          <w:tcPr>
            <w:tcW w:w="11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1,500,000</w:t>
            </w:r>
          </w:p>
        </w:tc>
      </w:tr>
      <w:tr>
        <w:trPr>
          <w:trHeight w:val="183"/>
        </w:trPr>
        <w:tc>
          <w:tcPr>
            <w:tcW w:w="35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Tracey K. Henderson</w:t>
            </w:r>
          </w:p>
        </w:tc>
        <w:tc>
          <w:tcPr>
            <w:tcW w:w="28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1,312,500</w:t>
            </w: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437,500</w:t>
            </w:r>
          </w:p>
        </w:tc>
        <w:tc>
          <w:tcPr>
            <w:tcW w:w="11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437,500</w:t>
            </w:r>
          </w:p>
        </w:tc>
        <w:tc>
          <w:tcPr>
            <w:tcW w:w="11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2,187,500</w:t>
            </w:r>
          </w:p>
        </w:tc>
      </w:tr>
      <w:tr>
        <w:trPr>
          <w:trHeight w:val="183"/>
        </w:trPr>
        <w:tc>
          <w:tcPr>
            <w:tcW w:w="35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Kimberly O. Warnica</w:t>
            </w:r>
          </w:p>
        </w:tc>
        <w:tc>
          <w:tcPr>
            <w:tcW w:w="28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1,312,500</w:t>
            </w: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437,500</w:t>
            </w:r>
          </w:p>
        </w:tc>
        <w:tc>
          <w:tcPr>
            <w:tcW w:w="11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437,500</w:t>
            </w:r>
          </w:p>
        </w:tc>
        <w:tc>
          <w:tcPr>
            <w:tcW w:w="11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2,187,500</w:t>
            </w:r>
          </w:p>
        </w:tc>
      </w:tr>
      <w:tr>
        <w:trPr>
          <w:trHeight w:val="183"/>
        </w:trPr>
        <w:tc>
          <w:tcPr>
            <w:tcW w:w="35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D. Clay Bretches</w:t>
            </w:r>
            <w:r>
              <w:rPr>
                <w:rFonts w:ascii="Arial" w:cs="Arial" w:eastAsia="Arial" w:hAnsi="Arial"/>
                <w:sz w:val="21"/>
                <w:szCs w:val="21"/>
                <w:color w:val="auto"/>
                <w:vertAlign w:val="superscript"/>
              </w:rPr>
              <w:t>(2)</w:t>
            </w:r>
          </w:p>
        </w:tc>
        <w:tc>
          <w:tcPr>
            <w:tcW w:w="28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1,620,000</w:t>
            </w: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540,000</w:t>
            </w:r>
          </w:p>
        </w:tc>
        <w:tc>
          <w:tcPr>
            <w:tcW w:w="11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540,000</w:t>
            </w:r>
          </w:p>
        </w:tc>
        <w:tc>
          <w:tcPr>
            <w:tcW w:w="11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2,700,000</w:t>
            </w:r>
          </w:p>
        </w:tc>
      </w:tr>
    </w:tbl>
    <w:p>
      <w:pPr>
        <w:spacing w:after="0" w:line="58" w:lineRule="exact"/>
        <w:rPr>
          <w:sz w:val="20"/>
          <w:szCs w:val="20"/>
          <w:color w:val="auto"/>
        </w:rPr>
      </w:pPr>
    </w:p>
    <w:p>
      <w:pPr>
        <w:ind w:left="980" w:hanging="316"/>
        <w:spacing w:after="0"/>
        <w:tabs>
          <w:tab w:leader="none" w:pos="980" w:val="left"/>
        </w:tabs>
        <w:numPr>
          <w:ilvl w:val="0"/>
          <w:numId w:val="99"/>
        </w:numPr>
        <w:rPr>
          <w:rFonts w:ascii="Arial" w:cs="Arial" w:eastAsia="Arial" w:hAnsi="Arial"/>
          <w:sz w:val="14"/>
          <w:szCs w:val="14"/>
          <w:color w:val="595959"/>
        </w:rPr>
      </w:pPr>
      <w:r>
        <w:rPr>
          <w:rFonts w:ascii="Arial" w:cs="Arial" w:eastAsia="Arial" w:hAnsi="Arial"/>
          <w:sz w:val="14"/>
          <w:szCs w:val="14"/>
          <w:color w:val="595959"/>
        </w:rPr>
        <w:t>Reflects the amounts in effect prior to Mr. Rodgers’s mid-year promotion to EVP and CFO; no new awards were made for his promotion.</w:t>
      </w:r>
    </w:p>
    <w:p>
      <w:pPr>
        <w:spacing w:after="0" w:line="15" w:lineRule="exact"/>
        <w:rPr>
          <w:rFonts w:ascii="Arial" w:cs="Arial" w:eastAsia="Arial" w:hAnsi="Arial"/>
          <w:sz w:val="14"/>
          <w:szCs w:val="14"/>
          <w:color w:val="595959"/>
        </w:rPr>
      </w:pPr>
    </w:p>
    <w:p>
      <w:pPr>
        <w:jc w:val="both"/>
        <w:ind w:left="900" w:right="860" w:hanging="236"/>
        <w:spacing w:after="0" w:line="252" w:lineRule="auto"/>
        <w:tabs>
          <w:tab w:leader="none" w:pos="987" w:val="left"/>
        </w:tabs>
        <w:numPr>
          <w:ilvl w:val="0"/>
          <w:numId w:val="99"/>
        </w:numPr>
        <w:rPr>
          <w:rFonts w:ascii="Arial" w:cs="Arial" w:eastAsia="Arial" w:hAnsi="Arial"/>
          <w:sz w:val="14"/>
          <w:szCs w:val="14"/>
          <w:color w:val="595959"/>
        </w:rPr>
      </w:pPr>
      <w:r>
        <w:rPr>
          <w:rFonts w:ascii="Arial" w:cs="Arial" w:eastAsia="Arial" w:hAnsi="Arial"/>
          <w:sz w:val="14"/>
          <w:szCs w:val="14"/>
          <w:color w:val="595959"/>
        </w:rPr>
        <w:t xml:space="preserve">Mr. Bretches ceased employment with the Company effective June 4, 2025. Pursuant to the Executive Termination Policy (ETP), as described in footnote (2) of the </w:t>
      </w:r>
      <w:r>
        <w:rPr>
          <w:rFonts w:ascii="Arial" w:cs="Arial" w:eastAsia="Arial" w:hAnsi="Arial"/>
          <w:sz w:val="14"/>
          <w:szCs w:val="14"/>
          <w:i w:val="1"/>
          <w:iCs w:val="1"/>
          <w:color w:val="595959"/>
        </w:rPr>
        <w:t>Potential Payments upon Termination or Change in Control</w:t>
      </w:r>
      <w:r>
        <w:rPr>
          <w:rFonts w:ascii="Arial" w:cs="Arial" w:eastAsia="Arial" w:hAnsi="Arial"/>
          <w:sz w:val="14"/>
          <w:szCs w:val="14"/>
          <w:color w:val="595959"/>
        </w:rPr>
        <w:t xml:space="preserve"> table, his 2025 performance awards were forfeited, and he received prorated vesting of his 2025 RSUs.</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2025 Performance Awards</w:t>
      </w:r>
    </w:p>
    <w:p>
      <w:pPr>
        <w:spacing w:after="0" w:line="102" w:lineRule="exact"/>
        <w:rPr>
          <w:sz w:val="20"/>
          <w:szCs w:val="20"/>
          <w:color w:val="auto"/>
        </w:rPr>
      </w:pPr>
    </w:p>
    <w:p>
      <w:pPr>
        <w:ind w:left="660" w:right="760"/>
        <w:spacing w:after="0" w:line="286" w:lineRule="auto"/>
        <w:rPr>
          <w:sz w:val="20"/>
          <w:szCs w:val="20"/>
          <w:color w:val="auto"/>
        </w:rPr>
      </w:pPr>
      <w:r>
        <w:rPr>
          <w:rFonts w:ascii="Arial" w:cs="Arial" w:eastAsia="Arial" w:hAnsi="Arial"/>
          <w:sz w:val="16"/>
          <w:szCs w:val="16"/>
          <w:color w:val="auto"/>
        </w:rPr>
        <w:t>Performance awards make up the majority of long-term incentive compensation (60% of the award) and are designed to align pay with both relative and absolute performance metrics, ensuring a comprehensive and balanced evaluation of long-term success.</w:t>
      </w:r>
    </w:p>
    <w:p>
      <w:pPr>
        <w:spacing w:after="0" w:line="48" w:lineRule="exact"/>
        <w:rPr>
          <w:sz w:val="20"/>
          <w:szCs w:val="20"/>
          <w:color w:val="auto"/>
        </w:rPr>
      </w:pPr>
    </w:p>
    <w:p>
      <w:pPr>
        <w:ind w:left="660" w:right="700"/>
        <w:spacing w:after="0" w:line="254" w:lineRule="auto"/>
        <w:rPr>
          <w:sz w:val="20"/>
          <w:szCs w:val="20"/>
          <w:color w:val="auto"/>
        </w:rPr>
      </w:pPr>
      <w:r>
        <w:rPr>
          <w:rFonts w:ascii="Arial" w:cs="Arial" w:eastAsia="Arial" w:hAnsi="Arial"/>
          <w:sz w:val="16"/>
          <w:szCs w:val="16"/>
          <w:color w:val="auto"/>
        </w:rPr>
        <w:t>Actual awards earned and vested may range from zero to 200% of target, based on the achievement of pre-determined relative Total Shareholder Return (TSR) and Cash Return on Invested Capital (CROIC) goals over a three-year performance period of January 1, 2025, through December 31, 2027. Performance awards granted in 2025 place greater emphasis on relative TSR, which comprises the majority of the award, alongside CROIC, as shown below. The shift from a sustainability metric to an increased TSR weighting serves two purposes: (1) it sharpens the focus on delivering long-term shareholder value by aligning award payouts with stockholder returns; and (2) reflects investor preferences for formula-based, quantitative market or financial metrics in long-term incentive plans.</w:t>
      </w:r>
    </w:p>
    <w:p>
      <w:pPr>
        <w:spacing w:after="0" w:line="79"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780" w:type="dxa"/>
            <w:vAlign w:val="bottom"/>
            <w:shd w:val="clear" w:color="auto" w:fill="00506F"/>
          </w:tcPr>
          <w:p>
            <w:pPr>
              <w:jc w:val="center"/>
              <w:spacing w:after="0"/>
              <w:rPr>
                <w:sz w:val="20"/>
                <w:szCs w:val="20"/>
                <w:color w:val="auto"/>
              </w:rPr>
            </w:pPr>
            <w:r>
              <w:rPr>
                <w:rFonts w:ascii="Arial" w:cs="Arial" w:eastAsia="Arial" w:hAnsi="Arial"/>
                <w:sz w:val="16"/>
                <w:szCs w:val="16"/>
                <w:b w:val="1"/>
                <w:bCs w:val="1"/>
                <w:color w:val="FFFFFF"/>
              </w:rPr>
              <w:t>CROIC</w:t>
            </w:r>
          </w:p>
        </w:tc>
        <w:tc>
          <w:tcPr>
            <w:tcW w:w="5940" w:type="dxa"/>
            <w:vAlign w:val="bottom"/>
            <w:shd w:val="clear" w:color="auto" w:fill="D9AB28"/>
          </w:tcPr>
          <w:p>
            <w:pPr>
              <w:jc w:val="center"/>
              <w:spacing w:after="0"/>
              <w:rPr>
                <w:sz w:val="20"/>
                <w:szCs w:val="20"/>
                <w:color w:val="auto"/>
              </w:rPr>
            </w:pPr>
            <w:r>
              <w:rPr>
                <w:rFonts w:ascii="Arial" w:cs="Arial" w:eastAsia="Arial" w:hAnsi="Arial"/>
                <w:sz w:val="16"/>
                <w:szCs w:val="16"/>
                <w:b w:val="1"/>
                <w:bCs w:val="1"/>
                <w:color w:val="FFFFFF"/>
              </w:rPr>
              <w:t>Relative TSR</w:t>
            </w:r>
          </w:p>
        </w:tc>
      </w:tr>
      <w:tr>
        <w:trPr>
          <w:trHeight w:val="203"/>
        </w:trPr>
        <w:tc>
          <w:tcPr>
            <w:tcW w:w="3780" w:type="dxa"/>
            <w:vAlign w:val="bottom"/>
            <w:shd w:val="clear" w:color="auto" w:fill="00506F"/>
          </w:tcPr>
          <w:p>
            <w:pPr>
              <w:jc w:val="right"/>
              <w:ind w:right="1659"/>
              <w:spacing w:after="0"/>
              <w:rPr>
                <w:sz w:val="20"/>
                <w:szCs w:val="20"/>
                <w:color w:val="auto"/>
              </w:rPr>
            </w:pPr>
            <w:r>
              <w:rPr>
                <w:rFonts w:ascii="Arial" w:cs="Arial" w:eastAsia="Arial" w:hAnsi="Arial"/>
                <w:sz w:val="16"/>
                <w:szCs w:val="16"/>
                <w:color w:val="FFFFFF"/>
              </w:rPr>
              <w:t>40%</w:t>
            </w:r>
          </w:p>
        </w:tc>
        <w:tc>
          <w:tcPr>
            <w:tcW w:w="5940" w:type="dxa"/>
            <w:vAlign w:val="bottom"/>
            <w:shd w:val="clear" w:color="auto" w:fill="D9AB28"/>
          </w:tcPr>
          <w:p>
            <w:pPr>
              <w:jc w:val="right"/>
              <w:ind w:right="2739"/>
              <w:spacing w:after="0"/>
              <w:rPr>
                <w:sz w:val="20"/>
                <w:szCs w:val="20"/>
                <w:color w:val="auto"/>
              </w:rPr>
            </w:pPr>
            <w:r>
              <w:rPr>
                <w:rFonts w:ascii="Arial" w:cs="Arial" w:eastAsia="Arial" w:hAnsi="Arial"/>
                <w:sz w:val="16"/>
                <w:szCs w:val="16"/>
                <w:color w:val="FFFFFF"/>
              </w:rPr>
              <w:t>60%</w:t>
            </w: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Vesting</w:t>
      </w:r>
    </w:p>
    <w:p>
      <w:pPr>
        <w:spacing w:after="0" w:line="113" w:lineRule="exact"/>
        <w:rPr>
          <w:sz w:val="20"/>
          <w:szCs w:val="20"/>
          <w:color w:val="auto"/>
        </w:rPr>
      </w:pPr>
    </w:p>
    <w:p>
      <w:pPr>
        <w:ind w:left="660" w:right="740"/>
        <w:spacing w:after="0" w:line="266" w:lineRule="auto"/>
        <w:rPr>
          <w:sz w:val="20"/>
          <w:szCs w:val="20"/>
          <w:color w:val="auto"/>
        </w:rPr>
      </w:pPr>
      <w:r>
        <w:rPr>
          <w:rFonts w:ascii="Arial" w:cs="Arial" w:eastAsia="Arial" w:hAnsi="Arial"/>
          <w:sz w:val="16"/>
          <w:szCs w:val="16"/>
          <w:color w:val="auto"/>
        </w:rPr>
        <w:t>The vesting provisions for performance awards extends beyond the typical three-year timeline, with half (50%) of the performance awards vesting at the end of year three and the other half (50%) at the end of year four. This longer vesting period reinforces long-term value creation and encourages sustained performance over a longer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48895</wp:posOffset>
            </wp:positionV>
            <wp:extent cx="6172200" cy="2482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172200" cy="248285"/>
                    </a:xfrm>
                    <a:prstGeom prst="rect">
                      <a:avLst/>
                    </a:prstGeom>
                    <a:noFill/>
                  </pic:spPr>
                </pic:pic>
              </a:graphicData>
            </a:graphic>
          </wp:anchor>
        </w:drawing>
      </w:r>
    </w:p>
    <w:p>
      <w:pPr>
        <w:spacing w:after="0" w:line="138" w:lineRule="exact"/>
        <w:rPr>
          <w:sz w:val="20"/>
          <w:szCs w:val="20"/>
          <w:color w:val="auto"/>
        </w:rPr>
      </w:pPr>
    </w:p>
    <w:p>
      <w:pPr>
        <w:ind w:left="2280"/>
        <w:spacing w:after="0"/>
        <w:tabs>
          <w:tab w:leader="none" w:pos="7540" w:val="left"/>
        </w:tabs>
        <w:rPr>
          <w:sz w:val="20"/>
          <w:szCs w:val="20"/>
          <w:color w:val="auto"/>
        </w:rPr>
      </w:pPr>
      <w:r>
        <w:rPr>
          <w:rFonts w:ascii="Arial" w:cs="Arial" w:eastAsia="Arial" w:hAnsi="Arial"/>
          <w:sz w:val="16"/>
          <w:szCs w:val="16"/>
          <w:b w:val="1"/>
          <w:bCs w:val="1"/>
          <w:color w:val="auto"/>
        </w:rPr>
        <w:t>Three-Year Measurement Period</w:t>
      </w:r>
      <w:r>
        <w:rPr>
          <w:sz w:val="20"/>
          <w:szCs w:val="20"/>
          <w:color w:val="auto"/>
        </w:rPr>
        <w:tab/>
      </w:r>
      <w:r>
        <w:rPr>
          <w:rFonts w:ascii="Arial" w:cs="Arial" w:eastAsia="Arial" w:hAnsi="Arial"/>
          <w:sz w:val="16"/>
          <w:szCs w:val="16"/>
          <w:b w:val="1"/>
          <w:bCs w:val="1"/>
          <w:color w:val="auto"/>
        </w:rPr>
        <w:t>Vesting (as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158115</wp:posOffset>
            </wp:positionV>
            <wp:extent cx="308610" cy="3429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08610" cy="342900"/>
                    </a:xfrm>
                    <a:prstGeom prst="rect">
                      <a:avLst/>
                    </a:prstGeom>
                    <a:noFill/>
                  </pic:spPr>
                </pic:pic>
              </a:graphicData>
            </a:graphic>
          </wp:anchor>
        </w:drawing>
        <w:drawing>
          <wp:anchor simplePos="0" relativeHeight="251657728" behindDoc="1" locked="0" layoutInCell="0" allowOverlap="1">
            <wp:simplePos x="0" y="0"/>
            <wp:positionH relativeFrom="column">
              <wp:posOffset>2092960</wp:posOffset>
            </wp:positionH>
            <wp:positionV relativeFrom="paragraph">
              <wp:posOffset>158115</wp:posOffset>
            </wp:positionV>
            <wp:extent cx="308610" cy="3429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8610" cy="342900"/>
                    </a:xfrm>
                    <a:prstGeom prst="rect">
                      <a:avLst/>
                    </a:prstGeom>
                    <a:noFill/>
                  </pic:spPr>
                </pic:pic>
              </a:graphicData>
            </a:graphic>
          </wp:anchor>
        </w:drawing>
        <w:drawing>
          <wp:anchor simplePos="0" relativeHeight="251657728" behindDoc="1" locked="0" layoutInCell="0" allowOverlap="1">
            <wp:simplePos x="0" y="0"/>
            <wp:positionH relativeFrom="column">
              <wp:posOffset>3319145</wp:posOffset>
            </wp:positionH>
            <wp:positionV relativeFrom="paragraph">
              <wp:posOffset>158115</wp:posOffset>
            </wp:positionV>
            <wp:extent cx="308610" cy="3429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08610" cy="342900"/>
                    </a:xfrm>
                    <a:prstGeom prst="rect">
                      <a:avLst/>
                    </a:prstGeom>
                    <a:noFill/>
                  </pic:spPr>
                </pic:pic>
              </a:graphicData>
            </a:graphic>
          </wp:anchor>
        </w:drawing>
        <w:drawing>
          <wp:anchor simplePos="0" relativeHeight="251657728" behindDoc="1" locked="0" layoutInCell="0" allowOverlap="1">
            <wp:simplePos x="0" y="0"/>
            <wp:positionH relativeFrom="column">
              <wp:posOffset>4536440</wp:posOffset>
            </wp:positionH>
            <wp:positionV relativeFrom="paragraph">
              <wp:posOffset>158115</wp:posOffset>
            </wp:positionV>
            <wp:extent cx="334645" cy="3340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4645" cy="33401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158115</wp:posOffset>
            </wp:positionV>
            <wp:extent cx="334010" cy="3340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401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2060" w:type="dxa"/>
            <w:vAlign w:val="bottom"/>
          </w:tcPr>
          <w:p>
            <w:pPr>
              <w:jc w:val="center"/>
              <w:ind w:right="128"/>
              <w:spacing w:after="0"/>
              <w:rPr>
                <w:sz w:val="20"/>
                <w:szCs w:val="20"/>
                <w:color w:val="auto"/>
              </w:rPr>
            </w:pPr>
            <w:r>
              <w:rPr>
                <w:rFonts w:ascii="Arial" w:cs="Arial" w:eastAsia="Arial" w:hAnsi="Arial"/>
                <w:sz w:val="14"/>
                <w:szCs w:val="14"/>
                <w:b w:val="1"/>
                <w:bCs w:val="1"/>
                <w:color w:val="auto"/>
              </w:rPr>
              <w:t>Start of Year 1</w:t>
            </w:r>
          </w:p>
        </w:tc>
        <w:tc>
          <w:tcPr>
            <w:tcW w:w="1780" w:type="dxa"/>
            <w:vAlign w:val="bottom"/>
          </w:tcPr>
          <w:p>
            <w:pPr>
              <w:ind w:left="600"/>
              <w:spacing w:after="0"/>
              <w:rPr>
                <w:sz w:val="20"/>
                <w:szCs w:val="20"/>
                <w:color w:val="auto"/>
              </w:rPr>
            </w:pPr>
            <w:r>
              <w:rPr>
                <w:rFonts w:ascii="Arial" w:cs="Arial" w:eastAsia="Arial" w:hAnsi="Arial"/>
                <w:sz w:val="14"/>
                <w:szCs w:val="14"/>
                <w:b w:val="1"/>
                <w:bCs w:val="1"/>
                <w:color w:val="auto"/>
              </w:rPr>
              <w:t>Year 2</w:t>
            </w:r>
          </w:p>
        </w:tc>
        <w:tc>
          <w:tcPr>
            <w:tcW w:w="1800" w:type="dxa"/>
            <w:vAlign w:val="bottom"/>
          </w:tcPr>
          <w:p>
            <w:pPr>
              <w:ind w:left="760"/>
              <w:spacing w:after="0"/>
              <w:rPr>
                <w:sz w:val="20"/>
                <w:szCs w:val="20"/>
                <w:color w:val="auto"/>
              </w:rPr>
            </w:pPr>
            <w:r>
              <w:rPr>
                <w:rFonts w:ascii="Arial" w:cs="Arial" w:eastAsia="Arial" w:hAnsi="Arial"/>
                <w:sz w:val="14"/>
                <w:szCs w:val="14"/>
                <w:b w:val="1"/>
                <w:bCs w:val="1"/>
                <w:color w:val="auto"/>
              </w:rPr>
              <w:t>Year 3</w:t>
            </w:r>
          </w:p>
        </w:tc>
        <w:tc>
          <w:tcPr>
            <w:tcW w:w="2080" w:type="dxa"/>
            <w:vAlign w:val="bottom"/>
          </w:tcPr>
          <w:p>
            <w:pPr>
              <w:jc w:val="center"/>
              <w:ind w:left="8"/>
              <w:spacing w:after="0"/>
              <w:rPr>
                <w:sz w:val="20"/>
                <w:szCs w:val="20"/>
                <w:color w:val="auto"/>
              </w:rPr>
            </w:pPr>
            <w:r>
              <w:rPr>
                <w:rFonts w:ascii="Arial" w:cs="Arial" w:eastAsia="Arial" w:hAnsi="Arial"/>
                <w:sz w:val="14"/>
                <w:szCs w:val="14"/>
                <w:b w:val="1"/>
                <w:bCs w:val="1"/>
                <w:color w:val="auto"/>
              </w:rPr>
              <w:t>End of Year 3</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End of Year 4</w:t>
            </w:r>
          </w:p>
        </w:tc>
      </w:tr>
      <w:tr>
        <w:trPr>
          <w:trHeight w:val="192"/>
        </w:trPr>
        <w:tc>
          <w:tcPr>
            <w:tcW w:w="20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i w:val="1"/>
                <w:iCs w:val="1"/>
                <w:color w:val="auto"/>
              </w:rPr>
              <w:t>Awards Granted</w:t>
            </w:r>
          </w:p>
        </w:tc>
        <w:tc>
          <w:tcPr>
            <w:tcW w:w="1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i w:val="1"/>
                <w:iCs w:val="1"/>
                <w:color w:val="auto"/>
              </w:rPr>
              <w:t>50% Vest</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50% Vest</w:t>
            </w:r>
          </w:p>
        </w:tc>
      </w:tr>
    </w:tbl>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2025-2027 Performance Award Metrics</w:t>
      </w:r>
    </w:p>
    <w:p>
      <w:pPr>
        <w:spacing w:after="0" w:line="108" w:lineRule="exact"/>
        <w:rPr>
          <w:sz w:val="20"/>
          <w:szCs w:val="20"/>
          <w:color w:val="auto"/>
        </w:rPr>
      </w:pPr>
    </w:p>
    <w:p>
      <w:pPr>
        <w:ind w:left="660" w:right="1240"/>
        <w:spacing w:after="0" w:line="286" w:lineRule="auto"/>
        <w:rPr>
          <w:sz w:val="20"/>
          <w:szCs w:val="20"/>
          <w:color w:val="auto"/>
        </w:rPr>
      </w:pPr>
      <w:r>
        <w:rPr>
          <w:rFonts w:ascii="Arial" w:cs="Arial" w:eastAsia="Arial" w:hAnsi="Arial"/>
          <w:sz w:val="16"/>
          <w:szCs w:val="16"/>
          <w:color w:val="auto"/>
        </w:rPr>
        <w:t>Long-term incentive compensation is based on the achievement of pre-determined CROIC and relative TSR goals that focus on financial efficiency and align with shareholder returns.</w:t>
      </w:r>
    </w:p>
    <w:p>
      <w:pPr>
        <w:spacing w:after="0" w:line="48" w:lineRule="exact"/>
        <w:rPr>
          <w:sz w:val="20"/>
          <w:szCs w:val="20"/>
          <w:color w:val="auto"/>
        </w:rPr>
      </w:pPr>
    </w:p>
    <w:p>
      <w:pPr>
        <w:ind w:left="660" w:right="660"/>
        <w:spacing w:after="0" w:line="255" w:lineRule="auto"/>
        <w:rPr>
          <w:sz w:val="20"/>
          <w:szCs w:val="20"/>
          <w:color w:val="auto"/>
        </w:rPr>
      </w:pPr>
      <w:r>
        <w:rPr>
          <w:rFonts w:ascii="Arial" w:cs="Arial" w:eastAsia="Arial" w:hAnsi="Arial"/>
          <w:sz w:val="16"/>
          <w:szCs w:val="16"/>
          <w:b w:val="1"/>
          <w:bCs w:val="1"/>
          <w:color w:val="auto"/>
        </w:rPr>
        <w:t xml:space="preserve">CROIC </w:t>
      </w:r>
      <w:r>
        <w:rPr>
          <w:rFonts w:ascii="Arial" w:cs="Arial" w:eastAsia="Arial" w:hAnsi="Arial"/>
          <w:sz w:val="16"/>
          <w:szCs w:val="16"/>
          <w:color w:val="auto"/>
        </w:rPr>
        <w:t>(40%) measures our ability to generate cash returns relative to the capital invested in our operations. In our sector,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allocation is crucial due to the high capital intensity and long-term nature of investments in exploration, drilling, and production. CROIC ensures that management is incentivized to deploy capital efficiently, maximizing returns from oil and gas assets. Additionally, it aligns executive compensation with shareholder value creation by focusing on sustainable cash flow generation over the long term, regardless of commodity price fluctuations—rather than only increasing production or reserves, which may not directly impact financial performance.</w:t>
      </w:r>
    </w:p>
    <w:p>
      <w:pPr>
        <w:spacing w:after="0" w:line="265" w:lineRule="exact"/>
        <w:rPr>
          <w:sz w:val="20"/>
          <w:szCs w:val="20"/>
          <w:color w:val="auto"/>
        </w:rPr>
      </w:pPr>
    </w:p>
    <w:p>
      <w:pPr>
        <w:ind w:left="660" w:right="700"/>
        <w:spacing w:after="0" w:line="259" w:lineRule="auto"/>
        <w:rPr>
          <w:sz w:val="20"/>
          <w:szCs w:val="20"/>
          <w:color w:val="auto"/>
        </w:rPr>
      </w:pPr>
      <w:r>
        <w:rPr>
          <w:rFonts w:ascii="Arial" w:cs="Arial" w:eastAsia="Arial" w:hAnsi="Arial"/>
          <w:sz w:val="16"/>
          <w:szCs w:val="16"/>
          <w:color w:val="auto"/>
        </w:rPr>
        <w:t>CROIC target awards are denominated in cash, with any earned awards also paid in cash. This means that the value of awards will be reported in the Summary Compensation Table when they are earned (</w:t>
      </w:r>
      <w:r>
        <w:rPr>
          <w:rFonts w:ascii="Arial" w:cs="Arial" w:eastAsia="Arial" w:hAnsi="Arial"/>
          <w:sz w:val="16"/>
          <w:szCs w:val="16"/>
          <w:i w:val="1"/>
          <w:iCs w:val="1"/>
          <w:color w:val="auto"/>
        </w:rPr>
        <w:t>i.e.</w:t>
      </w:r>
      <w:r>
        <w:rPr>
          <w:rFonts w:ascii="Arial" w:cs="Arial" w:eastAsia="Arial" w:hAnsi="Arial"/>
          <w:sz w:val="16"/>
          <w:szCs w:val="16"/>
          <w:color w:val="auto"/>
        </w:rPr>
        <w:t>, any awards earned for the 2025-2027 performance cycle will be reported in the 2028 proxy statement). Actual award payouts for the 2025-2027 performance cycle can range between 0% and 200% of target based on the following goals: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27</w:t>
            </w:r>
          </w:p>
        </w:tc>
      </w:tr>
      <w:tr>
        <w:trPr>
          <w:trHeight w:val="878"/>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17" w:right="439" w:bottom="1440" w:gutter="0" w:footer="0" w:header="0"/>
        </w:sectPr>
      </w:pPr>
    </w:p>
    <w:bookmarkStart w:id="33" w:name="page34"/>
    <w:bookmarkEnd w:id="33"/>
    <w:p>
      <w:pPr>
        <w:ind w:left="6000"/>
        <w:spacing w:after="0"/>
        <w:rPr>
          <w:sz w:val="20"/>
          <w:szCs w:val="20"/>
          <w:color w:val="auto"/>
        </w:rPr>
      </w:pPr>
      <w:r>
        <w:rPr>
          <w:rFonts w:ascii="Arial" w:cs="Arial" w:eastAsia="Arial" w:hAnsi="Arial"/>
          <w:sz w:val="16"/>
          <w:szCs w:val="16"/>
          <w:b w:val="1"/>
          <w:bCs w:val="1"/>
          <w:color w:val="auto"/>
        </w:rPr>
        <w:t>CROIC Performance Range</w:t>
      </w:r>
      <w:r>
        <w:rPr>
          <w:rFonts w:ascii="Arial" w:cs="Arial" w:eastAsia="Arial" w:hAnsi="Arial"/>
          <w:sz w:val="21"/>
          <w:szCs w:val="21"/>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6172200" cy="4540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72200" cy="4540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7"/>
        </w:trPr>
        <w:tc>
          <w:tcPr>
            <w:tcW w:w="45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Three-Year Average WTI Price</w:t>
            </w:r>
            <w:r>
              <w:rPr>
                <w:rFonts w:ascii="Arial" w:cs="Arial" w:eastAsia="Arial" w:hAnsi="Arial"/>
                <w:sz w:val="21"/>
                <w:szCs w:val="21"/>
                <w:b w:val="1"/>
                <w:bCs w:val="1"/>
                <w:color w:val="auto"/>
                <w:vertAlign w:val="superscript"/>
              </w:rPr>
              <w:t>(1)</w:t>
            </w:r>
          </w:p>
        </w:tc>
        <w:tc>
          <w:tcPr>
            <w:tcW w:w="1720" w:type="dxa"/>
            <w:vAlign w:val="bottom"/>
            <w:tcBorders>
              <w:top w:val="single" w:sz="8" w:color="auto"/>
            </w:tcBorders>
            <w:shd w:val="clear" w:color="auto" w:fill="F3F3F4"/>
          </w:tcPr>
          <w:p>
            <w:pPr>
              <w:jc w:val="center"/>
              <w:spacing w:after="0"/>
              <w:rPr>
                <w:sz w:val="20"/>
                <w:szCs w:val="20"/>
                <w:color w:val="auto"/>
              </w:rPr>
            </w:pPr>
            <w:r>
              <w:rPr>
                <w:rFonts w:ascii="Arial" w:cs="Arial" w:eastAsia="Arial" w:hAnsi="Arial"/>
                <w:sz w:val="16"/>
                <w:szCs w:val="16"/>
                <w:b w:val="1"/>
                <w:bCs w:val="1"/>
                <w:color w:val="auto"/>
              </w:rPr>
              <w:t>Threshold</w:t>
            </w:r>
          </w:p>
        </w:tc>
        <w:tc>
          <w:tcPr>
            <w:tcW w:w="1760" w:type="dxa"/>
            <w:vAlign w:val="bottom"/>
            <w:tcBorders>
              <w:top w:val="single" w:sz="8" w:color="auto"/>
            </w:tcBorders>
            <w:shd w:val="clear" w:color="auto" w:fill="F3F3F4"/>
          </w:tcPr>
          <w:p>
            <w:pPr>
              <w:jc w:val="center"/>
              <w:spacing w:after="0"/>
              <w:rPr>
                <w:sz w:val="20"/>
                <w:szCs w:val="20"/>
                <w:color w:val="auto"/>
              </w:rPr>
            </w:pPr>
            <w:r>
              <w:rPr>
                <w:rFonts w:ascii="Arial" w:cs="Arial" w:eastAsia="Arial" w:hAnsi="Arial"/>
                <w:sz w:val="16"/>
                <w:szCs w:val="16"/>
                <w:b w:val="1"/>
                <w:bCs w:val="1"/>
                <w:color w:val="auto"/>
              </w:rPr>
              <w:t>Target</w:t>
            </w:r>
          </w:p>
        </w:tc>
        <w:tc>
          <w:tcPr>
            <w:tcW w:w="1720" w:type="dxa"/>
            <w:vAlign w:val="bottom"/>
            <w:tcBorders>
              <w:top w:val="single" w:sz="8" w:color="auto"/>
            </w:tcBorders>
            <w:shd w:val="clear" w:color="auto" w:fill="F3F3F4"/>
          </w:tcPr>
          <w:p>
            <w:pPr>
              <w:jc w:val="center"/>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228"/>
        </w:trPr>
        <w:tc>
          <w:tcPr>
            <w:tcW w:w="452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shd w:val="clear" w:color="auto" w:fill="F3F3F4"/>
          </w:tcPr>
          <w:p>
            <w:pPr>
              <w:jc w:val="center"/>
              <w:spacing w:after="0"/>
              <w:rPr>
                <w:sz w:val="20"/>
                <w:szCs w:val="20"/>
                <w:color w:val="auto"/>
              </w:rPr>
            </w:pPr>
            <w:r>
              <w:rPr>
                <w:rFonts w:ascii="Arial" w:cs="Arial" w:eastAsia="Arial" w:hAnsi="Arial"/>
                <w:sz w:val="16"/>
                <w:szCs w:val="16"/>
                <w:i w:val="1"/>
                <w:iCs w:val="1"/>
                <w:color w:val="auto"/>
              </w:rPr>
              <w:t>50% Payout</w:t>
            </w:r>
          </w:p>
        </w:tc>
        <w:tc>
          <w:tcPr>
            <w:tcW w:w="1760" w:type="dxa"/>
            <w:vAlign w:val="bottom"/>
            <w:tcBorders>
              <w:bottom w:val="single" w:sz="8" w:color="auto"/>
            </w:tcBorders>
            <w:shd w:val="clear" w:color="auto" w:fill="F3F3F4"/>
          </w:tcPr>
          <w:p>
            <w:pPr>
              <w:jc w:val="center"/>
              <w:spacing w:after="0"/>
              <w:rPr>
                <w:sz w:val="20"/>
                <w:szCs w:val="20"/>
                <w:color w:val="auto"/>
              </w:rPr>
            </w:pPr>
            <w:r>
              <w:rPr>
                <w:rFonts w:ascii="Arial" w:cs="Arial" w:eastAsia="Arial" w:hAnsi="Arial"/>
                <w:sz w:val="16"/>
                <w:szCs w:val="16"/>
                <w:i w:val="1"/>
                <w:iCs w:val="1"/>
                <w:color w:val="auto"/>
              </w:rPr>
              <w:t>100% Payout</w:t>
            </w:r>
          </w:p>
        </w:tc>
        <w:tc>
          <w:tcPr>
            <w:tcW w:w="1720" w:type="dxa"/>
            <w:vAlign w:val="bottom"/>
            <w:tcBorders>
              <w:bottom w:val="single" w:sz="8" w:color="auto"/>
            </w:tcBorders>
            <w:shd w:val="clear" w:color="auto" w:fill="F3F3F4"/>
          </w:tcPr>
          <w:p>
            <w:pPr>
              <w:jc w:val="center"/>
              <w:spacing w:after="0"/>
              <w:rPr>
                <w:sz w:val="20"/>
                <w:szCs w:val="20"/>
                <w:color w:val="auto"/>
              </w:rPr>
            </w:pPr>
            <w:r>
              <w:rPr>
                <w:rFonts w:ascii="Arial" w:cs="Arial" w:eastAsia="Arial" w:hAnsi="Arial"/>
                <w:sz w:val="16"/>
                <w:szCs w:val="16"/>
                <w:i w:val="1"/>
                <w:iCs w:val="1"/>
                <w:color w:val="auto"/>
              </w:rPr>
              <w:t>200% Payout</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 ($50)</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22%</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24%</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26%</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($60)</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26%</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29%</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32%</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3-Year Plan at Strip ($70)</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31%</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35%</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38%</w:t>
            </w:r>
          </w:p>
        </w:tc>
        <w:tc>
          <w:tcPr>
            <w:tcW w:w="0" w:type="dxa"/>
            <w:vAlign w:val="bottom"/>
          </w:tcPr>
          <w:p>
            <w:pPr>
              <w:spacing w:after="0"/>
              <w:rPr>
                <w:sz w:val="1"/>
                <w:szCs w:val="1"/>
                <w:color w:val="auto"/>
              </w:rPr>
            </w:pPr>
          </w:p>
        </w:tc>
      </w:tr>
      <w:tr>
        <w:trPr>
          <w:trHeight w:val="236"/>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 ($80)</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35%</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39%</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43%</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 ($90)</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38%</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43%</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47%</w:t>
            </w:r>
          </w:p>
        </w:tc>
        <w:tc>
          <w:tcPr>
            <w:tcW w:w="0" w:type="dxa"/>
            <w:vAlign w:val="bottom"/>
          </w:tcPr>
          <w:p>
            <w:pPr>
              <w:spacing w:after="0"/>
              <w:rPr>
                <w:sz w:val="1"/>
                <w:szCs w:val="1"/>
                <w:color w:val="auto"/>
              </w:rPr>
            </w:pPr>
          </w:p>
        </w:tc>
      </w:tr>
    </w:tbl>
    <w:p>
      <w:pPr>
        <w:spacing w:after="0" w:line="77" w:lineRule="exact"/>
        <w:rPr>
          <w:sz w:val="20"/>
          <w:szCs w:val="20"/>
          <w:color w:val="auto"/>
        </w:rPr>
      </w:pPr>
    </w:p>
    <w:p>
      <w:pPr>
        <w:jc w:val="center"/>
        <w:ind w:left="240" w:right="80" w:hanging="236"/>
        <w:spacing w:after="0" w:line="281" w:lineRule="auto"/>
        <w:tabs>
          <w:tab w:leader="none" w:pos="287" w:val="left"/>
        </w:tabs>
        <w:numPr>
          <w:ilvl w:val="0"/>
          <w:numId w:val="100"/>
        </w:numPr>
        <w:rPr>
          <w:rFonts w:ascii="Arial" w:cs="Arial" w:eastAsia="Arial" w:hAnsi="Arial"/>
          <w:sz w:val="12"/>
          <w:szCs w:val="12"/>
          <w:color w:val="404040"/>
        </w:rPr>
      </w:pPr>
      <w:r>
        <w:rPr>
          <w:rFonts w:ascii="Arial" w:cs="Arial" w:eastAsia="Arial" w:hAnsi="Arial"/>
          <w:sz w:val="12"/>
          <w:szCs w:val="12"/>
          <w:color w:val="404040"/>
        </w:rPr>
        <w:t>In the -$10 and -$20 price scenarios, targets have been adjusted for lower activity and cost deflation. In the +$10 and +$20 price scenarios, targets have been adjusted for higher inflation. In all price scenarios, 60% of free cash flow (as separately defined for our external reporting) is targeted to be returned to shareholders at a minimum.</w:t>
      </w:r>
    </w:p>
    <w:p>
      <w:pPr>
        <w:ind w:left="240" w:right="20" w:hanging="236"/>
        <w:spacing w:after="0" w:line="223" w:lineRule="auto"/>
        <w:tabs>
          <w:tab w:leader="none" w:pos="287" w:val="left"/>
        </w:tabs>
        <w:numPr>
          <w:ilvl w:val="0"/>
          <w:numId w:val="100"/>
        </w:numPr>
        <w:rPr>
          <w:rFonts w:ascii="Arial" w:cs="Arial" w:eastAsia="Arial" w:hAnsi="Arial"/>
          <w:sz w:val="13"/>
          <w:szCs w:val="13"/>
          <w:color w:val="404040"/>
        </w:rPr>
      </w:pPr>
      <w:r>
        <w:rPr>
          <w:rFonts w:ascii="Arial" w:cs="Arial" w:eastAsia="Arial" w:hAnsi="Arial"/>
          <w:sz w:val="13"/>
          <w:szCs w:val="13"/>
          <w:color w:val="404040"/>
        </w:rPr>
        <w:t>CROIC is calculated using cash flow in the numerator and invested capital in the denominator. Specifically, the numerator is cash flow from operations before changes in working capital, excluding minority interest in Egypt, with financing costs added back. The denominator is calculated as average debt plus average APA shareholders’ equity. When calculating results, the impact of any material unanticipated accounting effects will be neutralized. This will include reversals of tax allowances, impairments, changes in accounting for a long-term natural gas supply contract with an LNG export customer, and similar items. Any impacts from significant regulatory changes will be removed. CROIC is calculated for each year, and then the average is taken over three years. CROIC will be adjusted for changes in the portfolio and capital program. Performance over the three-year period is measured as a percentage above or below target, based on a matrix of three-year average West Texas Intermediate (WTI) prices. The target is subject to adjustment based on the actual three-year average WTI price.</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 xml:space="preserve">Relative TSR </w:t>
      </w:r>
      <w:r>
        <w:rPr>
          <w:rFonts w:ascii="Arial" w:cs="Arial" w:eastAsia="Arial" w:hAnsi="Arial"/>
          <w:sz w:val="16"/>
          <w:szCs w:val="16"/>
          <w:color w:val="auto"/>
        </w:rPr>
        <w:t>(60%) performance is measured over a three-year period relative to both peer companies and the S&amp;P 500 Index.</w:t>
      </w:r>
      <w:r>
        <w:rPr>
          <w:rFonts w:ascii="Arial" w:cs="Arial" w:eastAsia="Arial" w:hAnsi="Arial"/>
          <w:sz w:val="16"/>
          <w:szCs w:val="16"/>
          <w:b w:val="1"/>
          <w:bCs w:val="1"/>
          <w:color w:val="auto"/>
        </w:rPr>
        <w:t xml:space="preserve"> </w:t>
      </w:r>
      <w:r>
        <w:rPr>
          <w:rFonts w:ascii="Arial" w:cs="Arial" w:eastAsia="Arial" w:hAnsi="Arial"/>
          <w:sz w:val="16"/>
          <w:szCs w:val="16"/>
          <w:color w:val="auto"/>
        </w:rPr>
        <w:t>Comparing our performance to the S&amp;P 500 ensures that results are evaluated against the broader market, providing a comprehensive view of how we perform within our industry and also in comparison to large-cap companies. The 2025 performance peer group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1968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72200" cy="19685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2025 TSR Performance Peer Group*</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Antero Resources Corp.</w:t>
            </w:r>
          </w:p>
        </w:tc>
        <w:tc>
          <w:tcPr>
            <w:tcW w:w="2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color w:val="auto"/>
              </w:rPr>
              <w:t>Devon Energy Corp.</w:t>
            </w:r>
          </w:p>
        </w:tc>
        <w:tc>
          <w:tcPr>
            <w:tcW w:w="2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6"/>
                <w:szCs w:val="16"/>
                <w:color w:val="auto"/>
              </w:rPr>
              <w:t>Magnolia Oil &amp; Gas Corp.</w:t>
            </w:r>
          </w:p>
        </w:tc>
        <w:tc>
          <w:tcPr>
            <w:tcW w:w="26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color w:val="auto"/>
              </w:rPr>
              <w:t>Range Resources Corp.</w:t>
            </w:r>
          </w:p>
        </w:tc>
      </w:tr>
      <w:tr>
        <w:trPr>
          <w:trHeight w:val="210"/>
        </w:trPr>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Chevron Corp.</w:t>
            </w:r>
          </w:p>
        </w:tc>
        <w:tc>
          <w:tcPr>
            <w:tcW w:w="24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Diamondback Energy, Inc.</w:t>
            </w:r>
          </w:p>
        </w:tc>
        <w:tc>
          <w:tcPr>
            <w:tcW w:w="25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Matador Resources Co.</w:t>
            </w:r>
          </w:p>
        </w:tc>
        <w:tc>
          <w:tcPr>
            <w:tcW w:w="26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SM Energy Co.</w:t>
            </w:r>
          </w:p>
        </w:tc>
      </w:tr>
      <w:tr>
        <w:trPr>
          <w:trHeight w:val="209"/>
        </w:trPr>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Chord Energy Corp.</w:t>
            </w:r>
          </w:p>
        </w:tc>
        <w:tc>
          <w:tcPr>
            <w:tcW w:w="24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EOG Resources, Inc.</w:t>
            </w:r>
          </w:p>
        </w:tc>
        <w:tc>
          <w:tcPr>
            <w:tcW w:w="25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Murphy Oil Corp.</w:t>
            </w:r>
          </w:p>
        </w:tc>
        <w:tc>
          <w:tcPr>
            <w:tcW w:w="26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S&amp;P 500 Index (weighted twice)</w:t>
            </w:r>
          </w:p>
        </w:tc>
      </w:tr>
      <w:tr>
        <w:trPr>
          <w:trHeight w:val="209"/>
        </w:trPr>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Civitas Resources, Inc.</w:t>
            </w:r>
          </w:p>
        </w:tc>
        <w:tc>
          <w:tcPr>
            <w:tcW w:w="24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EQT Corp.</w:t>
            </w:r>
          </w:p>
        </w:tc>
        <w:tc>
          <w:tcPr>
            <w:tcW w:w="25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Occidental Petroleum Corp.</w:t>
            </w:r>
          </w:p>
        </w:tc>
        <w:tc>
          <w:tcPr>
            <w:tcW w:w="2600" w:type="dxa"/>
            <w:vAlign w:val="bottom"/>
            <w:tcBorders>
              <w:bottom w:val="single" w:sz="8" w:color="auto"/>
            </w:tcBorders>
          </w:tcPr>
          <w:p>
            <w:pPr>
              <w:spacing w:after="0"/>
              <w:rPr>
                <w:sz w:val="18"/>
                <w:szCs w:val="18"/>
                <w:color w:val="auto"/>
              </w:rPr>
            </w:pPr>
          </w:p>
        </w:tc>
      </w:tr>
      <w:tr>
        <w:trPr>
          <w:trHeight w:val="210"/>
        </w:trPr>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ConocoPhillips Co.</w:t>
            </w:r>
          </w:p>
        </w:tc>
        <w:tc>
          <w:tcPr>
            <w:tcW w:w="24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Expand Energy Corp.</w:t>
            </w:r>
          </w:p>
        </w:tc>
        <w:tc>
          <w:tcPr>
            <w:tcW w:w="25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Ovintiv Inc.</w:t>
            </w:r>
          </w:p>
        </w:tc>
        <w:tc>
          <w:tcPr>
            <w:tcW w:w="2600" w:type="dxa"/>
            <w:vAlign w:val="bottom"/>
            <w:tcBorders>
              <w:bottom w:val="single" w:sz="8" w:color="auto"/>
            </w:tcBorders>
          </w:tcPr>
          <w:p>
            <w:pPr>
              <w:spacing w:after="0"/>
              <w:rPr>
                <w:sz w:val="18"/>
                <w:szCs w:val="18"/>
                <w:color w:val="auto"/>
              </w:rPr>
            </w:pPr>
          </w:p>
        </w:tc>
      </w:tr>
      <w:tr>
        <w:trPr>
          <w:trHeight w:val="209"/>
        </w:trPr>
        <w:tc>
          <w:tcPr>
            <w:tcW w:w="2100" w:type="dxa"/>
            <w:vAlign w:val="bottom"/>
          </w:tcPr>
          <w:p>
            <w:pPr>
              <w:ind w:left="80"/>
              <w:spacing w:after="0"/>
              <w:rPr>
                <w:sz w:val="20"/>
                <w:szCs w:val="20"/>
                <w:color w:val="auto"/>
              </w:rPr>
            </w:pPr>
            <w:r>
              <w:rPr>
                <w:rFonts w:ascii="Arial" w:cs="Arial" w:eastAsia="Arial" w:hAnsi="Arial"/>
                <w:sz w:val="16"/>
                <w:szCs w:val="16"/>
                <w:color w:val="auto"/>
              </w:rPr>
              <w:t>Coterra Energy Inc.</w:t>
            </w:r>
          </w:p>
        </w:tc>
        <w:tc>
          <w:tcPr>
            <w:tcW w:w="2460" w:type="dxa"/>
            <w:vAlign w:val="bottom"/>
          </w:tcPr>
          <w:p>
            <w:pPr>
              <w:ind w:left="280"/>
              <w:spacing w:after="0"/>
              <w:rPr>
                <w:sz w:val="20"/>
                <w:szCs w:val="20"/>
                <w:color w:val="auto"/>
              </w:rPr>
            </w:pPr>
            <w:r>
              <w:rPr>
                <w:rFonts w:ascii="Arial" w:cs="Arial" w:eastAsia="Arial" w:hAnsi="Arial"/>
                <w:sz w:val="16"/>
                <w:szCs w:val="16"/>
                <w:color w:val="auto"/>
              </w:rPr>
              <w:t>Exxon Mobil Corp.</w:t>
            </w:r>
          </w:p>
        </w:tc>
        <w:tc>
          <w:tcPr>
            <w:tcW w:w="2560" w:type="dxa"/>
            <w:vAlign w:val="bottom"/>
          </w:tcPr>
          <w:p>
            <w:pPr>
              <w:ind w:left="300"/>
              <w:spacing w:after="0"/>
              <w:rPr>
                <w:sz w:val="20"/>
                <w:szCs w:val="20"/>
                <w:color w:val="auto"/>
              </w:rPr>
            </w:pPr>
            <w:r>
              <w:rPr>
                <w:rFonts w:ascii="Arial" w:cs="Arial" w:eastAsia="Arial" w:hAnsi="Arial"/>
                <w:sz w:val="16"/>
                <w:szCs w:val="16"/>
                <w:color w:val="auto"/>
              </w:rPr>
              <w:t>Permian Resources Corp.</w:t>
            </w:r>
          </w:p>
        </w:tc>
        <w:tc>
          <w:tcPr>
            <w:tcW w:w="26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61722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404040"/>
        </w:rPr>
        <w:t>* For acquisitions, we calculate TSR to align with the shareholders’ returns per the terms of the transaction.</w:t>
      </w:r>
    </w:p>
    <w:p>
      <w:pPr>
        <w:spacing w:after="0" w:line="10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Median level performance—defined as 12 of 23—results in a below target payout (95% of target), underscoring our commitment to rewarding results that demonstrate superior performance against peers. Relative TSR performance is measured using the payout scale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Borders>
              <w:top w:val="single" w:sz="8" w:color="auto"/>
              <w:bottom w:val="single" w:sz="8" w:color="auto"/>
            </w:tcBorders>
            <w:shd w:val="clear" w:color="auto" w:fill="F3F3F4"/>
          </w:tcPr>
          <w:p>
            <w:pPr>
              <w:ind w:left="100"/>
              <w:spacing w:after="0"/>
              <w:rPr>
                <w:sz w:val="20"/>
                <w:szCs w:val="20"/>
                <w:color w:val="auto"/>
              </w:rPr>
            </w:pPr>
            <w:r>
              <w:rPr>
                <w:rFonts w:ascii="Arial" w:cs="Arial" w:eastAsia="Arial" w:hAnsi="Arial"/>
                <w:sz w:val="13"/>
                <w:szCs w:val="13"/>
                <w:color w:val="auto"/>
              </w:rPr>
              <w:t>Rank</w:t>
            </w:r>
          </w:p>
        </w:tc>
        <w:tc>
          <w:tcPr>
            <w:tcW w:w="520" w:type="dxa"/>
            <w:vAlign w:val="bottom"/>
            <w:tcBorders>
              <w:top w:val="single" w:sz="8" w:color="auto"/>
              <w:bottom w:val="single" w:sz="8" w:color="auto"/>
            </w:tcBorders>
            <w:shd w:val="clear" w:color="auto" w:fill="F3F3F4"/>
          </w:tcPr>
          <w:p>
            <w:pPr>
              <w:ind w:left="180"/>
              <w:spacing w:after="0"/>
              <w:rPr>
                <w:sz w:val="20"/>
                <w:szCs w:val="20"/>
                <w:color w:val="auto"/>
              </w:rPr>
            </w:pPr>
            <w:r>
              <w:rPr>
                <w:rFonts w:ascii="Arial" w:cs="Arial" w:eastAsia="Arial" w:hAnsi="Arial"/>
                <w:sz w:val="13"/>
                <w:szCs w:val="13"/>
                <w:color w:val="auto"/>
              </w:rPr>
              <w:t>1–3</w:t>
            </w:r>
          </w:p>
        </w:tc>
        <w:tc>
          <w:tcPr>
            <w:tcW w:w="460" w:type="dxa"/>
            <w:vAlign w:val="bottom"/>
            <w:tcBorders>
              <w:top w:val="single" w:sz="8" w:color="auto"/>
              <w:bottom w:val="single" w:sz="8" w:color="auto"/>
            </w:tcBorders>
            <w:shd w:val="clear" w:color="auto" w:fill="F3F3F4"/>
          </w:tcPr>
          <w:p>
            <w:pPr>
              <w:jc w:val="right"/>
              <w:ind w:right="137"/>
              <w:spacing w:after="0"/>
              <w:rPr>
                <w:sz w:val="20"/>
                <w:szCs w:val="20"/>
                <w:color w:val="auto"/>
              </w:rPr>
            </w:pPr>
            <w:r>
              <w:rPr>
                <w:rFonts w:ascii="Arial" w:cs="Arial" w:eastAsia="Arial" w:hAnsi="Arial"/>
                <w:sz w:val="13"/>
                <w:szCs w:val="13"/>
                <w:color w:val="auto"/>
              </w:rPr>
              <w:t>4</w:t>
            </w:r>
          </w:p>
        </w:tc>
        <w:tc>
          <w:tcPr>
            <w:tcW w:w="460" w:type="dxa"/>
            <w:vAlign w:val="bottom"/>
            <w:tcBorders>
              <w:top w:val="single" w:sz="8" w:color="auto"/>
              <w:bottom w:val="single" w:sz="8" w:color="auto"/>
            </w:tcBorders>
            <w:shd w:val="clear" w:color="auto" w:fill="F3F3F4"/>
          </w:tcPr>
          <w:p>
            <w:pPr>
              <w:jc w:val="right"/>
              <w:ind w:right="137"/>
              <w:spacing w:after="0"/>
              <w:rPr>
                <w:sz w:val="20"/>
                <w:szCs w:val="20"/>
                <w:color w:val="auto"/>
              </w:rPr>
            </w:pPr>
            <w:r>
              <w:rPr>
                <w:rFonts w:ascii="Arial" w:cs="Arial" w:eastAsia="Arial" w:hAnsi="Arial"/>
                <w:sz w:val="13"/>
                <w:szCs w:val="13"/>
                <w:color w:val="auto"/>
              </w:rPr>
              <w:t>5</w:t>
            </w:r>
          </w:p>
        </w:tc>
        <w:tc>
          <w:tcPr>
            <w:tcW w:w="460" w:type="dxa"/>
            <w:vAlign w:val="bottom"/>
            <w:tcBorders>
              <w:top w:val="single" w:sz="8" w:color="auto"/>
              <w:bottom w:val="single" w:sz="8" w:color="auto"/>
            </w:tcBorders>
            <w:shd w:val="clear" w:color="auto" w:fill="F3F3F4"/>
          </w:tcPr>
          <w:p>
            <w:pPr>
              <w:jc w:val="right"/>
              <w:ind w:right="137"/>
              <w:spacing w:after="0"/>
              <w:rPr>
                <w:sz w:val="20"/>
                <w:szCs w:val="20"/>
                <w:color w:val="auto"/>
              </w:rPr>
            </w:pPr>
            <w:r>
              <w:rPr>
                <w:rFonts w:ascii="Arial" w:cs="Arial" w:eastAsia="Arial" w:hAnsi="Arial"/>
                <w:sz w:val="13"/>
                <w:szCs w:val="13"/>
                <w:color w:val="auto"/>
              </w:rPr>
              <w:t>6</w:t>
            </w:r>
          </w:p>
        </w:tc>
        <w:tc>
          <w:tcPr>
            <w:tcW w:w="460" w:type="dxa"/>
            <w:vAlign w:val="bottom"/>
            <w:tcBorders>
              <w:top w:val="single" w:sz="8" w:color="auto"/>
              <w:bottom w:val="single" w:sz="8" w:color="auto"/>
            </w:tcBorders>
            <w:shd w:val="clear" w:color="auto" w:fill="F3F3F4"/>
          </w:tcPr>
          <w:p>
            <w:pPr>
              <w:jc w:val="right"/>
              <w:ind w:right="137"/>
              <w:spacing w:after="0"/>
              <w:rPr>
                <w:sz w:val="20"/>
                <w:szCs w:val="20"/>
                <w:color w:val="auto"/>
              </w:rPr>
            </w:pPr>
            <w:r>
              <w:rPr>
                <w:rFonts w:ascii="Arial" w:cs="Arial" w:eastAsia="Arial" w:hAnsi="Arial"/>
                <w:sz w:val="13"/>
                <w:szCs w:val="13"/>
                <w:color w:val="auto"/>
              </w:rPr>
              <w:t>7</w:t>
            </w:r>
          </w:p>
        </w:tc>
        <w:tc>
          <w:tcPr>
            <w:tcW w:w="440" w:type="dxa"/>
            <w:vAlign w:val="bottom"/>
            <w:tcBorders>
              <w:top w:val="single" w:sz="8" w:color="auto"/>
              <w:bottom w:val="single" w:sz="8" w:color="auto"/>
            </w:tcBorders>
            <w:shd w:val="clear" w:color="auto" w:fill="F3F3F4"/>
          </w:tcPr>
          <w:p>
            <w:pPr>
              <w:jc w:val="right"/>
              <w:ind w:right="117"/>
              <w:spacing w:after="0"/>
              <w:rPr>
                <w:sz w:val="20"/>
                <w:szCs w:val="20"/>
                <w:color w:val="auto"/>
              </w:rPr>
            </w:pPr>
            <w:r>
              <w:rPr>
                <w:rFonts w:ascii="Arial" w:cs="Arial" w:eastAsia="Arial" w:hAnsi="Arial"/>
                <w:sz w:val="13"/>
                <w:szCs w:val="13"/>
                <w:color w:val="auto"/>
              </w:rPr>
              <w:t>8</w:t>
            </w:r>
          </w:p>
        </w:tc>
        <w:tc>
          <w:tcPr>
            <w:tcW w:w="460" w:type="dxa"/>
            <w:vAlign w:val="bottom"/>
            <w:tcBorders>
              <w:top w:val="single" w:sz="8" w:color="auto"/>
              <w:bottom w:val="single" w:sz="8" w:color="auto"/>
            </w:tcBorders>
            <w:shd w:val="clear" w:color="auto" w:fill="F3F3F4"/>
          </w:tcPr>
          <w:p>
            <w:pPr>
              <w:jc w:val="right"/>
              <w:ind w:right="117"/>
              <w:spacing w:after="0"/>
              <w:rPr>
                <w:sz w:val="20"/>
                <w:szCs w:val="20"/>
                <w:color w:val="auto"/>
              </w:rPr>
            </w:pPr>
            <w:r>
              <w:rPr>
                <w:rFonts w:ascii="Arial" w:cs="Arial" w:eastAsia="Arial" w:hAnsi="Arial"/>
                <w:sz w:val="13"/>
                <w:szCs w:val="13"/>
                <w:color w:val="auto"/>
              </w:rPr>
              <w:t>9</w:t>
            </w:r>
          </w:p>
        </w:tc>
        <w:tc>
          <w:tcPr>
            <w:tcW w:w="460" w:type="dxa"/>
            <w:vAlign w:val="bottom"/>
            <w:tcBorders>
              <w:top w:val="single" w:sz="8" w:color="auto"/>
              <w:bottom w:val="single" w:sz="8" w:color="auto"/>
            </w:tcBorders>
            <w:shd w:val="clear" w:color="auto" w:fill="F3F3F4"/>
          </w:tcPr>
          <w:p>
            <w:pPr>
              <w:jc w:val="right"/>
              <w:ind w:right="97"/>
              <w:spacing w:after="0"/>
              <w:rPr>
                <w:sz w:val="20"/>
                <w:szCs w:val="20"/>
                <w:color w:val="auto"/>
              </w:rPr>
            </w:pPr>
            <w:r>
              <w:rPr>
                <w:rFonts w:ascii="Arial" w:cs="Arial" w:eastAsia="Arial" w:hAnsi="Arial"/>
                <w:sz w:val="13"/>
                <w:szCs w:val="13"/>
                <w:color w:val="auto"/>
              </w:rPr>
              <w:t>10</w:t>
            </w:r>
          </w:p>
        </w:tc>
        <w:tc>
          <w:tcPr>
            <w:tcW w:w="480" w:type="dxa"/>
            <w:vAlign w:val="bottom"/>
            <w:tcBorders>
              <w:top w:val="single" w:sz="8" w:color="auto"/>
              <w:bottom w:val="single" w:sz="8" w:color="auto"/>
            </w:tcBorders>
            <w:shd w:val="clear" w:color="auto" w:fill="F3F3F4"/>
          </w:tcPr>
          <w:p>
            <w:pPr>
              <w:jc w:val="right"/>
              <w:ind w:right="117"/>
              <w:spacing w:after="0"/>
              <w:rPr>
                <w:sz w:val="20"/>
                <w:szCs w:val="20"/>
                <w:color w:val="auto"/>
              </w:rPr>
            </w:pPr>
            <w:r>
              <w:rPr>
                <w:rFonts w:ascii="Arial" w:cs="Arial" w:eastAsia="Arial" w:hAnsi="Arial"/>
                <w:sz w:val="13"/>
                <w:szCs w:val="13"/>
                <w:color w:val="auto"/>
              </w:rPr>
              <w:t>11</w:t>
            </w:r>
          </w:p>
        </w:tc>
        <w:tc>
          <w:tcPr>
            <w:tcW w:w="440" w:type="dxa"/>
            <w:vAlign w:val="bottom"/>
            <w:tcBorders>
              <w:top w:val="single" w:sz="8" w:color="auto"/>
              <w:bottom w:val="single" w:sz="8" w:color="auto"/>
            </w:tcBorders>
            <w:shd w:val="clear" w:color="auto" w:fill="F3F3F4"/>
          </w:tcPr>
          <w:p>
            <w:pPr>
              <w:jc w:val="right"/>
              <w:ind w:right="97"/>
              <w:spacing w:after="0"/>
              <w:rPr>
                <w:sz w:val="20"/>
                <w:szCs w:val="20"/>
                <w:color w:val="auto"/>
              </w:rPr>
            </w:pPr>
            <w:r>
              <w:rPr>
                <w:rFonts w:ascii="Arial" w:cs="Arial" w:eastAsia="Arial" w:hAnsi="Arial"/>
                <w:sz w:val="13"/>
                <w:szCs w:val="13"/>
                <w:color w:val="auto"/>
              </w:rPr>
              <w:t>12</w:t>
            </w:r>
          </w:p>
        </w:tc>
        <w:tc>
          <w:tcPr>
            <w:tcW w:w="460" w:type="dxa"/>
            <w:vAlign w:val="bottom"/>
            <w:tcBorders>
              <w:top w:val="single" w:sz="8" w:color="auto"/>
              <w:bottom w:val="single" w:sz="8" w:color="auto"/>
            </w:tcBorders>
            <w:shd w:val="clear" w:color="auto" w:fill="F3F3F4"/>
          </w:tcPr>
          <w:p>
            <w:pPr>
              <w:jc w:val="right"/>
              <w:ind w:right="97"/>
              <w:spacing w:after="0"/>
              <w:rPr>
                <w:sz w:val="20"/>
                <w:szCs w:val="20"/>
                <w:color w:val="auto"/>
              </w:rPr>
            </w:pPr>
            <w:r>
              <w:rPr>
                <w:rFonts w:ascii="Arial" w:cs="Arial" w:eastAsia="Arial" w:hAnsi="Arial"/>
                <w:sz w:val="13"/>
                <w:szCs w:val="13"/>
                <w:color w:val="auto"/>
              </w:rPr>
              <w:t>13</w:t>
            </w:r>
          </w:p>
        </w:tc>
        <w:tc>
          <w:tcPr>
            <w:tcW w:w="460" w:type="dxa"/>
            <w:vAlign w:val="bottom"/>
            <w:tcBorders>
              <w:top w:val="single" w:sz="8" w:color="auto"/>
              <w:bottom w:val="single" w:sz="8" w:color="auto"/>
            </w:tcBorders>
            <w:shd w:val="clear" w:color="auto" w:fill="F3F3F4"/>
          </w:tcPr>
          <w:p>
            <w:pPr>
              <w:jc w:val="right"/>
              <w:ind w:right="97"/>
              <w:spacing w:after="0"/>
              <w:rPr>
                <w:sz w:val="20"/>
                <w:szCs w:val="20"/>
                <w:color w:val="auto"/>
              </w:rPr>
            </w:pPr>
            <w:r>
              <w:rPr>
                <w:rFonts w:ascii="Arial" w:cs="Arial" w:eastAsia="Arial" w:hAnsi="Arial"/>
                <w:sz w:val="13"/>
                <w:szCs w:val="13"/>
                <w:color w:val="auto"/>
              </w:rPr>
              <w:t>14</w:t>
            </w:r>
          </w:p>
        </w:tc>
        <w:tc>
          <w:tcPr>
            <w:tcW w:w="460" w:type="dxa"/>
            <w:vAlign w:val="bottom"/>
            <w:tcBorders>
              <w:top w:val="single" w:sz="8" w:color="auto"/>
              <w:bottom w:val="single" w:sz="8" w:color="auto"/>
            </w:tcBorders>
            <w:shd w:val="clear" w:color="auto" w:fill="F3F3F4"/>
          </w:tcPr>
          <w:p>
            <w:pPr>
              <w:jc w:val="right"/>
              <w:ind w:right="97"/>
              <w:spacing w:after="0"/>
              <w:rPr>
                <w:sz w:val="20"/>
                <w:szCs w:val="20"/>
                <w:color w:val="auto"/>
              </w:rPr>
            </w:pPr>
            <w:r>
              <w:rPr>
                <w:rFonts w:ascii="Arial" w:cs="Arial" w:eastAsia="Arial" w:hAnsi="Arial"/>
                <w:sz w:val="13"/>
                <w:szCs w:val="13"/>
                <w:color w:val="auto"/>
              </w:rPr>
              <w:t>15</w:t>
            </w:r>
          </w:p>
        </w:tc>
        <w:tc>
          <w:tcPr>
            <w:tcW w:w="480" w:type="dxa"/>
            <w:vAlign w:val="bottom"/>
            <w:tcBorders>
              <w:top w:val="single" w:sz="8" w:color="auto"/>
              <w:bottom w:val="single" w:sz="8" w:color="auto"/>
            </w:tcBorders>
            <w:shd w:val="clear" w:color="auto" w:fill="F3F3F4"/>
          </w:tcPr>
          <w:p>
            <w:pPr>
              <w:jc w:val="right"/>
              <w:ind w:right="117"/>
              <w:spacing w:after="0"/>
              <w:rPr>
                <w:sz w:val="20"/>
                <w:szCs w:val="20"/>
                <w:color w:val="auto"/>
              </w:rPr>
            </w:pPr>
            <w:r>
              <w:rPr>
                <w:rFonts w:ascii="Arial" w:cs="Arial" w:eastAsia="Arial" w:hAnsi="Arial"/>
                <w:sz w:val="13"/>
                <w:szCs w:val="13"/>
                <w:color w:val="auto"/>
              </w:rPr>
              <w:t>16</w:t>
            </w:r>
          </w:p>
        </w:tc>
        <w:tc>
          <w:tcPr>
            <w:tcW w:w="460" w:type="dxa"/>
            <w:vAlign w:val="bottom"/>
            <w:tcBorders>
              <w:top w:val="single" w:sz="8" w:color="auto"/>
              <w:bottom w:val="single" w:sz="8" w:color="auto"/>
            </w:tcBorders>
            <w:shd w:val="clear" w:color="auto" w:fill="F3F3F4"/>
          </w:tcPr>
          <w:p>
            <w:pPr>
              <w:jc w:val="right"/>
              <w:ind w:right="97"/>
              <w:spacing w:after="0"/>
              <w:rPr>
                <w:sz w:val="20"/>
                <w:szCs w:val="20"/>
                <w:color w:val="auto"/>
              </w:rPr>
            </w:pPr>
            <w:r>
              <w:rPr>
                <w:rFonts w:ascii="Arial" w:cs="Arial" w:eastAsia="Arial" w:hAnsi="Arial"/>
                <w:sz w:val="13"/>
                <w:szCs w:val="13"/>
                <w:color w:val="auto"/>
              </w:rPr>
              <w:t>17</w:t>
            </w:r>
          </w:p>
        </w:tc>
        <w:tc>
          <w:tcPr>
            <w:tcW w:w="480" w:type="dxa"/>
            <w:vAlign w:val="bottom"/>
            <w:tcBorders>
              <w:top w:val="single" w:sz="8" w:color="auto"/>
              <w:bottom w:val="single" w:sz="8" w:color="auto"/>
            </w:tcBorders>
            <w:shd w:val="clear" w:color="auto" w:fill="F3F3F4"/>
          </w:tcPr>
          <w:p>
            <w:pPr>
              <w:jc w:val="right"/>
              <w:ind w:right="97"/>
              <w:spacing w:after="0"/>
              <w:rPr>
                <w:sz w:val="20"/>
                <w:szCs w:val="20"/>
                <w:color w:val="auto"/>
              </w:rPr>
            </w:pPr>
            <w:r>
              <w:rPr>
                <w:rFonts w:ascii="Arial" w:cs="Arial" w:eastAsia="Arial" w:hAnsi="Arial"/>
                <w:sz w:val="13"/>
                <w:szCs w:val="13"/>
                <w:color w:val="auto"/>
              </w:rPr>
              <w:t>18</w:t>
            </w:r>
          </w:p>
        </w:tc>
        <w:tc>
          <w:tcPr>
            <w:tcW w:w="480" w:type="dxa"/>
            <w:vAlign w:val="bottom"/>
            <w:tcBorders>
              <w:top w:val="single" w:sz="8" w:color="auto"/>
              <w:bottom w:val="single" w:sz="8" w:color="auto"/>
            </w:tcBorders>
            <w:shd w:val="clear" w:color="auto" w:fill="F3F3F4"/>
          </w:tcPr>
          <w:p>
            <w:pPr>
              <w:jc w:val="right"/>
              <w:ind w:right="117"/>
              <w:spacing w:after="0"/>
              <w:rPr>
                <w:sz w:val="20"/>
                <w:szCs w:val="20"/>
                <w:color w:val="auto"/>
              </w:rPr>
            </w:pPr>
            <w:r>
              <w:rPr>
                <w:rFonts w:ascii="Arial" w:cs="Arial" w:eastAsia="Arial" w:hAnsi="Arial"/>
                <w:sz w:val="13"/>
                <w:szCs w:val="13"/>
                <w:color w:val="auto"/>
              </w:rPr>
              <w:t>19</w:t>
            </w:r>
          </w:p>
        </w:tc>
        <w:tc>
          <w:tcPr>
            <w:tcW w:w="380" w:type="dxa"/>
            <w:vAlign w:val="bottom"/>
            <w:tcBorders>
              <w:top w:val="single" w:sz="8" w:color="auto"/>
              <w:bottom w:val="single" w:sz="8" w:color="auto"/>
            </w:tcBorders>
            <w:shd w:val="clear" w:color="auto" w:fill="F3F3F4"/>
          </w:tcPr>
          <w:p>
            <w:pPr>
              <w:jc w:val="right"/>
              <w:ind w:right="17"/>
              <w:spacing w:after="0"/>
              <w:rPr>
                <w:sz w:val="20"/>
                <w:szCs w:val="20"/>
                <w:color w:val="auto"/>
              </w:rPr>
            </w:pPr>
            <w:r>
              <w:rPr>
                <w:rFonts w:ascii="Arial" w:cs="Arial" w:eastAsia="Arial" w:hAnsi="Arial"/>
                <w:sz w:val="13"/>
                <w:szCs w:val="13"/>
                <w:color w:val="auto"/>
              </w:rPr>
              <w:t>20</w:t>
            </w:r>
          </w:p>
        </w:tc>
        <w:tc>
          <w:tcPr>
            <w:tcW w:w="540" w:type="dxa"/>
            <w:vAlign w:val="bottom"/>
            <w:tcBorders>
              <w:top w:val="single" w:sz="8" w:color="auto"/>
              <w:bottom w:val="single" w:sz="8" w:color="auto"/>
            </w:tcBorders>
            <w:shd w:val="clear" w:color="auto" w:fill="F3F3F4"/>
          </w:tcPr>
          <w:p>
            <w:pPr>
              <w:jc w:val="right"/>
              <w:ind w:right="37"/>
              <w:spacing w:after="0"/>
              <w:rPr>
                <w:sz w:val="20"/>
                <w:szCs w:val="20"/>
                <w:color w:val="auto"/>
              </w:rPr>
            </w:pPr>
            <w:r>
              <w:rPr>
                <w:rFonts w:ascii="Arial" w:cs="Arial" w:eastAsia="Arial" w:hAnsi="Arial"/>
                <w:sz w:val="13"/>
                <w:szCs w:val="13"/>
                <w:color w:val="auto"/>
              </w:rPr>
              <w:t>21–23</w:t>
            </w:r>
          </w:p>
        </w:tc>
      </w:tr>
      <w:tr>
        <w:trPr>
          <w:trHeight w:val="183"/>
        </w:trPr>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Payout (%)</w:t>
            </w: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200</w:t>
            </w: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180</w:t>
            </w: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171</w:t>
            </w: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163</w:t>
            </w: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154</w:t>
            </w: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146</w:t>
            </w: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137</w:t>
            </w: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129</w:t>
            </w: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115</w:t>
            </w:r>
          </w:p>
        </w:tc>
        <w:tc>
          <w:tcPr>
            <w:tcW w:w="4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95</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86</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76</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67</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57</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48</w:t>
            </w: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39</w:t>
            </w:r>
          </w:p>
        </w:tc>
        <w:tc>
          <w:tcPr>
            <w:tcW w:w="4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29</w:t>
            </w: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bl>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Relative TSR target awards are granted using RSUs, with any earned awards settled in cash based on the closing share price on the vesting date. These awards are eligible for dividend equivalents that accumulate during the vesting periods if dividends are declared and paid by the Company during such period, subject to the resulting performance multiple. If a payout is warranted, dividends are paid in cash after the end of the vesting periods based on the same achievement and vesting schedule as the underlying awards. Dividends are forfeited if the underlying awards are forfeited. Any earned awards are capped at 1x target if absolute TSR is negative.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Options</w:t>
      </w:r>
    </w:p>
    <w:p>
      <w:pPr>
        <w:spacing w:after="0" w:line="102"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Stock options are intended to promote long-term shareholder value creation by delivering value only if the Company’s stock price appreciates above the exercise price. As a result, they represent a fully at-risk component of long-term incentive compensation and align executives’ interests directly with sustained stock price growth. The options vest in three equal installments on each of the first three anniversaries of the grant date, subject to continued service, and have a 10-year term.</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Time-Based Restricted Stock Units (RSUs)</w:t>
      </w:r>
    </w:p>
    <w:p>
      <w:pPr>
        <w:spacing w:after="0" w:line="102"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Time-based RSUs are designed to support APA’s leadership retention objectives and align long-term compensation with stock performance. RSUs vest ratably over three years. The NEOs receive common stock for a portion of the RSU awards that vest. The remaining portion of the RSUs are paid in cash at vesting.</w:t>
      </w:r>
    </w:p>
    <w:p>
      <w:pPr>
        <w:spacing w:after="0" w:line="293"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28</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556895</wp:posOffset>
            </wp:positionV>
            <wp:extent cx="703770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38" w:right="1099" w:bottom="1440" w:gutter="0" w:footer="0" w:header="0"/>
        </w:sectPr>
      </w:pPr>
    </w:p>
    <w:bookmarkStart w:id="34" w:name="page35"/>
    <w:bookmarkEnd w:id="34"/>
    <w:p>
      <w:pPr>
        <w:ind w:left="660"/>
        <w:spacing w:after="0"/>
        <w:rPr>
          <w:sz w:val="20"/>
          <w:szCs w:val="20"/>
          <w:color w:val="auto"/>
        </w:rPr>
      </w:pPr>
      <w:r>
        <w:rPr>
          <w:rFonts w:ascii="Arial" w:cs="Arial" w:eastAsia="Arial" w:hAnsi="Arial"/>
          <w:sz w:val="20"/>
          <w:szCs w:val="20"/>
          <w:b w:val="1"/>
          <w:bCs w:val="1"/>
          <w:i w:val="1"/>
          <w:iCs w:val="1"/>
          <w:color w:val="auto"/>
        </w:rPr>
        <w:t>Performance Awards Earned for 2023 Grants (January 1, 2023 – December 31, 2025)</w:t>
      </w:r>
    </w:p>
    <w:p>
      <w:pPr>
        <w:spacing w:after="0" w:line="102" w:lineRule="exact"/>
        <w:rPr>
          <w:sz w:val="20"/>
          <w:szCs w:val="20"/>
          <w:color w:val="auto"/>
        </w:rPr>
      </w:pPr>
    </w:p>
    <w:p>
      <w:pPr>
        <w:ind w:left="660" w:right="940"/>
        <w:spacing w:after="0" w:line="266" w:lineRule="auto"/>
        <w:rPr>
          <w:sz w:val="20"/>
          <w:szCs w:val="20"/>
          <w:color w:val="auto"/>
        </w:rPr>
      </w:pPr>
      <w:r>
        <w:rPr>
          <w:rFonts w:ascii="Arial" w:cs="Arial" w:eastAsia="Arial" w:hAnsi="Arial"/>
          <w:sz w:val="16"/>
          <w:szCs w:val="16"/>
          <w:color w:val="auto"/>
        </w:rPr>
        <w:t>In 2023, the NEOs at that time were granted their target performance awards with vesting based on achievement of CROIC, relative TSR, and Sustainability goals. Based on the results below, performance awards were earned at 120% of target. Half (50%) of the performance awards vested in 2026, and the other half will vest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48895</wp:posOffset>
            </wp:positionV>
            <wp:extent cx="6172200" cy="2317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72200" cy="23177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Results for 2023-2025 Performance Awards</w:t>
      </w:r>
    </w:p>
    <w:p>
      <w:pPr>
        <w:spacing w:after="0" w:line="80"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3280" w:type="dxa"/>
            <w:vAlign w:val="bottom"/>
            <w:tcBorders>
              <w:top w:val="single" w:sz="8" w:color="auto"/>
              <w:bottom w:val="single" w:sz="8" w:color="F3F3F4"/>
            </w:tcBorders>
            <w:shd w:val="clear" w:color="auto" w:fill="F3F3F4"/>
          </w:tcPr>
          <w:p>
            <w:pPr>
              <w:spacing w:after="0"/>
              <w:rPr>
                <w:sz w:val="21"/>
                <w:szCs w:val="21"/>
                <w:color w:val="auto"/>
              </w:rPr>
            </w:pPr>
          </w:p>
        </w:tc>
        <w:tc>
          <w:tcPr>
            <w:tcW w:w="880" w:type="dxa"/>
            <w:vAlign w:val="bottom"/>
            <w:tcBorders>
              <w:top w:val="single" w:sz="8" w:color="auto"/>
              <w:bottom w:val="single" w:sz="8" w:color="F3F3F4"/>
            </w:tcBorders>
            <w:shd w:val="clear" w:color="auto" w:fill="F3F3F4"/>
          </w:tcPr>
          <w:p>
            <w:pPr>
              <w:spacing w:after="0"/>
              <w:rPr>
                <w:sz w:val="21"/>
                <w:szCs w:val="21"/>
                <w:color w:val="auto"/>
              </w:rPr>
            </w:pPr>
          </w:p>
        </w:tc>
        <w:tc>
          <w:tcPr>
            <w:tcW w:w="120" w:type="dxa"/>
            <w:vAlign w:val="bottom"/>
            <w:tcBorders>
              <w:top w:val="single" w:sz="8" w:color="auto"/>
              <w:bottom w:val="single" w:sz="8" w:color="F3F3F4"/>
            </w:tcBorders>
            <w:shd w:val="clear" w:color="auto" w:fill="F3F3F4"/>
          </w:tcPr>
          <w:p>
            <w:pPr>
              <w:spacing w:after="0"/>
              <w:rPr>
                <w:sz w:val="21"/>
                <w:szCs w:val="21"/>
                <w:color w:val="auto"/>
              </w:rPr>
            </w:pPr>
          </w:p>
        </w:tc>
        <w:tc>
          <w:tcPr>
            <w:tcW w:w="3900" w:type="dxa"/>
            <w:vAlign w:val="bottom"/>
            <w:tcBorders>
              <w:top w:val="single" w:sz="8" w:color="auto"/>
              <w:bottom w:val="single" w:sz="8" w:color="F3F3F4"/>
            </w:tcBorders>
            <w:gridSpan w:val="3"/>
            <w:shd w:val="clear" w:color="auto" w:fill="F3F3F4"/>
          </w:tcPr>
          <w:p>
            <w:pPr>
              <w:ind w:left="1140"/>
              <w:spacing w:after="0"/>
              <w:rPr>
                <w:sz w:val="20"/>
                <w:szCs w:val="20"/>
                <w:color w:val="auto"/>
              </w:rPr>
            </w:pPr>
            <w:r>
              <w:rPr>
                <w:rFonts w:ascii="Arial" w:cs="Arial" w:eastAsia="Arial" w:hAnsi="Arial"/>
                <w:sz w:val="16"/>
                <w:szCs w:val="16"/>
                <w:b w:val="1"/>
                <w:bCs w:val="1"/>
                <w:color w:val="auto"/>
              </w:rPr>
              <w:t>Performance Goals and Results</w:t>
            </w:r>
          </w:p>
        </w:tc>
        <w:tc>
          <w:tcPr>
            <w:tcW w:w="860" w:type="dxa"/>
            <w:vAlign w:val="bottom"/>
            <w:tcBorders>
              <w:top w:val="single" w:sz="8" w:color="auto"/>
              <w:bottom w:val="single" w:sz="8" w:color="F3F3F4"/>
            </w:tcBorders>
            <w:shd w:val="clear" w:color="auto" w:fill="F3F3F4"/>
          </w:tcPr>
          <w:p>
            <w:pPr>
              <w:spacing w:after="0"/>
              <w:rPr>
                <w:sz w:val="21"/>
                <w:szCs w:val="21"/>
                <w:color w:val="auto"/>
              </w:rPr>
            </w:pPr>
          </w:p>
        </w:tc>
        <w:tc>
          <w:tcPr>
            <w:tcW w:w="680" w:type="dxa"/>
            <w:vAlign w:val="bottom"/>
            <w:tcBorders>
              <w:top w:val="single" w:sz="8" w:color="auto"/>
              <w:bottom w:val="single" w:sz="8" w:color="F3F3F4"/>
            </w:tcBorders>
            <w:shd w:val="clear" w:color="auto" w:fill="F3F3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F3F3F4"/>
          </w:tcPr>
          <w:p>
            <w:pPr>
              <w:ind w:left="60"/>
              <w:spacing w:after="0"/>
              <w:rPr>
                <w:sz w:val="20"/>
                <w:szCs w:val="20"/>
                <w:color w:val="auto"/>
              </w:rPr>
            </w:pPr>
            <w:r>
              <w:rPr>
                <w:rFonts w:ascii="Arial" w:cs="Arial" w:eastAsia="Arial" w:hAnsi="Arial"/>
                <w:sz w:val="16"/>
                <w:szCs w:val="16"/>
                <w:b w:val="1"/>
                <w:bCs w:val="1"/>
                <w:color w:val="auto"/>
              </w:rPr>
              <w:t>Metrics</w:t>
            </w:r>
          </w:p>
        </w:tc>
        <w:tc>
          <w:tcPr>
            <w:tcW w:w="880" w:type="dxa"/>
            <w:vAlign w:val="bottom"/>
            <w:vMerge w:val="restart"/>
            <w:shd w:val="clear" w:color="auto" w:fill="F3F3F4"/>
          </w:tcPr>
          <w:p>
            <w:pPr>
              <w:jc w:val="center"/>
              <w:ind w:left="19"/>
              <w:spacing w:after="0"/>
              <w:rPr>
                <w:sz w:val="20"/>
                <w:szCs w:val="20"/>
                <w:color w:val="auto"/>
              </w:rPr>
            </w:pPr>
            <w:r>
              <w:rPr>
                <w:rFonts w:ascii="Arial" w:cs="Arial" w:eastAsia="Arial" w:hAnsi="Arial"/>
                <w:sz w:val="16"/>
                <w:szCs w:val="16"/>
                <w:b w:val="1"/>
                <w:bCs w:val="1"/>
                <w:color w:val="auto"/>
              </w:rPr>
              <w:t>Weight</w:t>
            </w:r>
          </w:p>
        </w:tc>
        <w:tc>
          <w:tcPr>
            <w:tcW w:w="120" w:type="dxa"/>
            <w:vAlign w:val="bottom"/>
            <w:shd w:val="clear" w:color="auto" w:fill="F3F3F4"/>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F3F3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F3F3F4"/>
            </w:tcBorders>
            <w:vMerge w:val="continue"/>
            <w:shd w:val="clear" w:color="auto" w:fill="F3F3F4"/>
          </w:tcPr>
          <w:p>
            <w:pPr>
              <w:spacing w:after="0"/>
              <w:rPr>
                <w:sz w:val="21"/>
                <w:szCs w:val="21"/>
                <w:color w:val="auto"/>
              </w:rPr>
            </w:pPr>
          </w:p>
        </w:tc>
        <w:tc>
          <w:tcPr>
            <w:tcW w:w="880" w:type="dxa"/>
            <w:vAlign w:val="bottom"/>
            <w:tcBorders>
              <w:bottom w:val="single" w:sz="8" w:color="F3F3F4"/>
            </w:tcBorders>
            <w:vMerge w:val="continue"/>
            <w:shd w:val="clear" w:color="auto" w:fill="F3F3F4"/>
          </w:tcPr>
          <w:p>
            <w:pPr>
              <w:spacing w:after="0"/>
              <w:rPr>
                <w:sz w:val="21"/>
                <w:szCs w:val="21"/>
                <w:color w:val="auto"/>
              </w:rPr>
            </w:pPr>
          </w:p>
        </w:tc>
        <w:tc>
          <w:tcPr>
            <w:tcW w:w="120" w:type="dxa"/>
            <w:vAlign w:val="bottom"/>
            <w:tcBorders>
              <w:bottom w:val="single" w:sz="8" w:color="F3F3F4"/>
            </w:tcBorders>
            <w:shd w:val="clear" w:color="auto" w:fill="F3F3F4"/>
          </w:tcPr>
          <w:p>
            <w:pPr>
              <w:spacing w:after="0"/>
              <w:rPr>
                <w:sz w:val="21"/>
                <w:szCs w:val="21"/>
                <w:color w:val="auto"/>
              </w:rPr>
            </w:pPr>
          </w:p>
        </w:tc>
        <w:tc>
          <w:tcPr>
            <w:tcW w:w="1540" w:type="dxa"/>
            <w:vAlign w:val="bottom"/>
            <w:tcBorders>
              <w:bottom w:val="single" w:sz="8" w:color="F3F3F4"/>
            </w:tcBorders>
            <w:shd w:val="clear" w:color="auto" w:fill="F3F3F4"/>
          </w:tcPr>
          <w:p>
            <w:pPr>
              <w:jc w:val="center"/>
              <w:spacing w:after="0"/>
              <w:rPr>
                <w:sz w:val="20"/>
                <w:szCs w:val="20"/>
                <w:color w:val="auto"/>
              </w:rPr>
            </w:pPr>
            <w:r>
              <w:rPr>
                <w:rFonts w:ascii="Arial" w:cs="Arial" w:eastAsia="Arial" w:hAnsi="Arial"/>
                <w:sz w:val="16"/>
                <w:szCs w:val="16"/>
                <w:b w:val="1"/>
                <w:bCs w:val="1"/>
                <w:color w:val="auto"/>
              </w:rPr>
              <w:t>Variable</w:t>
            </w:r>
          </w:p>
        </w:tc>
        <w:tc>
          <w:tcPr>
            <w:tcW w:w="920" w:type="dxa"/>
            <w:vAlign w:val="bottom"/>
            <w:tcBorders>
              <w:bottom w:val="single" w:sz="8" w:color="F3F3F4"/>
            </w:tcBorders>
            <w:shd w:val="clear" w:color="auto" w:fill="F3F3F4"/>
          </w:tcPr>
          <w:p>
            <w:pPr>
              <w:ind w:left="80"/>
              <w:spacing w:after="0"/>
              <w:rPr>
                <w:sz w:val="20"/>
                <w:szCs w:val="20"/>
                <w:color w:val="auto"/>
              </w:rPr>
            </w:pPr>
            <w:r>
              <w:rPr>
                <w:rFonts w:ascii="Arial" w:cs="Arial" w:eastAsia="Arial" w:hAnsi="Arial"/>
                <w:sz w:val="16"/>
                <w:szCs w:val="16"/>
                <w:b w:val="1"/>
                <w:bCs w:val="1"/>
                <w:color w:val="auto"/>
              </w:rPr>
              <w:t>Threshold</w:t>
            </w:r>
          </w:p>
        </w:tc>
        <w:tc>
          <w:tcPr>
            <w:tcW w:w="1440" w:type="dxa"/>
            <w:vAlign w:val="bottom"/>
            <w:tcBorders>
              <w:bottom w:val="single" w:sz="8" w:color="F3F3F4"/>
            </w:tcBorders>
            <w:shd w:val="clear" w:color="auto" w:fill="F3F3F4"/>
          </w:tcPr>
          <w:p>
            <w:pPr>
              <w:jc w:val="center"/>
              <w:ind w:right="62"/>
              <w:spacing w:after="0"/>
              <w:rPr>
                <w:sz w:val="20"/>
                <w:szCs w:val="20"/>
                <w:color w:val="auto"/>
              </w:rPr>
            </w:pPr>
            <w:r>
              <w:rPr>
                <w:rFonts w:ascii="Arial" w:cs="Arial" w:eastAsia="Arial" w:hAnsi="Arial"/>
                <w:sz w:val="16"/>
                <w:szCs w:val="16"/>
                <w:b w:val="1"/>
                <w:bCs w:val="1"/>
                <w:color w:val="auto"/>
              </w:rPr>
              <w:t>Target</w:t>
            </w:r>
          </w:p>
        </w:tc>
        <w:tc>
          <w:tcPr>
            <w:tcW w:w="1540" w:type="dxa"/>
            <w:vAlign w:val="bottom"/>
            <w:tcBorders>
              <w:bottom w:val="single" w:sz="8" w:color="F3F3F4"/>
            </w:tcBorders>
            <w:gridSpan w:val="2"/>
            <w:shd w:val="clear" w:color="auto" w:fill="F3F3F4"/>
          </w:tcPr>
          <w:p>
            <w:pPr>
              <w:ind w:left="100"/>
              <w:spacing w:after="0"/>
              <w:rPr>
                <w:sz w:val="20"/>
                <w:szCs w:val="20"/>
                <w:color w:val="auto"/>
              </w:rPr>
            </w:pPr>
            <w:r>
              <w:rPr>
                <w:rFonts w:ascii="Arial" w:cs="Arial" w:eastAsia="Arial" w:hAnsi="Arial"/>
                <w:sz w:val="16"/>
                <w:szCs w:val="16"/>
                <w:b w:val="1"/>
                <w:bCs w:val="1"/>
                <w:color w:val="auto"/>
              </w:rPr>
              <w:t>Maximum Payout</w:t>
            </w:r>
          </w:p>
        </w:tc>
        <w:tc>
          <w:tcPr>
            <w:tcW w:w="0" w:type="dxa"/>
            <w:vAlign w:val="bottom"/>
          </w:tcPr>
          <w:p>
            <w:pPr>
              <w:spacing w:after="0"/>
              <w:rPr>
                <w:sz w:val="1"/>
                <w:szCs w:val="1"/>
                <w:color w:val="auto"/>
              </w:rPr>
            </w:pPr>
          </w:p>
        </w:tc>
      </w:tr>
      <w:tr>
        <w:trPr>
          <w:trHeight w:val="142"/>
        </w:trPr>
        <w:tc>
          <w:tcPr>
            <w:tcW w:w="32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3"/>
                <w:szCs w:val="13"/>
                <w:b w:val="1"/>
                <w:bCs w:val="1"/>
                <w:color w:val="auto"/>
              </w:rPr>
              <w:t>Cash Return on Invested Capital</w:t>
            </w:r>
            <w:r>
              <w:rPr>
                <w:rFonts w:ascii="Arial" w:cs="Arial" w:eastAsia="Arial" w:hAnsi="Arial"/>
                <w:sz w:val="16"/>
                <w:szCs w:val="16"/>
                <w:b w:val="1"/>
                <w:bCs w:val="1"/>
                <w:color w:val="auto"/>
                <w:vertAlign w:val="superscript"/>
              </w:rPr>
              <w:t>(1)</w:t>
            </w: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880" w:type="dxa"/>
            <w:vAlign w:val="bottom"/>
            <w:tcBorders>
              <w:top w:val="single" w:sz="8" w:color="auto"/>
            </w:tcBorders>
          </w:tcPr>
          <w:p>
            <w:pPr>
              <w:jc w:val="center"/>
              <w:ind w:left="19"/>
              <w:spacing w:after="0" w:line="142" w:lineRule="exact"/>
              <w:rPr>
                <w:sz w:val="20"/>
                <w:szCs w:val="20"/>
                <w:color w:val="auto"/>
              </w:rPr>
            </w:pPr>
            <w:r>
              <w:rPr>
                <w:rFonts w:ascii="Arial" w:cs="Arial" w:eastAsia="Arial" w:hAnsi="Arial"/>
                <w:sz w:val="16"/>
                <w:szCs w:val="16"/>
                <w:color w:val="auto"/>
              </w:rPr>
              <w:t>40%</w:t>
            </w: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rPr>
              <w:t>3-Year Average</w:t>
            </w:r>
          </w:p>
        </w:tc>
        <w:tc>
          <w:tcPr>
            <w:tcW w:w="9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rPr>
              <w:t xml:space="preserve">Result: </w:t>
            </w:r>
            <w:r>
              <w:rPr>
                <w:rFonts w:ascii="Arial" w:cs="Arial" w:eastAsia="Arial" w:hAnsi="Arial"/>
                <w:sz w:val="16"/>
                <w:szCs w:val="16"/>
                <w:color w:val="auto"/>
              </w:rPr>
              <w:t>47%</w:t>
            </w:r>
          </w:p>
        </w:tc>
        <w:tc>
          <w:tcPr>
            <w:tcW w:w="1540" w:type="dxa"/>
            <w:vAlign w:val="bottom"/>
            <w:tcBorders>
              <w:top w:val="single" w:sz="8" w:color="auto"/>
            </w:tcBorders>
            <w:gridSpan w:val="2"/>
          </w:tcPr>
          <w:p>
            <w:pPr>
              <w:jc w:val="center"/>
              <w:ind w:left="781"/>
              <w:spacing w:after="0" w:line="142" w:lineRule="exact"/>
              <w:rPr>
                <w:sz w:val="20"/>
                <w:szCs w:val="20"/>
                <w:color w:val="auto"/>
              </w:rPr>
            </w:pPr>
            <w:r>
              <w:rPr>
                <w:rFonts w:ascii="Arial" w:cs="Arial" w:eastAsia="Arial" w:hAnsi="Arial"/>
                <w:sz w:val="16"/>
                <w:szCs w:val="16"/>
                <w:b w:val="1"/>
                <w:bCs w:val="1"/>
                <w:color w:val="auto"/>
                <w:w w:val="99"/>
              </w:rPr>
              <w:t>80%</w:t>
            </w:r>
          </w:p>
        </w:tc>
        <w:tc>
          <w:tcPr>
            <w:tcW w:w="0" w:type="dxa"/>
            <w:vAlign w:val="bottom"/>
          </w:tcPr>
          <w:p>
            <w:pPr>
              <w:spacing w:after="0"/>
              <w:rPr>
                <w:sz w:val="1"/>
                <w:szCs w:val="1"/>
                <w:color w:val="auto"/>
              </w:rPr>
            </w:pPr>
          </w:p>
        </w:tc>
      </w:tr>
      <w:tr>
        <w:trPr>
          <w:trHeight w:val="215"/>
        </w:trPr>
        <w:tc>
          <w:tcPr>
            <w:tcW w:w="3280" w:type="dxa"/>
            <w:vAlign w:val="bottom"/>
          </w:tcPr>
          <w:p>
            <w:pPr>
              <w:ind w:left="60"/>
              <w:spacing w:after="0"/>
              <w:rPr>
                <w:sz w:val="20"/>
                <w:szCs w:val="20"/>
                <w:color w:val="auto"/>
              </w:rPr>
            </w:pPr>
            <w:r>
              <w:rPr>
                <w:rFonts w:ascii="Arial" w:cs="Arial" w:eastAsia="Arial" w:hAnsi="Arial"/>
                <w:sz w:val="16"/>
                <w:szCs w:val="16"/>
                <w:color w:val="auto"/>
              </w:rPr>
              <w:t>incentivizes the sustained generation of</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7"/>
              </w:rPr>
              <w:t>WTI Price</w:t>
            </w:r>
            <w:r>
              <w:rPr>
                <w:rFonts w:ascii="Arial" w:cs="Arial" w:eastAsia="Arial" w:hAnsi="Arial"/>
                <w:sz w:val="21"/>
                <w:szCs w:val="21"/>
                <w:color w:val="auto"/>
                <w:w w:val="97"/>
                <w:vertAlign w:val="superscript"/>
              </w:rPr>
              <w:t>(2)</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60"/>
              <w:spacing w:after="0"/>
              <w:rPr>
                <w:sz w:val="20"/>
                <w:szCs w:val="20"/>
                <w:color w:val="auto"/>
              </w:rPr>
            </w:pPr>
            <w:r>
              <w:rPr>
                <w:rFonts w:ascii="Arial" w:cs="Arial" w:eastAsia="Arial" w:hAnsi="Arial"/>
                <w:sz w:val="16"/>
                <w:szCs w:val="16"/>
                <w:color w:val="auto"/>
              </w:rPr>
              <w:t>returns to shareholders over the long-term,</w:t>
            </w:r>
          </w:p>
        </w:tc>
        <w:tc>
          <w:tcPr>
            <w:tcW w:w="880" w:type="dxa"/>
            <w:vAlign w:val="bottom"/>
          </w:tcPr>
          <w:p>
            <w:pPr>
              <w:spacing w:after="0"/>
              <w:rPr>
                <w:sz w:val="16"/>
                <w:szCs w:val="16"/>
                <w:color w:val="auto"/>
              </w:rPr>
            </w:pPr>
          </w:p>
        </w:tc>
        <w:tc>
          <w:tcPr>
            <w:tcW w:w="120" w:type="dxa"/>
            <w:vAlign w:val="bottom"/>
            <w:vMerge w:val="restart"/>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rPr>
              <w:t>-$20 ($53)</w:t>
            </w:r>
          </w:p>
        </w:tc>
        <w:tc>
          <w:tcPr>
            <w:tcW w:w="920" w:type="dxa"/>
            <w:vAlign w:val="bottom"/>
            <w:vMerge w:val="restart"/>
          </w:tcPr>
          <w:p>
            <w:pPr>
              <w:ind w:left="80"/>
              <w:spacing w:after="0"/>
              <w:rPr>
                <w:sz w:val="20"/>
                <w:szCs w:val="20"/>
                <w:color w:val="auto"/>
              </w:rPr>
            </w:pPr>
            <w:r>
              <w:rPr>
                <w:rFonts w:ascii="Arial" w:cs="Arial" w:eastAsia="Arial" w:hAnsi="Arial"/>
                <w:sz w:val="16"/>
                <w:szCs w:val="16"/>
                <w:color w:val="auto"/>
              </w:rPr>
              <w:t>20%</w:t>
            </w:r>
          </w:p>
        </w:tc>
        <w:tc>
          <w:tcPr>
            <w:tcW w:w="1440" w:type="dxa"/>
            <w:vAlign w:val="bottom"/>
            <w:vMerge w:val="restart"/>
          </w:tcPr>
          <w:p>
            <w:pPr>
              <w:jc w:val="center"/>
              <w:ind w:right="82"/>
              <w:spacing w:after="0"/>
              <w:rPr>
                <w:sz w:val="20"/>
                <w:szCs w:val="20"/>
                <w:color w:val="auto"/>
              </w:rPr>
            </w:pPr>
            <w:r>
              <w:rPr>
                <w:rFonts w:ascii="Arial" w:cs="Arial" w:eastAsia="Arial" w:hAnsi="Arial"/>
                <w:sz w:val="16"/>
                <w:szCs w:val="16"/>
                <w:color w:val="auto"/>
                <w:w w:val="99"/>
              </w:rPr>
              <w:t>25%</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280" w:type="dxa"/>
            <w:vAlign w:val="bottom"/>
            <w:vMerge w:val="restart"/>
          </w:tcPr>
          <w:p>
            <w:pPr>
              <w:ind w:left="60"/>
              <w:spacing w:after="0"/>
              <w:rPr>
                <w:sz w:val="20"/>
                <w:szCs w:val="20"/>
                <w:color w:val="auto"/>
              </w:rPr>
            </w:pPr>
            <w:r>
              <w:rPr>
                <w:rFonts w:ascii="Arial" w:cs="Arial" w:eastAsia="Arial" w:hAnsi="Arial"/>
                <w:sz w:val="16"/>
                <w:szCs w:val="16"/>
                <w:color w:val="auto"/>
              </w:rPr>
              <w:t>regardless of commodity price</w:t>
            </w:r>
          </w:p>
        </w:tc>
        <w:tc>
          <w:tcPr>
            <w:tcW w:w="8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144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328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660" w:type="dxa"/>
            <w:vAlign w:val="bottom"/>
            <w:gridSpan w:val="2"/>
            <w:vMerge w:val="restart"/>
          </w:tcPr>
          <w:p>
            <w:pPr>
              <w:jc w:val="center"/>
              <w:spacing w:after="0" w:line="183" w:lineRule="exact"/>
              <w:rPr>
                <w:sz w:val="20"/>
                <w:szCs w:val="20"/>
                <w:color w:val="auto"/>
              </w:rPr>
            </w:pPr>
            <w:r>
              <w:rPr>
                <w:rFonts w:ascii="Arial" w:cs="Arial" w:eastAsia="Arial" w:hAnsi="Arial"/>
                <w:sz w:val="16"/>
                <w:szCs w:val="16"/>
                <w:color w:val="auto"/>
              </w:rPr>
              <w:t>-$10 ($63)</w:t>
            </w:r>
          </w:p>
        </w:tc>
        <w:tc>
          <w:tcPr>
            <w:tcW w:w="920" w:type="dxa"/>
            <w:vAlign w:val="bottom"/>
            <w:vMerge w:val="restart"/>
          </w:tcPr>
          <w:p>
            <w:pPr>
              <w:ind w:left="80"/>
              <w:spacing w:after="0" w:line="183" w:lineRule="exact"/>
              <w:rPr>
                <w:sz w:val="20"/>
                <w:szCs w:val="20"/>
                <w:color w:val="auto"/>
              </w:rPr>
            </w:pPr>
            <w:r>
              <w:rPr>
                <w:rFonts w:ascii="Arial" w:cs="Arial" w:eastAsia="Arial" w:hAnsi="Arial"/>
                <w:sz w:val="16"/>
                <w:szCs w:val="16"/>
                <w:color w:val="auto"/>
              </w:rPr>
              <w:t>30%</w:t>
            </w:r>
          </w:p>
        </w:tc>
        <w:tc>
          <w:tcPr>
            <w:tcW w:w="1440" w:type="dxa"/>
            <w:vAlign w:val="bottom"/>
            <w:vMerge w:val="restart"/>
          </w:tcPr>
          <w:p>
            <w:pPr>
              <w:jc w:val="center"/>
              <w:ind w:right="82"/>
              <w:spacing w:after="0" w:line="183" w:lineRule="exact"/>
              <w:rPr>
                <w:sz w:val="20"/>
                <w:szCs w:val="20"/>
                <w:color w:val="auto"/>
              </w:rPr>
            </w:pPr>
            <w:r>
              <w:rPr>
                <w:rFonts w:ascii="Arial" w:cs="Arial" w:eastAsia="Arial" w:hAnsi="Arial"/>
                <w:sz w:val="16"/>
                <w:szCs w:val="16"/>
                <w:color w:val="auto"/>
                <w:w w:val="99"/>
              </w:rPr>
              <w:t>35%</w:t>
            </w:r>
          </w:p>
        </w:tc>
        <w:tc>
          <w:tcPr>
            <w:tcW w:w="860" w:type="dxa"/>
            <w:vAlign w:val="bottom"/>
            <w:vMerge w:val="restart"/>
          </w:tcPr>
          <w:p>
            <w:pPr>
              <w:jc w:val="right"/>
              <w:spacing w:after="0" w:line="183" w:lineRule="exact"/>
              <w:rPr>
                <w:sz w:val="20"/>
                <w:szCs w:val="20"/>
                <w:color w:val="auto"/>
              </w:rPr>
            </w:pPr>
            <w:r>
              <w:rPr>
                <w:rFonts w:ascii="Arial" w:cs="Arial" w:eastAsia="Arial" w:hAnsi="Arial"/>
                <w:sz w:val="16"/>
                <w:szCs w:val="16"/>
                <w:color w:val="auto"/>
              </w:rPr>
              <w:t>40%</w:t>
            </w: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bottom w:val="single" w:sz="8" w:color="auto"/>
            </w:tcBorders>
            <w:shd w:val="clear" w:color="auto" w:fill="E5E5E5"/>
          </w:tcPr>
          <w:p>
            <w:pPr>
              <w:jc w:val="center"/>
              <w:spacing w:after="0" w:line="183" w:lineRule="exact"/>
              <w:rPr>
                <w:sz w:val="20"/>
                <w:szCs w:val="20"/>
                <w:color w:val="auto"/>
              </w:rPr>
            </w:pPr>
            <w:r>
              <w:rPr>
                <w:rFonts w:ascii="Arial" w:cs="Arial" w:eastAsia="Arial" w:hAnsi="Arial"/>
                <w:sz w:val="16"/>
                <w:szCs w:val="16"/>
                <w:b w:val="1"/>
                <w:bCs w:val="1"/>
                <w:color w:val="auto"/>
                <w:w w:val="99"/>
              </w:rPr>
              <w:t>3YP ($73)</w:t>
            </w:r>
          </w:p>
        </w:tc>
        <w:tc>
          <w:tcPr>
            <w:tcW w:w="920" w:type="dxa"/>
            <w:vAlign w:val="bottom"/>
            <w:tcBorders>
              <w:top w:val="single" w:sz="8" w:color="auto"/>
              <w:bottom w:val="single" w:sz="8" w:color="auto"/>
            </w:tcBorders>
            <w:shd w:val="clear" w:color="auto" w:fill="E5E5E5"/>
          </w:tcPr>
          <w:p>
            <w:pPr>
              <w:ind w:left="80"/>
              <w:spacing w:after="0" w:line="183" w:lineRule="exact"/>
              <w:rPr>
                <w:sz w:val="20"/>
                <w:szCs w:val="20"/>
                <w:color w:val="auto"/>
              </w:rPr>
            </w:pPr>
            <w:r>
              <w:rPr>
                <w:rFonts w:ascii="Arial" w:cs="Arial" w:eastAsia="Arial" w:hAnsi="Arial"/>
                <w:sz w:val="16"/>
                <w:szCs w:val="16"/>
                <w:b w:val="1"/>
                <w:bCs w:val="1"/>
                <w:color w:val="auto"/>
              </w:rPr>
              <w:t>39%</w:t>
            </w:r>
          </w:p>
        </w:tc>
        <w:tc>
          <w:tcPr>
            <w:tcW w:w="1440" w:type="dxa"/>
            <w:vAlign w:val="bottom"/>
            <w:tcBorders>
              <w:top w:val="single" w:sz="8" w:color="auto"/>
              <w:bottom w:val="single" w:sz="8" w:color="auto"/>
            </w:tcBorders>
            <w:shd w:val="clear" w:color="auto" w:fill="E5E5E5"/>
          </w:tcPr>
          <w:p>
            <w:pPr>
              <w:jc w:val="center"/>
              <w:ind w:right="82"/>
              <w:spacing w:after="0" w:line="183" w:lineRule="exact"/>
              <w:rPr>
                <w:sz w:val="20"/>
                <w:szCs w:val="20"/>
                <w:color w:val="auto"/>
              </w:rPr>
            </w:pPr>
            <w:r>
              <w:rPr>
                <w:rFonts w:ascii="Arial" w:cs="Arial" w:eastAsia="Arial" w:hAnsi="Arial"/>
                <w:sz w:val="16"/>
                <w:szCs w:val="16"/>
                <w:b w:val="1"/>
                <w:bCs w:val="1"/>
                <w:color w:val="auto"/>
                <w:w w:val="99"/>
              </w:rPr>
              <w:t>43%</w:t>
            </w:r>
          </w:p>
        </w:tc>
        <w:tc>
          <w:tcPr>
            <w:tcW w:w="860" w:type="dxa"/>
            <w:vAlign w:val="bottom"/>
            <w:tcBorders>
              <w:top w:val="single" w:sz="8" w:color="auto"/>
              <w:bottom w:val="single" w:sz="8" w:color="auto"/>
            </w:tcBorders>
            <w:shd w:val="clear" w:color="auto" w:fill="E5E5E5"/>
          </w:tcPr>
          <w:p>
            <w:pPr>
              <w:jc w:val="right"/>
              <w:spacing w:after="0" w:line="183" w:lineRule="exact"/>
              <w:rPr>
                <w:sz w:val="20"/>
                <w:szCs w:val="20"/>
                <w:color w:val="auto"/>
              </w:rPr>
            </w:pPr>
            <w:r>
              <w:rPr>
                <w:rFonts w:ascii="Arial" w:cs="Arial" w:eastAsia="Arial" w:hAnsi="Arial"/>
                <w:sz w:val="16"/>
                <w:szCs w:val="16"/>
                <w:b w:val="1"/>
                <w:bCs w:val="1"/>
                <w:color w:val="auto"/>
              </w:rPr>
              <w:t>47%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+$10 ($83)</w:t>
            </w:r>
          </w:p>
        </w:tc>
        <w:tc>
          <w:tcPr>
            <w:tcW w:w="92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45%</w:t>
            </w:r>
          </w:p>
        </w:tc>
        <w:tc>
          <w:tcPr>
            <w:tcW w:w="1440" w:type="dxa"/>
            <w:vAlign w:val="bottom"/>
            <w:tcBorders>
              <w:bottom w:val="single" w:sz="8" w:color="auto"/>
            </w:tcBorders>
          </w:tcPr>
          <w:p>
            <w:pPr>
              <w:jc w:val="center"/>
              <w:ind w:right="82"/>
              <w:spacing w:after="0" w:line="183" w:lineRule="exact"/>
              <w:rPr>
                <w:sz w:val="20"/>
                <w:szCs w:val="20"/>
                <w:color w:val="auto"/>
              </w:rPr>
            </w:pPr>
            <w:r>
              <w:rPr>
                <w:rFonts w:ascii="Arial" w:cs="Arial" w:eastAsia="Arial" w:hAnsi="Arial"/>
                <w:sz w:val="16"/>
                <w:szCs w:val="16"/>
                <w:color w:val="auto"/>
                <w:w w:val="99"/>
              </w:rPr>
              <w:t>50%</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rPr>
              <w:t>+$20 ($93)</w:t>
            </w:r>
          </w:p>
        </w:tc>
        <w:tc>
          <w:tcPr>
            <w:tcW w:w="920" w:type="dxa"/>
            <w:vAlign w:val="bottom"/>
          </w:tcPr>
          <w:p>
            <w:pPr>
              <w:ind w:left="80"/>
              <w:spacing w:after="0"/>
              <w:rPr>
                <w:sz w:val="20"/>
                <w:szCs w:val="20"/>
                <w:color w:val="auto"/>
              </w:rPr>
            </w:pPr>
            <w:r>
              <w:rPr>
                <w:rFonts w:ascii="Arial" w:cs="Arial" w:eastAsia="Arial" w:hAnsi="Arial"/>
                <w:sz w:val="16"/>
                <w:szCs w:val="16"/>
                <w:color w:val="auto"/>
              </w:rPr>
              <w:t>50%</w:t>
            </w:r>
          </w:p>
        </w:tc>
        <w:tc>
          <w:tcPr>
            <w:tcW w:w="1440" w:type="dxa"/>
            <w:vAlign w:val="bottom"/>
          </w:tcPr>
          <w:p>
            <w:pPr>
              <w:jc w:val="center"/>
              <w:ind w:right="82"/>
              <w:spacing w:after="0"/>
              <w:rPr>
                <w:sz w:val="20"/>
                <w:szCs w:val="20"/>
                <w:color w:val="auto"/>
              </w:rPr>
            </w:pPr>
            <w:r>
              <w:rPr>
                <w:rFonts w:ascii="Arial" w:cs="Arial" w:eastAsia="Arial" w:hAnsi="Arial"/>
                <w:sz w:val="16"/>
                <w:szCs w:val="16"/>
                <w:color w:val="auto"/>
                <w:w w:val="99"/>
              </w:rPr>
              <w:t>55%</w:t>
            </w: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560" w:type="dxa"/>
            <w:vAlign w:val="bottom"/>
            <w:gridSpan w:val="6"/>
          </w:tcPr>
          <w:p>
            <w:pPr>
              <w:ind w:left="120"/>
              <w:spacing w:after="0"/>
              <w:rPr>
                <w:sz w:val="20"/>
                <w:szCs w:val="20"/>
                <w:color w:val="auto"/>
              </w:rPr>
            </w:pPr>
            <w:r>
              <w:rPr>
                <w:rFonts w:ascii="Arial" w:cs="Arial" w:eastAsia="Arial" w:hAnsi="Arial"/>
                <w:sz w:val="14"/>
                <w:szCs w:val="14"/>
                <w:i w:val="1"/>
                <w:iCs w:val="1"/>
                <w:color w:val="auto"/>
              </w:rPr>
              <w:t>The highlighted row in the matrix represents the target at average actual</w:t>
            </w:r>
          </w:p>
        </w:tc>
        <w:tc>
          <w:tcPr>
            <w:tcW w:w="0" w:type="dxa"/>
            <w:vAlign w:val="bottom"/>
          </w:tcPr>
          <w:p>
            <w:pPr>
              <w:spacing w:after="0"/>
              <w:rPr>
                <w:sz w:val="1"/>
                <w:szCs w:val="1"/>
                <w:color w:val="auto"/>
              </w:rPr>
            </w:pPr>
          </w:p>
        </w:tc>
      </w:tr>
      <w:tr>
        <w:trPr>
          <w:trHeight w:val="169"/>
        </w:trPr>
        <w:tc>
          <w:tcPr>
            <w:tcW w:w="3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i w:val="1"/>
                <w:iCs w:val="1"/>
                <w:color w:val="auto"/>
              </w:rPr>
              <w:t>WTI over the 3-year period, adjusted for portfolio changes.</w:t>
            </w:r>
          </w:p>
        </w:tc>
        <w:tc>
          <w:tcPr>
            <w:tcW w:w="8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ind w:left="60"/>
              <w:spacing w:after="0" w:line="142" w:lineRule="exact"/>
              <w:rPr>
                <w:sz w:val="20"/>
                <w:szCs w:val="20"/>
                <w:color w:val="auto"/>
              </w:rPr>
            </w:pPr>
            <w:r>
              <w:rPr>
                <w:rFonts w:ascii="Arial" w:cs="Arial" w:eastAsia="Arial" w:hAnsi="Arial"/>
                <w:sz w:val="13"/>
                <w:szCs w:val="13"/>
                <w:b w:val="1"/>
                <w:bCs w:val="1"/>
                <w:color w:val="auto"/>
              </w:rPr>
              <w:t>Relative TSR</w:t>
            </w:r>
            <w:r>
              <w:rPr>
                <w:rFonts w:ascii="Arial" w:cs="Arial" w:eastAsia="Arial" w:hAnsi="Arial"/>
                <w:sz w:val="16"/>
                <w:szCs w:val="16"/>
                <w:b w:val="1"/>
                <w:bCs w:val="1"/>
                <w:color w:val="auto"/>
                <w:vertAlign w:val="superscript"/>
              </w:rPr>
              <w:t>(3)</w:t>
            </w:r>
            <w:r>
              <w:rPr>
                <w:rFonts w:ascii="Arial" w:cs="Arial" w:eastAsia="Arial" w:hAnsi="Arial"/>
                <w:sz w:val="13"/>
                <w:szCs w:val="13"/>
                <w:b w:val="1"/>
                <w:bCs w:val="1"/>
                <w:color w:val="auto"/>
              </w:rPr>
              <w:t xml:space="preserve"> </w:t>
            </w:r>
            <w:r>
              <w:rPr>
                <w:rFonts w:ascii="Arial" w:cs="Arial" w:eastAsia="Arial" w:hAnsi="Arial"/>
                <w:sz w:val="13"/>
                <w:szCs w:val="13"/>
                <w:color w:val="auto"/>
              </w:rPr>
              <w:t>—  measured relative to the</w:t>
            </w:r>
          </w:p>
        </w:tc>
        <w:tc>
          <w:tcPr>
            <w:tcW w:w="880" w:type="dxa"/>
            <w:vAlign w:val="bottom"/>
          </w:tcPr>
          <w:p>
            <w:pPr>
              <w:jc w:val="center"/>
              <w:ind w:left="19"/>
              <w:spacing w:after="0" w:line="142" w:lineRule="exact"/>
              <w:rPr>
                <w:sz w:val="20"/>
                <w:szCs w:val="20"/>
                <w:color w:val="auto"/>
              </w:rPr>
            </w:pPr>
            <w:r>
              <w:rPr>
                <w:rFonts w:ascii="Arial" w:cs="Arial" w:eastAsia="Arial" w:hAnsi="Arial"/>
                <w:sz w:val="16"/>
                <w:szCs w:val="16"/>
                <w:color w:val="auto"/>
              </w:rPr>
              <w:t>40%</w:t>
            </w:r>
          </w:p>
        </w:tc>
        <w:tc>
          <w:tcPr>
            <w:tcW w:w="120" w:type="dxa"/>
            <w:vAlign w:val="bottom"/>
          </w:tcPr>
          <w:p>
            <w:pPr>
              <w:spacing w:after="0"/>
              <w:rPr>
                <w:sz w:val="12"/>
                <w:szCs w:val="12"/>
                <w:color w:val="auto"/>
              </w:rPr>
            </w:pPr>
          </w:p>
        </w:tc>
        <w:tc>
          <w:tcPr>
            <w:tcW w:w="154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Relative TSR</w:t>
            </w:r>
          </w:p>
        </w:tc>
        <w:tc>
          <w:tcPr>
            <w:tcW w:w="92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 xml:space="preserve">Result: </w:t>
            </w:r>
            <w:r>
              <w:rPr>
                <w:rFonts w:ascii="Arial" w:cs="Arial" w:eastAsia="Arial" w:hAnsi="Arial"/>
                <w:sz w:val="13"/>
                <w:szCs w:val="13"/>
                <w:color w:val="auto"/>
              </w:rPr>
              <w:t>23</w:t>
            </w:r>
            <w:r>
              <w:rPr>
                <w:rFonts w:ascii="Arial" w:cs="Arial" w:eastAsia="Arial" w:hAnsi="Arial"/>
                <w:sz w:val="16"/>
                <w:szCs w:val="16"/>
                <w:color w:val="auto"/>
                <w:vertAlign w:val="superscript"/>
              </w:rPr>
              <w:t>rd</w:t>
            </w:r>
          </w:p>
        </w:tc>
        <w:tc>
          <w:tcPr>
            <w:tcW w:w="1540" w:type="dxa"/>
            <w:vAlign w:val="bottom"/>
            <w:gridSpan w:val="2"/>
          </w:tcPr>
          <w:p>
            <w:pPr>
              <w:jc w:val="center"/>
              <w:ind w:left="781"/>
              <w:spacing w:after="0" w:line="142" w:lineRule="exact"/>
              <w:rPr>
                <w:sz w:val="20"/>
                <w:szCs w:val="20"/>
                <w:color w:val="auto"/>
              </w:rPr>
            </w:pPr>
            <w:r>
              <w:rPr>
                <w:rFonts w:ascii="Arial" w:cs="Arial" w:eastAsia="Arial" w:hAnsi="Arial"/>
                <w:sz w:val="16"/>
                <w:szCs w:val="16"/>
                <w:b w:val="1"/>
                <w:bCs w:val="1"/>
                <w:color w:val="auto"/>
              </w:rPr>
              <w:t>0%</w:t>
            </w:r>
          </w:p>
        </w:tc>
        <w:tc>
          <w:tcPr>
            <w:tcW w:w="0" w:type="dxa"/>
            <w:vAlign w:val="bottom"/>
          </w:tcPr>
          <w:p>
            <w:pPr>
              <w:spacing w:after="0"/>
              <w:rPr>
                <w:sz w:val="1"/>
                <w:szCs w:val="1"/>
                <w:color w:val="auto"/>
              </w:rPr>
            </w:pPr>
          </w:p>
        </w:tc>
      </w:tr>
      <w:tr>
        <w:trPr>
          <w:trHeight w:val="215"/>
        </w:trPr>
        <w:tc>
          <w:tcPr>
            <w:tcW w:w="3280" w:type="dxa"/>
            <w:vAlign w:val="bottom"/>
          </w:tcPr>
          <w:p>
            <w:pPr>
              <w:ind w:left="60"/>
              <w:spacing w:after="0"/>
              <w:rPr>
                <w:sz w:val="20"/>
                <w:szCs w:val="20"/>
                <w:color w:val="auto"/>
              </w:rPr>
            </w:pPr>
            <w:r>
              <w:rPr>
                <w:rFonts w:ascii="Arial" w:cs="Arial" w:eastAsia="Arial" w:hAnsi="Arial"/>
                <w:sz w:val="16"/>
                <w:szCs w:val="16"/>
                <w:color w:val="auto"/>
              </w:rPr>
              <w:t>TSR Performance Peer Group over a three-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2"/>
              </w:rPr>
              <w:t>Rank</w:t>
            </w:r>
            <w:r>
              <w:rPr>
                <w:rFonts w:ascii="Arial" w:cs="Arial" w:eastAsia="Arial" w:hAnsi="Arial"/>
                <w:sz w:val="21"/>
                <w:szCs w:val="21"/>
                <w:color w:val="auto"/>
                <w:w w:val="92"/>
                <w:vertAlign w:val="superscript"/>
              </w:rPr>
              <w:t>(4)</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2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year period; balanced payout scale</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line="310" w:lineRule="exact"/>
              <w:rPr>
                <w:sz w:val="20"/>
                <w:szCs w:val="20"/>
                <w:color w:val="auto"/>
              </w:rPr>
            </w:pPr>
            <w:r>
              <w:rPr>
                <w:rFonts w:ascii="Arial" w:cs="Arial" w:eastAsia="Arial" w:hAnsi="Arial"/>
                <w:sz w:val="32"/>
                <w:szCs w:val="32"/>
                <w:color w:val="auto"/>
                <w:vertAlign w:val="subscript"/>
              </w:rPr>
              <w:t>22</w:t>
            </w:r>
            <w:r>
              <w:rPr>
                <w:rFonts w:ascii="Arial" w:cs="Arial" w:eastAsia="Arial" w:hAnsi="Arial"/>
                <w:sz w:val="11"/>
                <w:szCs w:val="11"/>
                <w:color w:val="auto"/>
              </w:rPr>
              <w:t>nd</w:t>
            </w:r>
          </w:p>
        </w:tc>
        <w:tc>
          <w:tcPr>
            <w:tcW w:w="1440" w:type="dxa"/>
            <w:vAlign w:val="bottom"/>
            <w:tcBorders>
              <w:bottom w:val="single" w:sz="8" w:color="auto"/>
            </w:tcBorders>
          </w:tcPr>
          <w:p>
            <w:pPr>
              <w:jc w:val="center"/>
              <w:ind w:right="42"/>
              <w:spacing w:after="0" w:line="310" w:lineRule="exact"/>
              <w:rPr>
                <w:sz w:val="20"/>
                <w:szCs w:val="20"/>
                <w:color w:val="auto"/>
              </w:rPr>
            </w:pPr>
            <w:r>
              <w:rPr>
                <w:rFonts w:ascii="Arial" w:cs="Arial" w:eastAsia="Arial" w:hAnsi="Arial"/>
                <w:sz w:val="32"/>
                <w:szCs w:val="32"/>
                <w:color w:val="auto"/>
                <w:w w:val="84"/>
                <w:vertAlign w:val="subscript"/>
              </w:rPr>
              <w:t>13</w:t>
            </w:r>
            <w:r>
              <w:rPr>
                <w:rFonts w:ascii="Arial" w:cs="Arial" w:eastAsia="Arial" w:hAnsi="Arial"/>
                <w:sz w:val="11"/>
                <w:szCs w:val="11"/>
                <w:color w:val="auto"/>
                <w:w w:val="84"/>
              </w:rPr>
              <w:t>th</w:t>
            </w:r>
          </w:p>
        </w:tc>
        <w:tc>
          <w:tcPr>
            <w:tcW w:w="1540" w:type="dxa"/>
            <w:vAlign w:val="bottom"/>
            <w:tcBorders>
              <w:bottom w:val="single" w:sz="8" w:color="auto"/>
            </w:tcBorders>
            <w:gridSpan w:val="2"/>
          </w:tcPr>
          <w:p>
            <w:pPr>
              <w:ind w:left="300"/>
              <w:spacing w:after="0" w:line="310" w:lineRule="exact"/>
              <w:rPr>
                <w:sz w:val="20"/>
                <w:szCs w:val="20"/>
                <w:color w:val="auto"/>
              </w:rPr>
            </w:pPr>
            <w:r>
              <w:rPr>
                <w:rFonts w:ascii="Arial" w:cs="Arial" w:eastAsia="Arial" w:hAnsi="Arial"/>
                <w:sz w:val="32"/>
                <w:szCs w:val="32"/>
                <w:color w:val="auto"/>
                <w:vertAlign w:val="subscript"/>
              </w:rPr>
              <w:t>1</w:t>
            </w:r>
            <w:r>
              <w:rPr>
                <w:rFonts w:ascii="Arial" w:cs="Arial" w:eastAsia="Arial" w:hAnsi="Arial"/>
                <w:sz w:val="11"/>
                <w:szCs w:val="11"/>
                <w:color w:val="auto"/>
              </w:rPr>
              <w:t xml:space="preserve">st </w:t>
            </w:r>
            <w:r>
              <w:rPr>
                <w:rFonts w:ascii="Arial" w:cs="Arial" w:eastAsia="Arial" w:hAnsi="Arial"/>
                <w:sz w:val="32"/>
                <w:szCs w:val="32"/>
                <w:color w:val="auto"/>
                <w:vertAlign w:val="subscript"/>
              </w:rPr>
              <w:t>– 4</w:t>
            </w:r>
            <w:r>
              <w:rPr>
                <w:rFonts w:ascii="Arial" w:cs="Arial" w:eastAsia="Arial" w:hAnsi="Arial"/>
                <w:sz w:val="11"/>
                <w:szCs w:val="11"/>
                <w:color w:val="auto"/>
              </w:rPr>
              <w:t>th</w:t>
            </w:r>
          </w:p>
        </w:tc>
        <w:tc>
          <w:tcPr>
            <w:tcW w:w="0" w:type="dxa"/>
            <w:vAlign w:val="bottom"/>
          </w:tcPr>
          <w:p>
            <w:pPr>
              <w:spacing w:after="0"/>
              <w:rPr>
                <w:sz w:val="1"/>
                <w:szCs w:val="1"/>
                <w:color w:val="auto"/>
              </w:rPr>
            </w:pPr>
          </w:p>
        </w:tc>
      </w:tr>
      <w:tr>
        <w:trPr>
          <w:trHeight w:val="196"/>
        </w:trPr>
        <w:tc>
          <w:tcPr>
            <w:tcW w:w="3280" w:type="dxa"/>
            <w:vAlign w:val="bottom"/>
          </w:tcPr>
          <w:p>
            <w:pPr>
              <w:ind w:left="60"/>
              <w:spacing w:after="0" w:line="196" w:lineRule="exact"/>
              <w:rPr>
                <w:sz w:val="20"/>
                <w:szCs w:val="20"/>
                <w:color w:val="auto"/>
              </w:rPr>
            </w:pPr>
            <w:r>
              <w:rPr>
                <w:rFonts w:ascii="Arial" w:cs="Arial" w:eastAsia="Arial" w:hAnsi="Arial"/>
                <w:sz w:val="16"/>
                <w:szCs w:val="16"/>
                <w:b w:val="1"/>
                <w:bCs w:val="1"/>
                <w:color w:val="auto"/>
              </w:rPr>
              <w:t>Sustainability</w:t>
            </w:r>
            <w:r>
              <w:rPr>
                <w:rFonts w:ascii="Arial" w:cs="Arial" w:eastAsia="Arial" w:hAnsi="Arial"/>
                <w:sz w:val="21"/>
                <w:szCs w:val="21"/>
                <w:b w:val="1"/>
                <w:bCs w:val="1"/>
                <w:color w:val="auto"/>
                <w:vertAlign w:val="superscript"/>
              </w:rPr>
              <w:t>(5)</w:t>
            </w:r>
            <w:r>
              <w:rPr>
                <w:rFonts w:ascii="Arial" w:cs="Arial" w:eastAsia="Arial" w:hAnsi="Arial"/>
                <w:sz w:val="16"/>
                <w:szCs w:val="16"/>
                <w:b w:val="1"/>
                <w:bCs w:val="1"/>
                <w:color w:val="auto"/>
              </w:rPr>
              <w:t xml:space="preserve"> </w:t>
            </w:r>
            <w:r>
              <w:rPr>
                <w:rFonts w:ascii="Arial" w:cs="Arial" w:eastAsia="Arial" w:hAnsi="Arial"/>
                <w:sz w:val="16"/>
                <w:szCs w:val="16"/>
                <w:color w:val="auto"/>
              </w:rPr>
              <w:t>— equally weighted goals</w:t>
            </w:r>
          </w:p>
        </w:tc>
        <w:tc>
          <w:tcPr>
            <w:tcW w:w="880" w:type="dxa"/>
            <w:vAlign w:val="bottom"/>
          </w:tcPr>
          <w:p>
            <w:pPr>
              <w:jc w:val="center"/>
              <w:ind w:lef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Reduce GHG</w:t>
            </w:r>
          </w:p>
        </w:tc>
        <w:tc>
          <w:tcPr>
            <w:tcW w:w="9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 xml:space="preserve">Result: </w:t>
            </w:r>
            <w:r>
              <w:rPr>
                <w:rFonts w:ascii="Arial" w:cs="Arial" w:eastAsia="Arial" w:hAnsi="Arial"/>
                <w:sz w:val="16"/>
                <w:szCs w:val="16"/>
                <w:color w:val="auto"/>
              </w:rPr>
              <w:t>18%</w:t>
            </w:r>
          </w:p>
        </w:tc>
        <w:tc>
          <w:tcPr>
            <w:tcW w:w="1540" w:type="dxa"/>
            <w:vAlign w:val="bottom"/>
            <w:gridSpan w:val="2"/>
          </w:tcPr>
          <w:p>
            <w:pPr>
              <w:jc w:val="center"/>
              <w:ind w:left="781"/>
              <w:spacing w:after="0"/>
              <w:rPr>
                <w:sz w:val="20"/>
                <w:szCs w:val="20"/>
                <w:color w:val="auto"/>
              </w:rPr>
            </w:pPr>
            <w:r>
              <w:rPr>
                <w:rFonts w:ascii="Arial" w:cs="Arial" w:eastAsia="Arial" w:hAnsi="Arial"/>
                <w:sz w:val="16"/>
                <w:szCs w:val="16"/>
                <w:b w:val="1"/>
                <w:bCs w:val="1"/>
                <w:color w:val="auto"/>
                <w:w w:val="99"/>
              </w:rPr>
              <w:t>40%</w:t>
            </w:r>
          </w:p>
        </w:tc>
        <w:tc>
          <w:tcPr>
            <w:tcW w:w="0" w:type="dxa"/>
            <w:vAlign w:val="bottom"/>
          </w:tcPr>
          <w:p>
            <w:pPr>
              <w:spacing w:after="0"/>
              <w:rPr>
                <w:sz w:val="1"/>
                <w:szCs w:val="1"/>
                <w:color w:val="auto"/>
              </w:rPr>
            </w:pPr>
          </w:p>
        </w:tc>
      </w:tr>
      <w:tr>
        <w:trPr>
          <w:trHeight w:val="215"/>
        </w:trPr>
        <w:tc>
          <w:tcPr>
            <w:tcW w:w="3280" w:type="dxa"/>
            <w:vAlign w:val="bottom"/>
          </w:tcPr>
          <w:p>
            <w:pPr>
              <w:ind w:left="60"/>
              <w:spacing w:after="0"/>
              <w:rPr>
                <w:sz w:val="20"/>
                <w:szCs w:val="20"/>
                <w:color w:val="auto"/>
              </w:rPr>
            </w:pPr>
            <w:r>
              <w:rPr>
                <w:rFonts w:ascii="Arial" w:cs="Arial" w:eastAsia="Arial" w:hAnsi="Arial"/>
                <w:sz w:val="16"/>
                <w:szCs w:val="16"/>
                <w:color w:val="auto"/>
              </w:rPr>
              <w:t>of reducing GHG intensity and enhancing</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Intensity</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tcPr>
          <w:p>
            <w:pPr>
              <w:ind w:left="60"/>
              <w:spacing w:after="0"/>
              <w:rPr>
                <w:sz w:val="20"/>
                <w:szCs w:val="20"/>
                <w:color w:val="auto"/>
              </w:rPr>
            </w:pPr>
            <w:r>
              <w:rPr>
                <w:rFonts w:ascii="Arial" w:cs="Arial" w:eastAsia="Arial" w:hAnsi="Arial"/>
                <w:sz w:val="16"/>
                <w:szCs w:val="16"/>
                <w:color w:val="auto"/>
              </w:rPr>
              <w:t>biodiversity through increased reclamation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3%</w:t>
            </w:r>
          </w:p>
        </w:tc>
        <w:tc>
          <w:tcPr>
            <w:tcW w:w="1440" w:type="dxa"/>
            <w:vAlign w:val="bottom"/>
            <w:tcBorders>
              <w:bottom w:val="single" w:sz="8" w:color="auto"/>
            </w:tcBorders>
          </w:tcPr>
          <w:p>
            <w:pPr>
              <w:jc w:val="center"/>
              <w:ind w:right="82"/>
              <w:spacing w:after="0"/>
              <w:rPr>
                <w:sz w:val="20"/>
                <w:szCs w:val="20"/>
                <w:color w:val="auto"/>
              </w:rPr>
            </w:pPr>
            <w:r>
              <w:rPr>
                <w:rFonts w:ascii="Arial" w:cs="Arial" w:eastAsia="Arial" w:hAnsi="Arial"/>
                <w:sz w:val="16"/>
                <w:szCs w:val="16"/>
                <w:color w:val="auto"/>
              </w:rPr>
              <w:t>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ind w:right="20"/>
              <w:spacing w:after="0" w:line="168" w:lineRule="exact"/>
              <w:rPr>
                <w:sz w:val="20"/>
                <w:szCs w:val="20"/>
                <w:color w:val="auto"/>
              </w:rPr>
            </w:pPr>
            <w:r>
              <w:rPr>
                <w:rFonts w:ascii="Arial" w:cs="Arial" w:eastAsia="Arial" w:hAnsi="Arial"/>
                <w:sz w:val="16"/>
                <w:szCs w:val="16"/>
                <w:b w:val="1"/>
                <w:bCs w:val="1"/>
                <w:color w:val="auto"/>
              </w:rPr>
              <w:t>Enhance</w:t>
            </w:r>
          </w:p>
        </w:tc>
        <w:tc>
          <w:tcPr>
            <w:tcW w:w="920" w:type="dxa"/>
            <w:vAlign w:val="bottom"/>
          </w:tcPr>
          <w:p>
            <w:pPr>
              <w:spacing w:after="0"/>
              <w:rPr>
                <w:sz w:val="14"/>
                <w:szCs w:val="14"/>
                <w:color w:val="auto"/>
              </w:rPr>
            </w:pPr>
          </w:p>
        </w:tc>
        <w:tc>
          <w:tcPr>
            <w:tcW w:w="144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 xml:space="preserve">Result: </w:t>
            </w:r>
            <w:r>
              <w:rPr>
                <w:rFonts w:ascii="Arial" w:cs="Arial" w:eastAsia="Arial" w:hAnsi="Arial"/>
                <w:sz w:val="16"/>
                <w:szCs w:val="16"/>
                <w:color w:val="auto"/>
              </w:rPr>
              <w:t>~300 sites</w:t>
            </w: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 xml:space="preserve">Biodiversity </w:t>
            </w:r>
            <w:r>
              <w:rPr>
                <w:rFonts w:ascii="Arial" w:cs="Arial" w:eastAsia="Arial" w:hAnsi="Arial"/>
                <w:sz w:val="16"/>
                <w:szCs w:val="16"/>
                <w:color w:val="auto"/>
              </w:rPr>
              <w:t>throug</w:t>
            </w:r>
          </w:p>
        </w:tc>
        <w:tc>
          <w:tcPr>
            <w:tcW w:w="9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ind w:right="20"/>
              <w:spacing w:after="0"/>
              <w:rPr>
                <w:sz w:val="20"/>
                <w:szCs w:val="20"/>
                <w:color w:val="auto"/>
              </w:rPr>
            </w:pPr>
            <w:r>
              <w:rPr>
                <w:rFonts w:ascii="Arial" w:cs="Arial" w:eastAsia="Arial" w:hAnsi="Arial"/>
                <w:sz w:val="16"/>
                <w:szCs w:val="16"/>
                <w:color w:val="auto"/>
              </w:rPr>
              <w:t>h Increased</w:t>
            </w:r>
          </w:p>
        </w:tc>
        <w:tc>
          <w:tcPr>
            <w:tcW w:w="9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color w:val="auto"/>
              </w:rPr>
              <w:t>Reclamation of P&amp;A</w:t>
            </w:r>
          </w:p>
        </w:tc>
        <w:tc>
          <w:tcPr>
            <w:tcW w:w="920" w:type="dxa"/>
            <w:vAlign w:val="bottom"/>
          </w:tcPr>
          <w:p>
            <w:pPr>
              <w:ind w:left="80"/>
              <w:spacing w:after="0"/>
              <w:rPr>
                <w:sz w:val="20"/>
                <w:szCs w:val="20"/>
                <w:color w:val="auto"/>
              </w:rPr>
            </w:pPr>
            <w:r>
              <w:rPr>
                <w:rFonts w:ascii="Arial" w:cs="Arial" w:eastAsia="Arial" w:hAnsi="Arial"/>
                <w:sz w:val="16"/>
                <w:szCs w:val="16"/>
                <w:color w:val="auto"/>
              </w:rPr>
              <w:t>&gt;125 sites</w:t>
            </w:r>
          </w:p>
        </w:tc>
        <w:tc>
          <w:tcPr>
            <w:tcW w:w="1440" w:type="dxa"/>
            <w:vAlign w:val="bottom"/>
          </w:tcPr>
          <w:p>
            <w:pPr>
              <w:jc w:val="center"/>
              <w:ind w:right="82"/>
              <w:spacing w:after="0"/>
              <w:rPr>
                <w:sz w:val="20"/>
                <w:szCs w:val="20"/>
                <w:color w:val="auto"/>
              </w:rPr>
            </w:pPr>
            <w:r>
              <w:rPr>
                <w:rFonts w:ascii="Arial" w:cs="Arial" w:eastAsia="Arial" w:hAnsi="Arial"/>
                <w:sz w:val="16"/>
                <w:szCs w:val="16"/>
                <w:color w:val="auto"/>
                <w:w w:val="99"/>
              </w:rPr>
              <w:t>&gt;150</w:t>
            </w:r>
          </w:p>
        </w:tc>
        <w:tc>
          <w:tcPr>
            <w:tcW w:w="1540" w:type="dxa"/>
            <w:vAlign w:val="bottom"/>
            <w:gridSpan w:val="2"/>
          </w:tcPr>
          <w:p>
            <w:pPr>
              <w:ind w:left="60"/>
              <w:spacing w:after="0"/>
              <w:rPr>
                <w:sz w:val="20"/>
                <w:szCs w:val="20"/>
                <w:color w:val="auto"/>
              </w:rPr>
            </w:pPr>
            <w:r>
              <w:rPr>
                <w:rFonts w:ascii="Arial" w:cs="Arial" w:eastAsia="Arial" w:hAnsi="Arial"/>
                <w:sz w:val="16"/>
                <w:szCs w:val="16"/>
                <w:color w:val="auto"/>
              </w:rPr>
              <w:t>&gt;175 sites</w:t>
            </w:r>
          </w:p>
        </w:tc>
        <w:tc>
          <w:tcPr>
            <w:tcW w:w="0" w:type="dxa"/>
            <w:vAlign w:val="bottom"/>
          </w:tcPr>
          <w:p>
            <w:pPr>
              <w:spacing w:after="0"/>
              <w:rPr>
                <w:sz w:val="1"/>
                <w:szCs w:val="1"/>
                <w:color w:val="auto"/>
              </w:rPr>
            </w:pPr>
          </w:p>
        </w:tc>
      </w:tr>
      <w:tr>
        <w:trPr>
          <w:trHeight w:val="121"/>
        </w:trPr>
        <w:tc>
          <w:tcPr>
            <w:tcW w:w="3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4"/>
                <w:szCs w:val="14"/>
                <w:color w:val="auto"/>
              </w:rPr>
              <w:t>Sites</w:t>
            </w:r>
          </w:p>
        </w:tc>
        <w:tc>
          <w:tcPr>
            <w:tcW w:w="9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1"/>
        </w:trPr>
        <w:tc>
          <w:tcPr>
            <w:tcW w:w="3280" w:type="dxa"/>
            <w:vAlign w:val="bottom"/>
            <w:tcBorders>
              <w:bottom w:val="single" w:sz="8" w:color="00506F"/>
            </w:tcBorders>
            <w:shd w:val="clear" w:color="auto" w:fill="00506F"/>
          </w:tcPr>
          <w:p>
            <w:pPr>
              <w:ind w:left="60"/>
              <w:spacing w:after="0"/>
              <w:rPr>
                <w:sz w:val="20"/>
                <w:szCs w:val="20"/>
                <w:color w:val="auto"/>
              </w:rPr>
            </w:pPr>
            <w:r>
              <w:rPr>
                <w:rFonts w:ascii="Arial" w:cs="Arial" w:eastAsia="Arial" w:hAnsi="Arial"/>
                <w:sz w:val="16"/>
                <w:szCs w:val="16"/>
                <w:b w:val="1"/>
                <w:bCs w:val="1"/>
                <w:color w:val="FFFFFF"/>
              </w:rPr>
              <w:t>Final Achievement</w:t>
            </w:r>
          </w:p>
        </w:tc>
        <w:tc>
          <w:tcPr>
            <w:tcW w:w="880" w:type="dxa"/>
            <w:vAlign w:val="bottom"/>
            <w:tcBorders>
              <w:bottom w:val="single" w:sz="8" w:color="00506F"/>
            </w:tcBorders>
            <w:shd w:val="clear" w:color="auto" w:fill="00506F"/>
          </w:tcPr>
          <w:p>
            <w:pPr>
              <w:spacing w:after="0"/>
              <w:rPr>
                <w:sz w:val="23"/>
                <w:szCs w:val="23"/>
                <w:color w:val="auto"/>
              </w:rPr>
            </w:pPr>
          </w:p>
        </w:tc>
        <w:tc>
          <w:tcPr>
            <w:tcW w:w="120" w:type="dxa"/>
            <w:vAlign w:val="bottom"/>
            <w:tcBorders>
              <w:bottom w:val="single" w:sz="8" w:color="00506F"/>
            </w:tcBorders>
            <w:shd w:val="clear" w:color="auto" w:fill="00506F"/>
          </w:tcPr>
          <w:p>
            <w:pPr>
              <w:spacing w:after="0"/>
              <w:rPr>
                <w:sz w:val="23"/>
                <w:szCs w:val="23"/>
                <w:color w:val="auto"/>
              </w:rPr>
            </w:pPr>
          </w:p>
        </w:tc>
        <w:tc>
          <w:tcPr>
            <w:tcW w:w="1540" w:type="dxa"/>
            <w:vAlign w:val="bottom"/>
            <w:tcBorders>
              <w:bottom w:val="single" w:sz="8" w:color="00506F"/>
            </w:tcBorders>
            <w:shd w:val="clear" w:color="auto" w:fill="00506F"/>
          </w:tcPr>
          <w:p>
            <w:pPr>
              <w:spacing w:after="0"/>
              <w:rPr>
                <w:sz w:val="23"/>
                <w:szCs w:val="23"/>
                <w:color w:val="auto"/>
              </w:rPr>
            </w:pPr>
          </w:p>
        </w:tc>
        <w:tc>
          <w:tcPr>
            <w:tcW w:w="920" w:type="dxa"/>
            <w:vAlign w:val="bottom"/>
            <w:tcBorders>
              <w:bottom w:val="single" w:sz="8" w:color="00506F"/>
            </w:tcBorders>
            <w:shd w:val="clear" w:color="auto" w:fill="00506F"/>
          </w:tcPr>
          <w:p>
            <w:pPr>
              <w:spacing w:after="0"/>
              <w:rPr>
                <w:sz w:val="23"/>
                <w:szCs w:val="23"/>
                <w:color w:val="auto"/>
              </w:rPr>
            </w:pPr>
          </w:p>
        </w:tc>
        <w:tc>
          <w:tcPr>
            <w:tcW w:w="1440" w:type="dxa"/>
            <w:vAlign w:val="bottom"/>
            <w:tcBorders>
              <w:bottom w:val="single" w:sz="8" w:color="00506F"/>
            </w:tcBorders>
            <w:shd w:val="clear" w:color="auto" w:fill="00506F"/>
          </w:tcPr>
          <w:p>
            <w:pPr>
              <w:spacing w:after="0"/>
              <w:rPr>
                <w:sz w:val="23"/>
                <w:szCs w:val="23"/>
                <w:color w:val="auto"/>
              </w:rPr>
            </w:pPr>
          </w:p>
        </w:tc>
        <w:tc>
          <w:tcPr>
            <w:tcW w:w="1540" w:type="dxa"/>
            <w:vAlign w:val="bottom"/>
            <w:tcBorders>
              <w:bottom w:val="single" w:sz="8" w:color="00506F"/>
            </w:tcBorders>
            <w:gridSpan w:val="2"/>
            <w:shd w:val="clear" w:color="auto" w:fill="00506F"/>
          </w:tcPr>
          <w:p>
            <w:pPr>
              <w:jc w:val="center"/>
              <w:ind w:left="761"/>
              <w:spacing w:after="0"/>
              <w:rPr>
                <w:sz w:val="20"/>
                <w:szCs w:val="20"/>
                <w:color w:val="auto"/>
              </w:rPr>
            </w:pPr>
            <w:r>
              <w:rPr>
                <w:rFonts w:ascii="Arial" w:cs="Arial" w:eastAsia="Arial" w:hAnsi="Arial"/>
                <w:sz w:val="16"/>
                <w:szCs w:val="16"/>
                <w:b w:val="1"/>
                <w:bCs w:val="1"/>
                <w:color w:val="FFFFFF"/>
              </w:rPr>
              <w:t>120%</w:t>
            </w:r>
          </w:p>
        </w:tc>
        <w:tc>
          <w:tcPr>
            <w:tcW w:w="0" w:type="dxa"/>
            <w:vAlign w:val="bottom"/>
          </w:tcPr>
          <w:p>
            <w:pPr>
              <w:spacing w:after="0"/>
              <w:rPr>
                <w:sz w:val="1"/>
                <w:szCs w:val="1"/>
                <w:color w:val="auto"/>
              </w:rPr>
            </w:pPr>
          </w:p>
        </w:tc>
      </w:tr>
      <w:tr>
        <w:trPr>
          <w:trHeight w:val="20"/>
        </w:trPr>
        <w:tc>
          <w:tcPr>
            <w:tcW w:w="3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6156325</wp:posOffset>
            </wp:positionH>
            <wp:positionV relativeFrom="paragraph">
              <wp:posOffset>-3025140</wp:posOffset>
            </wp:positionV>
            <wp:extent cx="4375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-2725420</wp:posOffset>
            </wp:positionV>
            <wp:extent cx="192913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29130" cy="188595"/>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-1559560</wp:posOffset>
            </wp:positionV>
            <wp:extent cx="192913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929130" cy="188595"/>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-1122045</wp:posOffset>
            </wp:positionV>
            <wp:extent cx="192913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29130" cy="188595"/>
                    </a:xfrm>
                    <a:prstGeom prst="rect">
                      <a:avLst/>
                    </a:prstGeom>
                    <a:noFill/>
                  </pic:spPr>
                </pic:pic>
              </a:graphicData>
            </a:graphic>
          </wp:anchor>
        </w:drawing>
        <w:drawing>
          <wp:anchor simplePos="0" relativeHeight="251657728" behindDoc="1" locked="0" layoutInCell="0" allowOverlap="1">
            <wp:simplePos x="0" y="0"/>
            <wp:positionH relativeFrom="column">
              <wp:posOffset>4193540</wp:posOffset>
            </wp:positionH>
            <wp:positionV relativeFrom="paragraph">
              <wp:posOffset>-685165</wp:posOffset>
            </wp:positionV>
            <wp:extent cx="192913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29130" cy="18859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jc w:val="right"/>
              <w:spacing w:after="0"/>
              <w:rPr>
                <w:sz w:val="20"/>
                <w:szCs w:val="20"/>
                <w:color w:val="auto"/>
              </w:rPr>
            </w:pPr>
            <w:r>
              <w:rPr>
                <w:rFonts w:ascii="Arial" w:cs="Arial" w:eastAsia="Arial" w:hAnsi="Arial"/>
                <w:sz w:val="14"/>
                <w:szCs w:val="14"/>
                <w:color w:val="77787B"/>
              </w:rPr>
              <w:t>(1)</w:t>
            </w:r>
          </w:p>
        </w:tc>
        <w:tc>
          <w:tcPr>
            <w:tcW w:w="100" w:type="dxa"/>
            <w:vAlign w:val="bottom"/>
          </w:tcPr>
          <w:p>
            <w:pPr>
              <w:spacing w:after="0"/>
              <w:rPr>
                <w:sz w:val="14"/>
                <w:szCs w:val="14"/>
                <w:color w:val="auto"/>
              </w:rPr>
            </w:pPr>
          </w:p>
        </w:tc>
        <w:tc>
          <w:tcPr>
            <w:tcW w:w="10080" w:type="dxa"/>
            <w:vAlign w:val="bottom"/>
            <w:gridSpan w:val="22"/>
          </w:tcPr>
          <w:p>
            <w:pPr>
              <w:ind w:left="20"/>
              <w:spacing w:after="0"/>
              <w:rPr>
                <w:sz w:val="20"/>
                <w:szCs w:val="20"/>
                <w:color w:val="auto"/>
              </w:rPr>
            </w:pPr>
            <w:r>
              <w:rPr>
                <w:rFonts w:ascii="Arial" w:cs="Arial" w:eastAsia="Arial" w:hAnsi="Arial"/>
                <w:sz w:val="14"/>
                <w:szCs w:val="14"/>
                <w:color w:val="77787B"/>
              </w:rPr>
              <w:t>CROIC is calculated with the numerator as cash flow from operations before changes in working capital, excluding Egypt non-controlling interests,</w:t>
            </w:r>
          </w:p>
        </w:tc>
      </w:tr>
      <w:tr>
        <w:trPr>
          <w:trHeight w:val="162"/>
        </w:trPr>
        <w:tc>
          <w:tcPr>
            <w:tcW w:w="860" w:type="dxa"/>
            <w:vAlign w:val="bottom"/>
          </w:tcPr>
          <w:p>
            <w:pPr>
              <w:spacing w:after="0"/>
              <w:rPr>
                <w:sz w:val="14"/>
                <w:szCs w:val="14"/>
                <w:color w:val="auto"/>
              </w:rPr>
            </w:pPr>
          </w:p>
        </w:tc>
        <w:tc>
          <w:tcPr>
            <w:tcW w:w="10180" w:type="dxa"/>
            <w:vAlign w:val="bottom"/>
            <w:gridSpan w:val="23"/>
          </w:tcPr>
          <w:p>
            <w:pPr>
              <w:ind w:left="40"/>
              <w:spacing w:after="0"/>
              <w:rPr>
                <w:sz w:val="20"/>
                <w:szCs w:val="20"/>
                <w:color w:val="auto"/>
              </w:rPr>
            </w:pPr>
            <w:r>
              <w:rPr>
                <w:rFonts w:ascii="Arial" w:cs="Arial" w:eastAsia="Arial" w:hAnsi="Arial"/>
                <w:sz w:val="14"/>
                <w:szCs w:val="14"/>
                <w:color w:val="77787B"/>
              </w:rPr>
              <w:t>with financing costs added back, and the denominator as average debt plus average APA shareholders’ equity. CROIC is calculated for each year</w:t>
            </w:r>
          </w:p>
        </w:tc>
      </w:tr>
      <w:tr>
        <w:trPr>
          <w:trHeight w:val="190"/>
        </w:trPr>
        <w:tc>
          <w:tcPr>
            <w:tcW w:w="860" w:type="dxa"/>
            <w:vAlign w:val="bottom"/>
          </w:tcPr>
          <w:p>
            <w:pPr>
              <w:spacing w:after="0"/>
              <w:rPr>
                <w:sz w:val="16"/>
                <w:szCs w:val="16"/>
                <w:color w:val="auto"/>
              </w:rPr>
            </w:pPr>
          </w:p>
        </w:tc>
        <w:tc>
          <w:tcPr>
            <w:tcW w:w="2880" w:type="dxa"/>
            <w:vAlign w:val="bottom"/>
            <w:gridSpan w:val="6"/>
          </w:tcPr>
          <w:p>
            <w:pPr>
              <w:ind w:left="40"/>
              <w:spacing w:after="0"/>
              <w:rPr>
                <w:sz w:val="20"/>
                <w:szCs w:val="20"/>
                <w:color w:val="auto"/>
              </w:rPr>
            </w:pPr>
            <w:r>
              <w:rPr>
                <w:rFonts w:ascii="Arial" w:cs="Arial" w:eastAsia="Arial" w:hAnsi="Arial"/>
                <w:sz w:val="14"/>
                <w:szCs w:val="14"/>
                <w:color w:val="77787B"/>
              </w:rPr>
              <w:t>and then averaged across the 3-year period.</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8"/>
        </w:trPr>
        <w:tc>
          <w:tcPr>
            <w:tcW w:w="860" w:type="dxa"/>
            <w:vAlign w:val="bottom"/>
          </w:tcPr>
          <w:p>
            <w:pPr>
              <w:jc w:val="right"/>
              <w:spacing w:after="0"/>
              <w:rPr>
                <w:sz w:val="20"/>
                <w:szCs w:val="20"/>
                <w:color w:val="auto"/>
              </w:rPr>
            </w:pPr>
            <w:r>
              <w:rPr>
                <w:rFonts w:ascii="Arial" w:cs="Arial" w:eastAsia="Arial" w:hAnsi="Arial"/>
                <w:sz w:val="14"/>
                <w:szCs w:val="14"/>
                <w:color w:val="77787B"/>
              </w:rPr>
              <w:t>(2)</w:t>
            </w:r>
          </w:p>
        </w:tc>
        <w:tc>
          <w:tcPr>
            <w:tcW w:w="100" w:type="dxa"/>
            <w:vAlign w:val="bottom"/>
          </w:tcPr>
          <w:p>
            <w:pPr>
              <w:spacing w:after="0"/>
              <w:rPr>
                <w:sz w:val="16"/>
                <w:szCs w:val="16"/>
                <w:color w:val="auto"/>
              </w:rPr>
            </w:pPr>
          </w:p>
        </w:tc>
        <w:tc>
          <w:tcPr>
            <w:tcW w:w="10080" w:type="dxa"/>
            <w:vAlign w:val="bottom"/>
            <w:gridSpan w:val="22"/>
          </w:tcPr>
          <w:p>
            <w:pPr>
              <w:ind w:left="20"/>
              <w:spacing w:after="0"/>
              <w:rPr>
                <w:sz w:val="20"/>
                <w:szCs w:val="20"/>
                <w:color w:val="auto"/>
              </w:rPr>
            </w:pPr>
            <w:r>
              <w:rPr>
                <w:rFonts w:ascii="Arial" w:cs="Arial" w:eastAsia="Arial" w:hAnsi="Arial"/>
                <w:sz w:val="14"/>
                <w:szCs w:val="14"/>
                <w:color w:val="77787B"/>
              </w:rPr>
              <w:t>The CROIC target is based on a 3-year plan activity set, run at a range of 3-year average WTI prices to fill in the above matrix. In the -$10 and -</w:t>
            </w:r>
          </w:p>
        </w:tc>
      </w:tr>
      <w:tr>
        <w:trPr>
          <w:trHeight w:val="162"/>
        </w:trPr>
        <w:tc>
          <w:tcPr>
            <w:tcW w:w="860" w:type="dxa"/>
            <w:vAlign w:val="bottom"/>
          </w:tcPr>
          <w:p>
            <w:pPr>
              <w:spacing w:after="0"/>
              <w:rPr>
                <w:sz w:val="14"/>
                <w:szCs w:val="14"/>
                <w:color w:val="auto"/>
              </w:rPr>
            </w:pPr>
          </w:p>
        </w:tc>
        <w:tc>
          <w:tcPr>
            <w:tcW w:w="9100" w:type="dxa"/>
            <w:vAlign w:val="bottom"/>
            <w:gridSpan w:val="21"/>
          </w:tcPr>
          <w:p>
            <w:pPr>
              <w:ind w:left="40"/>
              <w:spacing w:after="0"/>
              <w:rPr>
                <w:sz w:val="20"/>
                <w:szCs w:val="20"/>
                <w:color w:val="auto"/>
              </w:rPr>
            </w:pPr>
            <w:r>
              <w:rPr>
                <w:rFonts w:ascii="Arial" w:cs="Arial" w:eastAsia="Arial" w:hAnsi="Arial"/>
                <w:sz w:val="14"/>
                <w:szCs w:val="14"/>
                <w:color w:val="77787B"/>
              </w:rPr>
              <w:t>$20 price scenarios, targets have been adjusted for lower activity and cost deflation. In the +$20 scenario, target has been adjusted for higher</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10180" w:type="dxa"/>
            <w:vAlign w:val="bottom"/>
            <w:gridSpan w:val="23"/>
          </w:tcPr>
          <w:p>
            <w:pPr>
              <w:ind w:left="40"/>
              <w:spacing w:after="0"/>
              <w:rPr>
                <w:sz w:val="20"/>
                <w:szCs w:val="20"/>
                <w:color w:val="auto"/>
              </w:rPr>
            </w:pPr>
            <w:r>
              <w:rPr>
                <w:rFonts w:ascii="Arial" w:cs="Arial" w:eastAsia="Arial" w:hAnsi="Arial"/>
                <w:sz w:val="14"/>
                <w:szCs w:val="14"/>
                <w:color w:val="77787B"/>
              </w:rPr>
              <w:t>inflation. In all price scenarios, 60% of free cash flow (as separately defined for our external reporting) is targeted to be returned to shareholders at a</w:t>
            </w:r>
          </w:p>
        </w:tc>
      </w:tr>
      <w:tr>
        <w:trPr>
          <w:trHeight w:val="190"/>
        </w:trPr>
        <w:tc>
          <w:tcPr>
            <w:tcW w:w="860" w:type="dxa"/>
            <w:vAlign w:val="bottom"/>
          </w:tcPr>
          <w:p>
            <w:pPr>
              <w:spacing w:after="0"/>
              <w:rPr>
                <w:sz w:val="16"/>
                <w:szCs w:val="16"/>
                <w:color w:val="auto"/>
              </w:rPr>
            </w:pPr>
          </w:p>
        </w:tc>
        <w:tc>
          <w:tcPr>
            <w:tcW w:w="8680" w:type="dxa"/>
            <w:vAlign w:val="bottom"/>
            <w:gridSpan w:val="20"/>
          </w:tcPr>
          <w:p>
            <w:pPr>
              <w:ind w:left="40"/>
              <w:spacing w:after="0"/>
              <w:rPr>
                <w:sz w:val="20"/>
                <w:szCs w:val="20"/>
                <w:color w:val="auto"/>
              </w:rPr>
            </w:pPr>
            <w:r>
              <w:rPr>
                <w:rFonts w:ascii="Arial" w:cs="Arial" w:eastAsia="Arial" w:hAnsi="Arial"/>
                <w:sz w:val="14"/>
                <w:szCs w:val="14"/>
                <w:color w:val="77787B"/>
              </w:rPr>
              <w:t>minimum. At completion of the performance period, the target is adjusted for portfolio changes, such as acquisitions and divestitures.</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8"/>
        </w:trPr>
        <w:tc>
          <w:tcPr>
            <w:tcW w:w="860" w:type="dxa"/>
            <w:vAlign w:val="bottom"/>
          </w:tcPr>
          <w:p>
            <w:pPr>
              <w:jc w:val="right"/>
              <w:spacing w:after="0"/>
              <w:rPr>
                <w:sz w:val="20"/>
                <w:szCs w:val="20"/>
                <w:color w:val="auto"/>
              </w:rPr>
            </w:pPr>
            <w:r>
              <w:rPr>
                <w:rFonts w:ascii="Arial" w:cs="Arial" w:eastAsia="Arial" w:hAnsi="Arial"/>
                <w:sz w:val="14"/>
                <w:szCs w:val="14"/>
                <w:color w:val="77787B"/>
              </w:rPr>
              <w:t>(3)</w:t>
            </w:r>
          </w:p>
        </w:tc>
        <w:tc>
          <w:tcPr>
            <w:tcW w:w="100" w:type="dxa"/>
            <w:vAlign w:val="bottom"/>
          </w:tcPr>
          <w:p>
            <w:pPr>
              <w:spacing w:after="0"/>
              <w:rPr>
                <w:sz w:val="16"/>
                <w:szCs w:val="16"/>
                <w:color w:val="auto"/>
              </w:rPr>
            </w:pPr>
          </w:p>
        </w:tc>
        <w:tc>
          <w:tcPr>
            <w:tcW w:w="10080" w:type="dxa"/>
            <w:vAlign w:val="bottom"/>
            <w:gridSpan w:val="22"/>
          </w:tcPr>
          <w:p>
            <w:pPr>
              <w:ind w:left="20"/>
              <w:spacing w:after="0"/>
              <w:rPr>
                <w:sz w:val="20"/>
                <w:szCs w:val="20"/>
                <w:color w:val="auto"/>
              </w:rPr>
            </w:pPr>
            <w:r>
              <w:rPr>
                <w:rFonts w:ascii="Arial" w:cs="Arial" w:eastAsia="Arial" w:hAnsi="Arial"/>
                <w:sz w:val="14"/>
                <w:szCs w:val="14"/>
                <w:color w:val="77787B"/>
              </w:rPr>
              <w:t>Relative TSR was calculated using the average per share closing price for the three calendar months immediately preceding the beginning and end</w:t>
            </w:r>
          </w:p>
        </w:tc>
      </w:tr>
      <w:tr>
        <w:trPr>
          <w:trHeight w:val="162"/>
        </w:trPr>
        <w:tc>
          <w:tcPr>
            <w:tcW w:w="860" w:type="dxa"/>
            <w:vAlign w:val="bottom"/>
          </w:tcPr>
          <w:p>
            <w:pPr>
              <w:spacing w:after="0"/>
              <w:rPr>
                <w:sz w:val="14"/>
                <w:szCs w:val="14"/>
                <w:color w:val="auto"/>
              </w:rPr>
            </w:pPr>
          </w:p>
        </w:tc>
        <w:tc>
          <w:tcPr>
            <w:tcW w:w="10180" w:type="dxa"/>
            <w:vAlign w:val="bottom"/>
            <w:gridSpan w:val="23"/>
          </w:tcPr>
          <w:p>
            <w:pPr>
              <w:ind w:left="40"/>
              <w:spacing w:after="0"/>
              <w:rPr>
                <w:sz w:val="20"/>
                <w:szCs w:val="20"/>
                <w:color w:val="auto"/>
              </w:rPr>
            </w:pPr>
            <w:r>
              <w:rPr>
                <w:rFonts w:ascii="Arial" w:cs="Arial" w:eastAsia="Arial" w:hAnsi="Arial"/>
                <w:sz w:val="14"/>
                <w:szCs w:val="14"/>
                <w:color w:val="77787B"/>
              </w:rPr>
              <w:t>of the performance period. Additional details about the relative TSR component of the 2023 performance awards were previously provided in our</w:t>
            </w:r>
          </w:p>
        </w:tc>
      </w:tr>
      <w:tr>
        <w:trPr>
          <w:trHeight w:val="190"/>
        </w:trPr>
        <w:tc>
          <w:tcPr>
            <w:tcW w:w="860" w:type="dxa"/>
            <w:vAlign w:val="bottom"/>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color w:val="77787B"/>
              </w:rPr>
              <w:t>2024 proxy statement.</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7"/>
        </w:trPr>
        <w:tc>
          <w:tcPr>
            <w:tcW w:w="860" w:type="dxa"/>
            <w:vAlign w:val="bottom"/>
          </w:tcPr>
          <w:p>
            <w:pPr>
              <w:jc w:val="right"/>
              <w:spacing w:after="0"/>
              <w:rPr>
                <w:sz w:val="20"/>
                <w:szCs w:val="20"/>
                <w:color w:val="auto"/>
              </w:rPr>
            </w:pPr>
            <w:r>
              <w:rPr>
                <w:rFonts w:ascii="Arial" w:cs="Arial" w:eastAsia="Arial" w:hAnsi="Arial"/>
                <w:sz w:val="14"/>
                <w:szCs w:val="14"/>
                <w:color w:val="77787B"/>
              </w:rPr>
              <w:t>(4)</w:t>
            </w:r>
          </w:p>
        </w:tc>
        <w:tc>
          <w:tcPr>
            <w:tcW w:w="100" w:type="dxa"/>
            <w:vAlign w:val="bottom"/>
          </w:tcPr>
          <w:p>
            <w:pPr>
              <w:spacing w:after="0"/>
              <w:rPr>
                <w:sz w:val="17"/>
                <w:szCs w:val="17"/>
                <w:color w:val="auto"/>
              </w:rPr>
            </w:pPr>
          </w:p>
        </w:tc>
        <w:tc>
          <w:tcPr>
            <w:tcW w:w="40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color w:val="77787B"/>
              </w:rPr>
              <w:t>The full payout scale for the relative TSR metric was as follows:</w:t>
            </w: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128"/>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bottom w:val="single" w:sz="8" w:color="auto"/>
            </w:tcBorders>
            <w:shd w:val="clear" w:color="auto" w:fill="F3F3F4"/>
          </w:tcPr>
          <w:p>
            <w:pPr>
              <w:spacing w:after="0" w:line="129" w:lineRule="exact"/>
              <w:rPr>
                <w:sz w:val="20"/>
                <w:szCs w:val="20"/>
                <w:color w:val="auto"/>
              </w:rPr>
            </w:pPr>
            <w:r>
              <w:rPr>
                <w:rFonts w:ascii="Arial" w:cs="Arial" w:eastAsia="Arial" w:hAnsi="Arial"/>
                <w:sz w:val="13"/>
                <w:szCs w:val="13"/>
                <w:b w:val="1"/>
                <w:bCs w:val="1"/>
                <w:color w:val="auto"/>
              </w:rPr>
              <w:t>Rank</w:t>
            </w:r>
          </w:p>
        </w:tc>
        <w:tc>
          <w:tcPr>
            <w:tcW w:w="560" w:type="dxa"/>
            <w:vAlign w:val="bottom"/>
            <w:tcBorders>
              <w:bottom w:val="single" w:sz="8" w:color="auto"/>
            </w:tcBorders>
            <w:shd w:val="clear" w:color="auto" w:fill="F3F3F4"/>
          </w:tcPr>
          <w:p>
            <w:pPr>
              <w:ind w:left="200"/>
              <w:spacing w:after="0" w:line="129" w:lineRule="exact"/>
              <w:rPr>
                <w:sz w:val="20"/>
                <w:szCs w:val="20"/>
                <w:color w:val="auto"/>
              </w:rPr>
            </w:pPr>
            <w:r>
              <w:rPr>
                <w:rFonts w:ascii="Arial" w:cs="Arial" w:eastAsia="Arial" w:hAnsi="Arial"/>
                <w:sz w:val="13"/>
                <w:szCs w:val="13"/>
                <w:b w:val="1"/>
                <w:bCs w:val="1"/>
                <w:color w:val="auto"/>
              </w:rPr>
              <w:t>1–4</w:t>
            </w:r>
          </w:p>
        </w:tc>
        <w:tc>
          <w:tcPr>
            <w:tcW w:w="400" w:type="dxa"/>
            <w:vAlign w:val="bottom"/>
            <w:tcBorders>
              <w:bottom w:val="single" w:sz="8" w:color="auto"/>
            </w:tcBorders>
            <w:shd w:val="clear" w:color="auto" w:fill="F3F3F4"/>
          </w:tcPr>
          <w:p>
            <w:pPr>
              <w:jc w:val="right"/>
              <w:ind w:right="117"/>
              <w:spacing w:after="0" w:line="129" w:lineRule="exact"/>
              <w:rPr>
                <w:sz w:val="20"/>
                <w:szCs w:val="20"/>
                <w:color w:val="auto"/>
              </w:rPr>
            </w:pPr>
            <w:r>
              <w:rPr>
                <w:rFonts w:ascii="Arial" w:cs="Arial" w:eastAsia="Arial" w:hAnsi="Arial"/>
                <w:sz w:val="13"/>
                <w:szCs w:val="13"/>
                <w:b w:val="1"/>
                <w:bCs w:val="1"/>
                <w:color w:val="auto"/>
              </w:rPr>
              <w:t>5</w:t>
            </w:r>
          </w:p>
        </w:tc>
        <w:tc>
          <w:tcPr>
            <w:tcW w:w="420" w:type="dxa"/>
            <w:vAlign w:val="bottom"/>
            <w:tcBorders>
              <w:bottom w:val="single" w:sz="8" w:color="auto"/>
            </w:tcBorders>
            <w:shd w:val="clear" w:color="auto" w:fill="F3F3F4"/>
          </w:tcPr>
          <w:p>
            <w:pPr>
              <w:jc w:val="right"/>
              <w:ind w:right="117"/>
              <w:spacing w:after="0" w:line="129" w:lineRule="exact"/>
              <w:rPr>
                <w:sz w:val="20"/>
                <w:szCs w:val="20"/>
                <w:color w:val="auto"/>
              </w:rPr>
            </w:pPr>
            <w:r>
              <w:rPr>
                <w:rFonts w:ascii="Arial" w:cs="Arial" w:eastAsia="Arial" w:hAnsi="Arial"/>
                <w:sz w:val="13"/>
                <w:szCs w:val="13"/>
                <w:b w:val="1"/>
                <w:bCs w:val="1"/>
                <w:color w:val="auto"/>
              </w:rPr>
              <w:t>6</w:t>
            </w:r>
          </w:p>
        </w:tc>
        <w:tc>
          <w:tcPr>
            <w:tcW w:w="540" w:type="dxa"/>
            <w:vAlign w:val="bottom"/>
            <w:tcBorders>
              <w:bottom w:val="single" w:sz="8" w:color="auto"/>
            </w:tcBorders>
            <w:shd w:val="clear" w:color="auto" w:fill="F3F3F4"/>
          </w:tcPr>
          <w:p>
            <w:pPr>
              <w:jc w:val="right"/>
              <w:ind w:right="217"/>
              <w:spacing w:after="0" w:line="129" w:lineRule="exact"/>
              <w:rPr>
                <w:sz w:val="20"/>
                <w:szCs w:val="20"/>
                <w:color w:val="auto"/>
              </w:rPr>
            </w:pPr>
            <w:r>
              <w:rPr>
                <w:rFonts w:ascii="Arial" w:cs="Arial" w:eastAsia="Arial" w:hAnsi="Arial"/>
                <w:sz w:val="13"/>
                <w:szCs w:val="13"/>
                <w:b w:val="1"/>
                <w:bCs w:val="1"/>
                <w:color w:val="auto"/>
              </w:rPr>
              <w:t>7</w:t>
            </w:r>
          </w:p>
        </w:tc>
        <w:tc>
          <w:tcPr>
            <w:tcW w:w="340" w:type="dxa"/>
            <w:vAlign w:val="bottom"/>
            <w:tcBorders>
              <w:bottom w:val="single" w:sz="8" w:color="auto"/>
            </w:tcBorders>
            <w:shd w:val="clear" w:color="auto" w:fill="F3F3F4"/>
          </w:tcPr>
          <w:p>
            <w:pPr>
              <w:jc w:val="right"/>
              <w:ind w:right="117"/>
              <w:spacing w:after="0" w:line="129" w:lineRule="exact"/>
              <w:rPr>
                <w:sz w:val="20"/>
                <w:szCs w:val="20"/>
                <w:color w:val="auto"/>
              </w:rPr>
            </w:pPr>
            <w:r>
              <w:rPr>
                <w:rFonts w:ascii="Arial" w:cs="Arial" w:eastAsia="Arial" w:hAnsi="Arial"/>
                <w:sz w:val="13"/>
                <w:szCs w:val="13"/>
                <w:b w:val="1"/>
                <w:bCs w:val="1"/>
                <w:color w:val="auto"/>
              </w:rPr>
              <w:t>8</w:t>
            </w:r>
          </w:p>
        </w:tc>
        <w:tc>
          <w:tcPr>
            <w:tcW w:w="420" w:type="dxa"/>
            <w:vAlign w:val="bottom"/>
            <w:tcBorders>
              <w:bottom w:val="single" w:sz="8" w:color="auto"/>
            </w:tcBorders>
            <w:shd w:val="clear" w:color="auto" w:fill="F3F3F4"/>
          </w:tcPr>
          <w:p>
            <w:pPr>
              <w:jc w:val="right"/>
              <w:ind w:right="117"/>
              <w:spacing w:after="0" w:line="129" w:lineRule="exact"/>
              <w:rPr>
                <w:sz w:val="20"/>
                <w:szCs w:val="20"/>
                <w:color w:val="auto"/>
              </w:rPr>
            </w:pPr>
            <w:r>
              <w:rPr>
                <w:rFonts w:ascii="Arial" w:cs="Arial" w:eastAsia="Arial" w:hAnsi="Arial"/>
                <w:sz w:val="13"/>
                <w:szCs w:val="13"/>
                <w:b w:val="1"/>
                <w:bCs w:val="1"/>
                <w:color w:val="auto"/>
              </w:rPr>
              <w:t>9</w:t>
            </w:r>
          </w:p>
        </w:tc>
        <w:tc>
          <w:tcPr>
            <w:tcW w:w="540" w:type="dxa"/>
            <w:vAlign w:val="bottom"/>
            <w:tcBorders>
              <w:bottom w:val="single" w:sz="8" w:color="auto"/>
            </w:tcBorders>
            <w:shd w:val="clear" w:color="auto" w:fill="F3F3F4"/>
          </w:tcPr>
          <w:p>
            <w:pPr>
              <w:jc w:val="right"/>
              <w:ind w:right="177"/>
              <w:spacing w:after="0" w:line="129" w:lineRule="exact"/>
              <w:rPr>
                <w:sz w:val="20"/>
                <w:szCs w:val="20"/>
                <w:color w:val="auto"/>
              </w:rPr>
            </w:pPr>
            <w:r>
              <w:rPr>
                <w:rFonts w:ascii="Arial" w:cs="Arial" w:eastAsia="Arial" w:hAnsi="Arial"/>
                <w:sz w:val="13"/>
                <w:szCs w:val="13"/>
                <w:b w:val="1"/>
                <w:bCs w:val="1"/>
                <w:color w:val="auto"/>
              </w:rPr>
              <w:t>10</w:t>
            </w:r>
          </w:p>
        </w:tc>
        <w:tc>
          <w:tcPr>
            <w:tcW w:w="320" w:type="dxa"/>
            <w:vAlign w:val="bottom"/>
            <w:tcBorders>
              <w:bottom w:val="single" w:sz="8" w:color="auto"/>
            </w:tcBorders>
            <w:shd w:val="clear" w:color="auto" w:fill="F3F3F4"/>
          </w:tcPr>
          <w:p>
            <w:pPr>
              <w:jc w:val="right"/>
              <w:ind w:right="77"/>
              <w:spacing w:after="0" w:line="129" w:lineRule="exact"/>
              <w:rPr>
                <w:sz w:val="20"/>
                <w:szCs w:val="20"/>
                <w:color w:val="auto"/>
              </w:rPr>
            </w:pPr>
            <w:r>
              <w:rPr>
                <w:rFonts w:ascii="Arial" w:cs="Arial" w:eastAsia="Arial" w:hAnsi="Arial"/>
                <w:sz w:val="13"/>
                <w:szCs w:val="13"/>
                <w:b w:val="1"/>
                <w:bCs w:val="1"/>
                <w:color w:val="auto"/>
              </w:rPr>
              <w:t>11</w:t>
            </w:r>
          </w:p>
        </w:tc>
        <w:tc>
          <w:tcPr>
            <w:tcW w:w="420" w:type="dxa"/>
            <w:vAlign w:val="bottom"/>
            <w:tcBorders>
              <w:bottom w:val="single" w:sz="8" w:color="auto"/>
            </w:tcBorders>
            <w:shd w:val="clear" w:color="auto" w:fill="F3F3F4"/>
          </w:tcPr>
          <w:p>
            <w:pPr>
              <w:jc w:val="right"/>
              <w:ind w:right="77"/>
              <w:spacing w:after="0" w:line="129" w:lineRule="exact"/>
              <w:rPr>
                <w:sz w:val="20"/>
                <w:szCs w:val="20"/>
                <w:color w:val="auto"/>
              </w:rPr>
            </w:pPr>
            <w:r>
              <w:rPr>
                <w:rFonts w:ascii="Arial" w:cs="Arial" w:eastAsia="Arial" w:hAnsi="Arial"/>
                <w:sz w:val="13"/>
                <w:szCs w:val="13"/>
                <w:b w:val="1"/>
                <w:bCs w:val="1"/>
                <w:color w:val="auto"/>
              </w:rPr>
              <w:t>12</w:t>
            </w:r>
          </w:p>
        </w:tc>
        <w:tc>
          <w:tcPr>
            <w:tcW w:w="420" w:type="dxa"/>
            <w:vAlign w:val="bottom"/>
            <w:tcBorders>
              <w:bottom w:val="single" w:sz="8" w:color="auto"/>
            </w:tcBorders>
            <w:shd w:val="clear" w:color="auto" w:fill="F3F3F4"/>
          </w:tcPr>
          <w:p>
            <w:pPr>
              <w:jc w:val="right"/>
              <w:ind w:right="77"/>
              <w:spacing w:after="0" w:line="129" w:lineRule="exact"/>
              <w:rPr>
                <w:sz w:val="20"/>
                <w:szCs w:val="20"/>
                <w:color w:val="auto"/>
              </w:rPr>
            </w:pPr>
            <w:r>
              <w:rPr>
                <w:rFonts w:ascii="Arial" w:cs="Arial" w:eastAsia="Arial" w:hAnsi="Arial"/>
                <w:sz w:val="13"/>
                <w:szCs w:val="13"/>
                <w:b w:val="1"/>
                <w:bCs w:val="1"/>
                <w:color w:val="auto"/>
              </w:rPr>
              <w:t>13</w:t>
            </w:r>
          </w:p>
        </w:tc>
        <w:tc>
          <w:tcPr>
            <w:tcW w:w="420" w:type="dxa"/>
            <w:vAlign w:val="bottom"/>
            <w:tcBorders>
              <w:bottom w:val="single" w:sz="8" w:color="auto"/>
            </w:tcBorders>
            <w:shd w:val="clear" w:color="auto" w:fill="F3F3F4"/>
          </w:tcPr>
          <w:p>
            <w:pPr>
              <w:jc w:val="right"/>
              <w:ind w:right="77"/>
              <w:spacing w:after="0" w:line="129" w:lineRule="exact"/>
              <w:rPr>
                <w:sz w:val="20"/>
                <w:szCs w:val="20"/>
                <w:color w:val="auto"/>
              </w:rPr>
            </w:pPr>
            <w:r>
              <w:rPr>
                <w:rFonts w:ascii="Arial" w:cs="Arial" w:eastAsia="Arial" w:hAnsi="Arial"/>
                <w:sz w:val="13"/>
                <w:szCs w:val="13"/>
                <w:b w:val="1"/>
                <w:bCs w:val="1"/>
                <w:color w:val="auto"/>
              </w:rPr>
              <w:t>14</w:t>
            </w:r>
          </w:p>
        </w:tc>
        <w:tc>
          <w:tcPr>
            <w:tcW w:w="400" w:type="dxa"/>
            <w:vAlign w:val="bottom"/>
            <w:tcBorders>
              <w:bottom w:val="single" w:sz="8" w:color="auto"/>
            </w:tcBorders>
            <w:shd w:val="clear" w:color="auto" w:fill="F3F3F4"/>
          </w:tcPr>
          <w:p>
            <w:pPr>
              <w:jc w:val="right"/>
              <w:ind w:right="57"/>
              <w:spacing w:after="0" w:line="129" w:lineRule="exact"/>
              <w:rPr>
                <w:sz w:val="20"/>
                <w:szCs w:val="20"/>
                <w:color w:val="auto"/>
              </w:rPr>
            </w:pPr>
            <w:r>
              <w:rPr>
                <w:rFonts w:ascii="Arial" w:cs="Arial" w:eastAsia="Arial" w:hAnsi="Arial"/>
                <w:sz w:val="13"/>
                <w:szCs w:val="13"/>
                <w:b w:val="1"/>
                <w:bCs w:val="1"/>
                <w:color w:val="auto"/>
              </w:rPr>
              <w:t>15</w:t>
            </w:r>
          </w:p>
        </w:tc>
        <w:tc>
          <w:tcPr>
            <w:tcW w:w="420" w:type="dxa"/>
            <w:vAlign w:val="bottom"/>
            <w:tcBorders>
              <w:bottom w:val="single" w:sz="8" w:color="auto"/>
            </w:tcBorders>
            <w:shd w:val="clear" w:color="auto" w:fill="F3F3F4"/>
          </w:tcPr>
          <w:p>
            <w:pPr>
              <w:jc w:val="right"/>
              <w:ind w:right="77"/>
              <w:spacing w:after="0" w:line="129" w:lineRule="exact"/>
              <w:rPr>
                <w:sz w:val="20"/>
                <w:szCs w:val="20"/>
                <w:color w:val="auto"/>
              </w:rPr>
            </w:pPr>
            <w:r>
              <w:rPr>
                <w:rFonts w:ascii="Arial" w:cs="Arial" w:eastAsia="Arial" w:hAnsi="Arial"/>
                <w:sz w:val="13"/>
                <w:szCs w:val="13"/>
                <w:b w:val="1"/>
                <w:bCs w:val="1"/>
                <w:color w:val="auto"/>
              </w:rPr>
              <w:t>16</w:t>
            </w:r>
          </w:p>
        </w:tc>
        <w:tc>
          <w:tcPr>
            <w:tcW w:w="420" w:type="dxa"/>
            <w:vAlign w:val="bottom"/>
            <w:tcBorders>
              <w:bottom w:val="single" w:sz="8" w:color="auto"/>
            </w:tcBorders>
            <w:shd w:val="clear" w:color="auto" w:fill="F3F3F4"/>
          </w:tcPr>
          <w:p>
            <w:pPr>
              <w:jc w:val="right"/>
              <w:ind w:right="77"/>
              <w:spacing w:after="0" w:line="129" w:lineRule="exact"/>
              <w:rPr>
                <w:sz w:val="20"/>
                <w:szCs w:val="20"/>
                <w:color w:val="auto"/>
              </w:rPr>
            </w:pPr>
            <w:r>
              <w:rPr>
                <w:rFonts w:ascii="Arial" w:cs="Arial" w:eastAsia="Arial" w:hAnsi="Arial"/>
                <w:sz w:val="13"/>
                <w:szCs w:val="13"/>
                <w:b w:val="1"/>
                <w:bCs w:val="1"/>
                <w:color w:val="auto"/>
              </w:rPr>
              <w:t>17</w:t>
            </w:r>
          </w:p>
        </w:tc>
        <w:tc>
          <w:tcPr>
            <w:tcW w:w="360" w:type="dxa"/>
            <w:vAlign w:val="bottom"/>
            <w:tcBorders>
              <w:bottom w:val="single" w:sz="8" w:color="auto"/>
            </w:tcBorders>
            <w:shd w:val="clear" w:color="auto" w:fill="F3F3F4"/>
          </w:tcPr>
          <w:p>
            <w:pPr>
              <w:jc w:val="right"/>
              <w:ind w:right="17"/>
              <w:spacing w:after="0" w:line="129" w:lineRule="exact"/>
              <w:rPr>
                <w:sz w:val="20"/>
                <w:szCs w:val="20"/>
                <w:color w:val="auto"/>
              </w:rPr>
            </w:pPr>
            <w:r>
              <w:rPr>
                <w:rFonts w:ascii="Arial" w:cs="Arial" w:eastAsia="Arial" w:hAnsi="Arial"/>
                <w:sz w:val="13"/>
                <w:szCs w:val="13"/>
                <w:b w:val="1"/>
                <w:bCs w:val="1"/>
                <w:color w:val="auto"/>
              </w:rPr>
              <w:t>18</w:t>
            </w:r>
          </w:p>
        </w:tc>
        <w:tc>
          <w:tcPr>
            <w:tcW w:w="480" w:type="dxa"/>
            <w:vAlign w:val="bottom"/>
            <w:tcBorders>
              <w:bottom w:val="single" w:sz="8" w:color="auto"/>
            </w:tcBorders>
            <w:shd w:val="clear" w:color="auto" w:fill="F3F3F4"/>
          </w:tcPr>
          <w:p>
            <w:pPr>
              <w:jc w:val="right"/>
              <w:ind w:right="71"/>
              <w:spacing w:after="0" w:line="129" w:lineRule="exact"/>
              <w:rPr>
                <w:sz w:val="20"/>
                <w:szCs w:val="20"/>
                <w:color w:val="auto"/>
              </w:rPr>
            </w:pPr>
            <w:r>
              <w:rPr>
                <w:rFonts w:ascii="Arial" w:cs="Arial" w:eastAsia="Arial" w:hAnsi="Arial"/>
                <w:sz w:val="13"/>
                <w:szCs w:val="13"/>
                <w:b w:val="1"/>
                <w:bCs w:val="1"/>
                <w:color w:val="auto"/>
              </w:rPr>
              <w:t>19</w:t>
            </w:r>
          </w:p>
        </w:tc>
        <w:tc>
          <w:tcPr>
            <w:tcW w:w="440" w:type="dxa"/>
            <w:vAlign w:val="bottom"/>
            <w:tcBorders>
              <w:bottom w:val="single" w:sz="8" w:color="auto"/>
            </w:tcBorders>
            <w:shd w:val="clear" w:color="auto" w:fill="F3F3F4"/>
          </w:tcPr>
          <w:p>
            <w:pPr>
              <w:jc w:val="right"/>
              <w:ind w:right="97"/>
              <w:spacing w:after="0" w:line="129" w:lineRule="exact"/>
              <w:rPr>
                <w:sz w:val="20"/>
                <w:szCs w:val="20"/>
                <w:color w:val="auto"/>
              </w:rPr>
            </w:pPr>
            <w:r>
              <w:rPr>
                <w:rFonts w:ascii="Arial" w:cs="Arial" w:eastAsia="Arial" w:hAnsi="Arial"/>
                <w:sz w:val="13"/>
                <w:szCs w:val="13"/>
                <w:b w:val="1"/>
                <w:bCs w:val="1"/>
                <w:color w:val="auto"/>
              </w:rPr>
              <w:t>20</w:t>
            </w:r>
          </w:p>
        </w:tc>
        <w:tc>
          <w:tcPr>
            <w:tcW w:w="400" w:type="dxa"/>
            <w:vAlign w:val="bottom"/>
            <w:tcBorders>
              <w:bottom w:val="single" w:sz="8" w:color="auto"/>
            </w:tcBorders>
            <w:shd w:val="clear" w:color="auto" w:fill="F3F3F4"/>
          </w:tcPr>
          <w:p>
            <w:pPr>
              <w:jc w:val="right"/>
              <w:ind w:right="77"/>
              <w:spacing w:after="0" w:line="129" w:lineRule="exact"/>
              <w:rPr>
                <w:sz w:val="20"/>
                <w:szCs w:val="20"/>
                <w:color w:val="auto"/>
              </w:rPr>
            </w:pPr>
            <w:r>
              <w:rPr>
                <w:rFonts w:ascii="Arial" w:cs="Arial" w:eastAsia="Arial" w:hAnsi="Arial"/>
                <w:sz w:val="13"/>
                <w:szCs w:val="13"/>
                <w:b w:val="1"/>
                <w:bCs w:val="1"/>
                <w:color w:val="auto"/>
              </w:rPr>
              <w:t>21</w:t>
            </w:r>
          </w:p>
        </w:tc>
        <w:tc>
          <w:tcPr>
            <w:tcW w:w="420" w:type="dxa"/>
            <w:vAlign w:val="bottom"/>
            <w:tcBorders>
              <w:bottom w:val="single" w:sz="8" w:color="auto"/>
            </w:tcBorders>
            <w:shd w:val="clear" w:color="auto" w:fill="F3F3F4"/>
          </w:tcPr>
          <w:p>
            <w:pPr>
              <w:jc w:val="right"/>
              <w:ind w:right="77"/>
              <w:spacing w:after="0" w:line="129" w:lineRule="exact"/>
              <w:rPr>
                <w:sz w:val="20"/>
                <w:szCs w:val="20"/>
                <w:color w:val="auto"/>
              </w:rPr>
            </w:pPr>
            <w:r>
              <w:rPr>
                <w:rFonts w:ascii="Arial" w:cs="Arial" w:eastAsia="Arial" w:hAnsi="Arial"/>
                <w:sz w:val="13"/>
                <w:szCs w:val="13"/>
                <w:b w:val="1"/>
                <w:bCs w:val="1"/>
                <w:color w:val="auto"/>
              </w:rPr>
              <w:t>22</w:t>
            </w:r>
          </w:p>
        </w:tc>
        <w:tc>
          <w:tcPr>
            <w:tcW w:w="420" w:type="dxa"/>
            <w:vAlign w:val="bottom"/>
            <w:tcBorders>
              <w:bottom w:val="single" w:sz="8" w:color="auto"/>
            </w:tcBorders>
            <w:shd w:val="clear" w:color="auto" w:fill="000000"/>
          </w:tcPr>
          <w:p>
            <w:pPr>
              <w:jc w:val="center"/>
              <w:spacing w:after="0" w:line="129" w:lineRule="exact"/>
              <w:rPr>
                <w:sz w:val="20"/>
                <w:szCs w:val="20"/>
                <w:color w:val="auto"/>
              </w:rPr>
            </w:pPr>
            <w:r>
              <w:rPr>
                <w:rFonts w:ascii="Arial" w:cs="Arial" w:eastAsia="Arial" w:hAnsi="Arial"/>
                <w:sz w:val="13"/>
                <w:szCs w:val="13"/>
                <w:b w:val="1"/>
                <w:bCs w:val="1"/>
                <w:color w:val="FFFFFF"/>
                <w:w w:val="93"/>
              </w:rPr>
              <w:t>23–26</w:t>
            </w:r>
          </w:p>
        </w:tc>
        <w:tc>
          <w:tcPr>
            <w:tcW w:w="660" w:type="dxa"/>
            <w:vAlign w:val="bottom"/>
          </w:tcPr>
          <w:p>
            <w:pPr>
              <w:spacing w:after="0"/>
              <w:rPr>
                <w:sz w:val="11"/>
                <w:szCs w:val="11"/>
                <w:color w:val="auto"/>
              </w:rPr>
            </w:pPr>
          </w:p>
        </w:tc>
      </w:tr>
      <w:tr>
        <w:trPr>
          <w:trHeight w:val="129"/>
        </w:trPr>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Payout (%)</w:t>
            </w:r>
          </w:p>
        </w:tc>
        <w:tc>
          <w:tcPr>
            <w:tcW w:w="560" w:type="dxa"/>
            <w:vAlign w:val="bottom"/>
            <w:tcBorders>
              <w:bottom w:val="single" w:sz="8" w:color="auto"/>
            </w:tcBorders>
          </w:tcPr>
          <w:p>
            <w:pPr>
              <w:ind w:left="200"/>
              <w:spacing w:after="0" w:line="129" w:lineRule="exact"/>
              <w:rPr>
                <w:sz w:val="20"/>
                <w:szCs w:val="20"/>
                <w:color w:val="auto"/>
              </w:rPr>
            </w:pPr>
            <w:r>
              <w:rPr>
                <w:rFonts w:ascii="Arial" w:cs="Arial" w:eastAsia="Arial" w:hAnsi="Arial"/>
                <w:sz w:val="13"/>
                <w:szCs w:val="13"/>
                <w:color w:val="auto"/>
              </w:rPr>
              <w:t>200</w:t>
            </w:r>
          </w:p>
        </w:tc>
        <w:tc>
          <w:tcPr>
            <w:tcW w:w="4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185</w:t>
            </w:r>
          </w:p>
        </w:tc>
        <w:tc>
          <w:tcPr>
            <w:tcW w:w="42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170</w:t>
            </w:r>
          </w:p>
        </w:tc>
        <w:tc>
          <w:tcPr>
            <w:tcW w:w="54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160</w:t>
            </w:r>
          </w:p>
        </w:tc>
        <w:tc>
          <w:tcPr>
            <w:tcW w:w="3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w w:val="92"/>
              </w:rPr>
              <w:t>150</w:t>
            </w:r>
          </w:p>
        </w:tc>
        <w:tc>
          <w:tcPr>
            <w:tcW w:w="42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140</w:t>
            </w:r>
          </w:p>
        </w:tc>
        <w:tc>
          <w:tcPr>
            <w:tcW w:w="54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color w:val="auto"/>
              </w:rPr>
              <w:t>130</w:t>
            </w:r>
          </w:p>
        </w:tc>
        <w:tc>
          <w:tcPr>
            <w:tcW w:w="32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92"/>
              </w:rPr>
              <w:t>120</w:t>
            </w:r>
          </w:p>
        </w:tc>
        <w:tc>
          <w:tcPr>
            <w:tcW w:w="4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110</w:t>
            </w:r>
          </w:p>
        </w:tc>
        <w:tc>
          <w:tcPr>
            <w:tcW w:w="4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100</w:t>
            </w:r>
          </w:p>
        </w:tc>
        <w:tc>
          <w:tcPr>
            <w:tcW w:w="42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90</w:t>
            </w:r>
          </w:p>
        </w:tc>
        <w:tc>
          <w:tcPr>
            <w:tcW w:w="4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80</w:t>
            </w:r>
          </w:p>
        </w:tc>
        <w:tc>
          <w:tcPr>
            <w:tcW w:w="42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70</w:t>
            </w:r>
          </w:p>
        </w:tc>
        <w:tc>
          <w:tcPr>
            <w:tcW w:w="42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60</w:t>
            </w:r>
          </w:p>
        </w:tc>
        <w:tc>
          <w:tcPr>
            <w:tcW w:w="3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50</w:t>
            </w:r>
          </w:p>
        </w:tc>
        <w:tc>
          <w:tcPr>
            <w:tcW w:w="480" w:type="dxa"/>
            <w:vAlign w:val="bottom"/>
            <w:tcBorders>
              <w:bottom w:val="single" w:sz="8" w:color="auto"/>
            </w:tcBorders>
          </w:tcPr>
          <w:p>
            <w:pPr>
              <w:jc w:val="right"/>
              <w:ind w:right="71"/>
              <w:spacing w:after="0" w:line="129" w:lineRule="exact"/>
              <w:rPr>
                <w:sz w:val="20"/>
                <w:szCs w:val="20"/>
                <w:color w:val="auto"/>
              </w:rPr>
            </w:pPr>
            <w:r>
              <w:rPr>
                <w:rFonts w:ascii="Arial" w:cs="Arial" w:eastAsia="Arial" w:hAnsi="Arial"/>
                <w:sz w:val="13"/>
                <w:szCs w:val="13"/>
                <w:color w:val="auto"/>
              </w:rPr>
              <w:t>40</w:t>
            </w:r>
          </w:p>
        </w:tc>
        <w:tc>
          <w:tcPr>
            <w:tcW w:w="44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color w:val="auto"/>
              </w:rPr>
              <w:t>30</w:t>
            </w:r>
          </w:p>
        </w:tc>
        <w:tc>
          <w:tcPr>
            <w:tcW w:w="40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20</w:t>
            </w:r>
          </w:p>
        </w:tc>
        <w:tc>
          <w:tcPr>
            <w:tcW w:w="42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15</w:t>
            </w:r>
          </w:p>
        </w:tc>
        <w:tc>
          <w:tcPr>
            <w:tcW w:w="420" w:type="dxa"/>
            <w:vAlign w:val="bottom"/>
            <w:tcBorders>
              <w:bottom w:val="single" w:sz="8" w:color="auto"/>
            </w:tcBorders>
            <w:shd w:val="clear" w:color="auto" w:fill="000000"/>
          </w:tcPr>
          <w:p>
            <w:pPr>
              <w:jc w:val="center"/>
              <w:spacing w:after="0" w:line="129" w:lineRule="exact"/>
              <w:rPr>
                <w:sz w:val="20"/>
                <w:szCs w:val="20"/>
                <w:color w:val="auto"/>
              </w:rPr>
            </w:pPr>
            <w:r>
              <w:rPr>
                <w:rFonts w:ascii="Arial" w:cs="Arial" w:eastAsia="Arial" w:hAnsi="Arial"/>
                <w:sz w:val="13"/>
                <w:szCs w:val="13"/>
                <w:color w:val="FFFFFF"/>
              </w:rPr>
              <w:t>—</w:t>
            </w:r>
          </w:p>
        </w:tc>
        <w:tc>
          <w:tcPr>
            <w:tcW w:w="660" w:type="dxa"/>
            <w:vAlign w:val="bottom"/>
          </w:tcPr>
          <w:p>
            <w:pPr>
              <w:spacing w:after="0"/>
              <w:rPr>
                <w:sz w:val="11"/>
                <w:szCs w:val="11"/>
                <w:color w:val="auto"/>
              </w:rPr>
            </w:pPr>
          </w:p>
        </w:tc>
      </w:tr>
      <w:tr>
        <w:trPr>
          <w:trHeight w:val="268"/>
        </w:trPr>
        <w:tc>
          <w:tcPr>
            <w:tcW w:w="860" w:type="dxa"/>
            <w:vAlign w:val="bottom"/>
          </w:tcPr>
          <w:p>
            <w:pPr>
              <w:jc w:val="right"/>
              <w:spacing w:after="0"/>
              <w:rPr>
                <w:sz w:val="20"/>
                <w:szCs w:val="20"/>
                <w:color w:val="auto"/>
              </w:rPr>
            </w:pPr>
            <w:r>
              <w:rPr>
                <w:rFonts w:ascii="Arial" w:cs="Arial" w:eastAsia="Arial" w:hAnsi="Arial"/>
                <w:sz w:val="14"/>
                <w:szCs w:val="14"/>
                <w:color w:val="77787B"/>
              </w:rPr>
              <w:t>(5)</w:t>
            </w:r>
          </w:p>
        </w:tc>
        <w:tc>
          <w:tcPr>
            <w:tcW w:w="100" w:type="dxa"/>
            <w:vAlign w:val="bottom"/>
          </w:tcPr>
          <w:p>
            <w:pPr>
              <w:spacing w:after="0"/>
              <w:rPr>
                <w:sz w:val="23"/>
                <w:szCs w:val="23"/>
                <w:color w:val="auto"/>
              </w:rPr>
            </w:pPr>
          </w:p>
        </w:tc>
        <w:tc>
          <w:tcPr>
            <w:tcW w:w="10080" w:type="dxa"/>
            <w:vAlign w:val="bottom"/>
            <w:gridSpan w:val="22"/>
          </w:tcPr>
          <w:p>
            <w:pPr>
              <w:ind w:left="20"/>
              <w:spacing w:after="0"/>
              <w:rPr>
                <w:sz w:val="20"/>
                <w:szCs w:val="20"/>
                <w:color w:val="auto"/>
              </w:rPr>
            </w:pPr>
            <w:r>
              <w:rPr>
                <w:rFonts w:ascii="Arial" w:cs="Arial" w:eastAsia="Arial" w:hAnsi="Arial"/>
                <w:sz w:val="14"/>
                <w:szCs w:val="14"/>
                <w:color w:val="77787B"/>
              </w:rPr>
              <w:t>Sustainability was focused on the annualized reduction in scope 1 greenhouse gas (GHG) intensity and to enhance biodiversity by accelerating</w:t>
            </w:r>
          </w:p>
        </w:tc>
      </w:tr>
      <w:tr>
        <w:trPr>
          <w:trHeight w:val="162"/>
        </w:trPr>
        <w:tc>
          <w:tcPr>
            <w:tcW w:w="860" w:type="dxa"/>
            <w:vAlign w:val="bottom"/>
          </w:tcPr>
          <w:p>
            <w:pPr>
              <w:spacing w:after="0"/>
              <w:rPr>
                <w:sz w:val="14"/>
                <w:szCs w:val="14"/>
                <w:color w:val="auto"/>
              </w:rPr>
            </w:pPr>
          </w:p>
        </w:tc>
        <w:tc>
          <w:tcPr>
            <w:tcW w:w="10180" w:type="dxa"/>
            <w:vAlign w:val="bottom"/>
            <w:gridSpan w:val="23"/>
          </w:tcPr>
          <w:p>
            <w:pPr>
              <w:ind w:left="40"/>
              <w:spacing w:after="0"/>
              <w:rPr>
                <w:sz w:val="20"/>
                <w:szCs w:val="20"/>
                <w:color w:val="auto"/>
              </w:rPr>
            </w:pPr>
            <w:r>
              <w:rPr>
                <w:rFonts w:ascii="Arial" w:cs="Arial" w:eastAsia="Arial" w:hAnsi="Arial"/>
                <w:sz w:val="14"/>
                <w:szCs w:val="14"/>
                <w:color w:val="77787B"/>
              </w:rPr>
              <w:t>reclamation sites over the three-year period. GHG intensity was measured against percentage reduction of GHG intensity over the performance</w:t>
            </w:r>
          </w:p>
        </w:tc>
      </w:tr>
      <w:tr>
        <w:trPr>
          <w:trHeight w:val="162"/>
        </w:trPr>
        <w:tc>
          <w:tcPr>
            <w:tcW w:w="860" w:type="dxa"/>
            <w:vAlign w:val="bottom"/>
          </w:tcPr>
          <w:p>
            <w:pPr>
              <w:spacing w:after="0"/>
              <w:rPr>
                <w:sz w:val="14"/>
                <w:szCs w:val="14"/>
                <w:color w:val="auto"/>
              </w:rPr>
            </w:pPr>
          </w:p>
        </w:tc>
        <w:tc>
          <w:tcPr>
            <w:tcW w:w="10180" w:type="dxa"/>
            <w:vAlign w:val="bottom"/>
            <w:gridSpan w:val="23"/>
          </w:tcPr>
          <w:p>
            <w:pPr>
              <w:ind w:left="40"/>
              <w:spacing w:after="0"/>
              <w:rPr>
                <w:sz w:val="20"/>
                <w:szCs w:val="20"/>
                <w:color w:val="auto"/>
              </w:rPr>
            </w:pPr>
            <w:r>
              <w:rPr>
                <w:rFonts w:ascii="Arial" w:cs="Arial" w:eastAsia="Arial" w:hAnsi="Arial"/>
                <w:sz w:val="14"/>
                <w:szCs w:val="14"/>
                <w:color w:val="77787B"/>
              </w:rPr>
              <w:t>period compared to a previous baseline year to deliver the three-year reduction in GHG intensity using the calculation standards applicable to each</w:t>
            </w:r>
          </w:p>
        </w:tc>
      </w:tr>
      <w:tr>
        <w:trPr>
          <w:trHeight w:val="162"/>
        </w:trPr>
        <w:tc>
          <w:tcPr>
            <w:tcW w:w="860" w:type="dxa"/>
            <w:vAlign w:val="bottom"/>
          </w:tcPr>
          <w:p>
            <w:pPr>
              <w:spacing w:after="0"/>
              <w:rPr>
                <w:sz w:val="14"/>
                <w:szCs w:val="14"/>
                <w:color w:val="auto"/>
              </w:rPr>
            </w:pPr>
          </w:p>
        </w:tc>
        <w:tc>
          <w:tcPr>
            <w:tcW w:w="10180" w:type="dxa"/>
            <w:vAlign w:val="bottom"/>
            <w:gridSpan w:val="23"/>
          </w:tcPr>
          <w:p>
            <w:pPr>
              <w:ind w:left="40"/>
              <w:spacing w:after="0"/>
              <w:rPr>
                <w:sz w:val="20"/>
                <w:szCs w:val="20"/>
                <w:color w:val="auto"/>
              </w:rPr>
            </w:pPr>
            <w:r>
              <w:rPr>
                <w:rFonts w:ascii="Arial" w:cs="Arial" w:eastAsia="Arial" w:hAnsi="Arial"/>
                <w:sz w:val="14"/>
                <w:szCs w:val="14"/>
                <w:color w:val="77787B"/>
              </w:rPr>
              <w:t>country of operations. Performance for accelerating reclamation to enhance biodiversity in the U.S. was measured against completion of reclamation</w:t>
            </w:r>
          </w:p>
        </w:tc>
      </w:tr>
      <w:tr>
        <w:trPr>
          <w:trHeight w:val="190"/>
        </w:trPr>
        <w:tc>
          <w:tcPr>
            <w:tcW w:w="860" w:type="dxa"/>
            <w:vAlign w:val="bottom"/>
          </w:tcPr>
          <w:p>
            <w:pPr>
              <w:spacing w:after="0"/>
              <w:rPr>
                <w:sz w:val="16"/>
                <w:szCs w:val="16"/>
                <w:color w:val="auto"/>
              </w:rPr>
            </w:pPr>
          </w:p>
        </w:tc>
        <w:tc>
          <w:tcPr>
            <w:tcW w:w="8280" w:type="dxa"/>
            <w:vAlign w:val="bottom"/>
            <w:gridSpan w:val="19"/>
          </w:tcPr>
          <w:p>
            <w:pPr>
              <w:ind w:left="40"/>
              <w:spacing w:after="0"/>
              <w:rPr>
                <w:sz w:val="20"/>
                <w:szCs w:val="20"/>
                <w:color w:val="auto"/>
              </w:rPr>
            </w:pPr>
            <w:r>
              <w:rPr>
                <w:rFonts w:ascii="Arial" w:cs="Arial" w:eastAsia="Arial" w:hAnsi="Arial"/>
                <w:sz w:val="14"/>
                <w:szCs w:val="14"/>
                <w:color w:val="77787B"/>
              </w:rPr>
              <w:t>activity over the performance period to deliver the three-year efforts to reclaim areas that have enhanced biodiversity in the U.S.</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433"/>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4"/>
          </w:tcPr>
          <w:p>
            <w:pPr>
              <w:jc w:val="right"/>
              <w:ind w:right="17"/>
              <w:spacing w:after="0"/>
              <w:rPr>
                <w:sz w:val="20"/>
                <w:szCs w:val="20"/>
                <w:color w:val="auto"/>
              </w:rPr>
            </w:pPr>
            <w:r>
              <w:rPr>
                <w:rFonts w:ascii="Arial" w:cs="Arial" w:eastAsia="Arial" w:hAnsi="Arial"/>
                <w:sz w:val="16"/>
                <w:szCs w:val="16"/>
                <w:color w:val="auto"/>
              </w:rPr>
              <w:t>2026 Proxy Statement</w:t>
            </w:r>
          </w:p>
        </w:tc>
        <w:tc>
          <w:tcPr>
            <w:tcW w:w="108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29</w:t>
            </w:r>
          </w:p>
        </w:tc>
      </w:tr>
      <w:tr>
        <w:trPr>
          <w:trHeight w:val="865"/>
        </w:trPr>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25" w:right="439" w:bottom="1440" w:gutter="0" w:footer="0" w:header="0"/>
        </w:sectPr>
      </w:pPr>
    </w:p>
    <w:bookmarkStart w:id="35" w:name="page36"/>
    <w:bookmarkEnd w:id="35"/>
    <w:p>
      <w:pPr>
        <w:spacing w:after="0"/>
        <w:rPr>
          <w:sz w:val="20"/>
          <w:szCs w:val="20"/>
          <w:color w:val="auto"/>
        </w:rPr>
      </w:pPr>
      <w:r>
        <w:rPr>
          <w:rFonts w:ascii="Arial" w:cs="Arial" w:eastAsia="Arial" w:hAnsi="Arial"/>
          <w:sz w:val="25"/>
          <w:szCs w:val="25"/>
          <w:b w:val="1"/>
          <w:bCs w:val="1"/>
          <w:i w:val="1"/>
          <w:iCs w:val="1"/>
          <w:color w:val="auto"/>
        </w:rPr>
        <w:t>Other Compensation Practices, Policies, and Guidelines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Officer Stock Ownership Requirements</w:t>
      </w:r>
    </w:p>
    <w:p>
      <w:pPr>
        <w:spacing w:after="0" w:line="112"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Under APA’s stock ownership guidelines, executive officers are required to own shares of APA common stock equal in value to a specified multiple of their annual base salary, set forth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2400" w:type="dxa"/>
            <w:vAlign w:val="bottom"/>
            <w:tcBorders>
              <w:top w:val="single" w:sz="8" w:color="auto"/>
              <w:bottom w:val="single" w:sz="8" w:color="auto"/>
            </w:tcBorders>
            <w:shd w:val="clear" w:color="auto" w:fill="F3F3F4"/>
          </w:tcPr>
          <w:p>
            <w:pPr>
              <w:ind w:left="80"/>
              <w:spacing w:after="0"/>
              <w:rPr>
                <w:sz w:val="20"/>
                <w:szCs w:val="20"/>
                <w:color w:val="auto"/>
              </w:rPr>
            </w:pPr>
            <w:r>
              <w:rPr>
                <w:rFonts w:ascii="Arial" w:cs="Arial" w:eastAsia="Arial" w:hAnsi="Arial"/>
                <w:sz w:val="16"/>
                <w:szCs w:val="16"/>
                <w:b w:val="1"/>
                <w:bCs w:val="1"/>
                <w:color w:val="auto"/>
              </w:rPr>
              <w:t>Executive Role</w:t>
            </w:r>
          </w:p>
        </w:tc>
        <w:tc>
          <w:tcPr>
            <w:tcW w:w="2760" w:type="dxa"/>
            <w:vAlign w:val="bottom"/>
            <w:tcBorders>
              <w:top w:val="single" w:sz="8" w:color="auto"/>
              <w:bottom w:val="single" w:sz="8" w:color="auto"/>
            </w:tcBorders>
            <w:shd w:val="clear" w:color="auto" w:fill="F3F3F4"/>
          </w:tcPr>
          <w:p>
            <w:pPr>
              <w:ind w:left="300"/>
              <w:spacing w:after="0"/>
              <w:rPr>
                <w:sz w:val="20"/>
                <w:szCs w:val="20"/>
                <w:color w:val="auto"/>
              </w:rPr>
            </w:pPr>
            <w:r>
              <w:rPr>
                <w:rFonts w:ascii="Arial" w:cs="Arial" w:eastAsia="Arial" w:hAnsi="Arial"/>
                <w:sz w:val="16"/>
                <w:szCs w:val="16"/>
                <w:b w:val="1"/>
                <w:bCs w:val="1"/>
                <w:color w:val="auto"/>
              </w:rPr>
              <w:t>Minimum Stock Ownership</w:t>
            </w:r>
          </w:p>
        </w:tc>
        <w:tc>
          <w:tcPr>
            <w:tcW w:w="4560" w:type="dxa"/>
            <w:vAlign w:val="bottom"/>
            <w:tcBorders>
              <w:top w:val="single" w:sz="8" w:color="auto"/>
              <w:bottom w:val="single" w:sz="8" w:color="auto"/>
            </w:tcBorders>
            <w:shd w:val="clear" w:color="auto" w:fill="F3F3F4"/>
          </w:tcPr>
          <w:p>
            <w:pPr>
              <w:ind w:left="1800"/>
              <w:spacing w:after="0"/>
              <w:rPr>
                <w:sz w:val="20"/>
                <w:szCs w:val="20"/>
                <w:color w:val="auto"/>
              </w:rPr>
            </w:pPr>
            <w:r>
              <w:rPr>
                <w:rFonts w:ascii="Arial" w:cs="Arial" w:eastAsia="Arial" w:hAnsi="Arial"/>
                <w:sz w:val="16"/>
                <w:szCs w:val="16"/>
                <w:b w:val="1"/>
                <w:bCs w:val="1"/>
                <w:color w:val="auto"/>
              </w:rPr>
              <w:t>CEO Actual</w:t>
            </w:r>
            <w:r>
              <w:rPr>
                <w:rFonts w:ascii="Arial" w:cs="Arial" w:eastAsia="Arial" w:hAnsi="Arial"/>
                <w:sz w:val="21"/>
                <w:szCs w:val="21"/>
                <w:b w:val="1"/>
                <w:bCs w:val="1"/>
                <w:color w:val="auto"/>
                <w:vertAlign w:val="superscript"/>
              </w:rPr>
              <w:t>*</w:t>
            </w:r>
          </w:p>
        </w:tc>
        <w:tc>
          <w:tcPr>
            <w:tcW w:w="0" w:type="dxa"/>
            <w:vAlign w:val="bottom"/>
          </w:tcPr>
          <w:p>
            <w:pPr>
              <w:spacing w:after="0"/>
              <w:rPr>
                <w:sz w:val="1"/>
                <w:szCs w:val="1"/>
                <w:color w:val="auto"/>
              </w:rPr>
            </w:pPr>
          </w:p>
        </w:tc>
      </w:tr>
      <w:tr>
        <w:trPr>
          <w:trHeight w:val="485"/>
        </w:trPr>
        <w:tc>
          <w:tcPr>
            <w:tcW w:w="2400" w:type="dxa"/>
            <w:vAlign w:val="bottom"/>
            <w:tcBorders>
              <w:bottom w:val="single" w:sz="8" w:color="0D506F"/>
            </w:tcBorders>
            <w:shd w:val="clear" w:color="auto" w:fill="0D506F"/>
          </w:tcPr>
          <w:p>
            <w:pPr>
              <w:ind w:left="80"/>
              <w:spacing w:after="0"/>
              <w:rPr>
                <w:sz w:val="20"/>
                <w:szCs w:val="20"/>
                <w:color w:val="auto"/>
              </w:rPr>
            </w:pPr>
            <w:r>
              <w:rPr>
                <w:rFonts w:ascii="Arial" w:cs="Arial" w:eastAsia="Arial" w:hAnsi="Arial"/>
                <w:sz w:val="16"/>
                <w:szCs w:val="16"/>
                <w:b w:val="1"/>
                <w:bCs w:val="1"/>
                <w:color w:val="FFFFFF"/>
              </w:rPr>
              <w:t>CEO</w:t>
            </w:r>
          </w:p>
        </w:tc>
        <w:tc>
          <w:tcPr>
            <w:tcW w:w="2760" w:type="dxa"/>
            <w:vAlign w:val="bottom"/>
            <w:tcBorders>
              <w:bottom w:val="single" w:sz="8" w:color="0D506F"/>
            </w:tcBorders>
            <w:shd w:val="clear" w:color="auto" w:fill="0D506F"/>
          </w:tcPr>
          <w:p>
            <w:pPr>
              <w:jc w:val="center"/>
              <w:spacing w:after="0"/>
              <w:rPr>
                <w:sz w:val="20"/>
                <w:szCs w:val="20"/>
                <w:color w:val="auto"/>
              </w:rPr>
            </w:pPr>
            <w:r>
              <w:rPr>
                <w:rFonts w:ascii="Arial" w:cs="Arial" w:eastAsia="Arial" w:hAnsi="Arial"/>
                <w:sz w:val="31"/>
                <w:szCs w:val="31"/>
                <w:b w:val="1"/>
                <w:bCs w:val="1"/>
                <w:color w:val="D9AB28"/>
                <w:w w:val="97"/>
              </w:rPr>
              <w:t>10.0x</w:t>
            </w:r>
          </w:p>
        </w:tc>
        <w:tc>
          <w:tcPr>
            <w:tcW w:w="4560" w:type="dxa"/>
            <w:vAlign w:val="bottom"/>
            <w:tcBorders>
              <w:bottom w:val="single" w:sz="8" w:color="00506F"/>
            </w:tcBorders>
            <w:shd w:val="clear" w:color="auto" w:fill="00506F"/>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40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President</w:t>
            </w: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31"/>
                <w:szCs w:val="31"/>
                <w:b w:val="1"/>
                <w:bCs w:val="1"/>
                <w:color w:val="auto"/>
                <w:w w:val="99"/>
              </w:rPr>
              <w:t>4.0x</w:t>
            </w:r>
          </w:p>
        </w:tc>
        <w:tc>
          <w:tcPr>
            <w:tcW w:w="4560" w:type="dxa"/>
            <w:vAlign w:val="bottom"/>
            <w:tcBorders>
              <w:top w:val="single" w:sz="8" w:color="00506F"/>
            </w:tcBorders>
            <w:shd w:val="clear" w:color="auto" w:fill="00506F"/>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4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4560" w:type="dxa"/>
            <w:vAlign w:val="bottom"/>
            <w:tcBorders>
              <w:bottom w:val="single" w:sz="8" w:color="00506F"/>
            </w:tcBorders>
            <w:shd w:val="clear" w:color="auto" w:fill="00506F"/>
          </w:tcPr>
          <w:p>
            <w:pPr>
              <w:spacing w:after="0"/>
              <w:rPr>
                <w:sz w:val="3"/>
                <w:szCs w:val="3"/>
                <w:color w:val="auto"/>
              </w:rPr>
            </w:pPr>
          </w:p>
        </w:tc>
        <w:tc>
          <w:tcPr>
            <w:tcW w:w="0" w:type="dxa"/>
            <w:vAlign w:val="bottom"/>
          </w:tcPr>
          <w:p>
            <w:pPr>
              <w:spacing w:after="0"/>
              <w:rPr>
                <w:sz w:val="1"/>
                <w:szCs w:val="1"/>
                <w:color w:val="auto"/>
              </w:rPr>
            </w:pPr>
          </w:p>
        </w:tc>
      </w:tr>
      <w:tr>
        <w:trPr>
          <w:trHeight w:val="459"/>
        </w:trPr>
        <w:tc>
          <w:tcPr>
            <w:tcW w:w="2400" w:type="dxa"/>
            <w:vAlign w:val="bottom"/>
          </w:tcPr>
          <w:p>
            <w:pPr>
              <w:ind w:left="80"/>
              <w:spacing w:after="0"/>
              <w:rPr>
                <w:sz w:val="20"/>
                <w:szCs w:val="20"/>
                <w:color w:val="auto"/>
              </w:rPr>
            </w:pPr>
            <w:r>
              <w:rPr>
                <w:rFonts w:ascii="Arial" w:cs="Arial" w:eastAsia="Arial" w:hAnsi="Arial"/>
                <w:sz w:val="16"/>
                <w:szCs w:val="16"/>
                <w:b w:val="1"/>
                <w:bCs w:val="1"/>
                <w:color w:val="auto"/>
              </w:rPr>
              <w:t>Executive Vice Presidents</w:t>
            </w:r>
          </w:p>
        </w:tc>
        <w:tc>
          <w:tcPr>
            <w:tcW w:w="2760" w:type="dxa"/>
            <w:vAlign w:val="bottom"/>
          </w:tcPr>
          <w:p>
            <w:pPr>
              <w:jc w:val="center"/>
              <w:spacing w:after="0"/>
              <w:rPr>
                <w:sz w:val="20"/>
                <w:szCs w:val="20"/>
                <w:color w:val="auto"/>
              </w:rPr>
            </w:pPr>
            <w:r>
              <w:rPr>
                <w:rFonts w:ascii="Arial" w:cs="Arial" w:eastAsia="Arial" w:hAnsi="Arial"/>
                <w:sz w:val="31"/>
                <w:szCs w:val="31"/>
                <w:b w:val="1"/>
                <w:bCs w:val="1"/>
                <w:color w:val="auto"/>
                <w:w w:val="99"/>
              </w:rPr>
              <w:t>3.0x</w:t>
            </w:r>
          </w:p>
        </w:tc>
        <w:tc>
          <w:tcPr>
            <w:tcW w:w="4560" w:type="dxa"/>
            <w:vAlign w:val="bottom"/>
            <w:shd w:val="clear" w:color="auto" w:fill="00506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40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00506F"/>
            </w:tcBorders>
            <w:shd w:val="clear" w:color="auto" w:fill="00506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2400" w:type="dxa"/>
            <w:vAlign w:val="bottom"/>
          </w:tcPr>
          <w:p>
            <w:pPr>
              <w:ind w:left="80"/>
              <w:spacing w:after="0"/>
              <w:rPr>
                <w:sz w:val="20"/>
                <w:szCs w:val="20"/>
                <w:color w:val="auto"/>
              </w:rPr>
            </w:pPr>
            <w:r>
              <w:rPr>
                <w:rFonts w:ascii="Arial" w:cs="Arial" w:eastAsia="Arial" w:hAnsi="Arial"/>
                <w:sz w:val="16"/>
                <w:szCs w:val="16"/>
                <w:b w:val="1"/>
                <w:bCs w:val="1"/>
                <w:color w:val="auto"/>
              </w:rPr>
              <w:t>Senior Vice Presidents</w:t>
            </w:r>
          </w:p>
        </w:tc>
        <w:tc>
          <w:tcPr>
            <w:tcW w:w="2760" w:type="dxa"/>
            <w:vAlign w:val="bottom"/>
          </w:tcPr>
          <w:p>
            <w:pPr>
              <w:jc w:val="center"/>
              <w:spacing w:after="0"/>
              <w:rPr>
                <w:sz w:val="20"/>
                <w:szCs w:val="20"/>
                <w:color w:val="auto"/>
              </w:rPr>
            </w:pPr>
            <w:r>
              <w:rPr>
                <w:rFonts w:ascii="Arial" w:cs="Arial" w:eastAsia="Arial" w:hAnsi="Arial"/>
                <w:sz w:val="31"/>
                <w:szCs w:val="31"/>
                <w:b w:val="1"/>
                <w:bCs w:val="1"/>
                <w:color w:val="auto"/>
                <w:w w:val="99"/>
              </w:rPr>
              <w:t>2.5x</w:t>
            </w:r>
          </w:p>
        </w:tc>
        <w:tc>
          <w:tcPr>
            <w:tcW w:w="4560" w:type="dxa"/>
            <w:vAlign w:val="bottom"/>
            <w:shd w:val="clear" w:color="auto" w:fill="00506F"/>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4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4560" w:type="dxa"/>
            <w:vAlign w:val="bottom"/>
            <w:tcBorders>
              <w:bottom w:val="single" w:sz="8" w:color="00506F"/>
            </w:tcBorders>
            <w:shd w:val="clear" w:color="auto" w:fill="00506F"/>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4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Vice Presidents</w:t>
            </w:r>
          </w:p>
        </w:tc>
        <w:tc>
          <w:tcPr>
            <w:tcW w:w="2760" w:type="dxa"/>
            <w:vAlign w:val="bottom"/>
            <w:vMerge w:val="restart"/>
          </w:tcPr>
          <w:p>
            <w:pPr>
              <w:jc w:val="center"/>
              <w:spacing w:after="0"/>
              <w:rPr>
                <w:sz w:val="20"/>
                <w:szCs w:val="20"/>
                <w:color w:val="auto"/>
              </w:rPr>
            </w:pPr>
            <w:r>
              <w:rPr>
                <w:rFonts w:ascii="Arial" w:cs="Arial" w:eastAsia="Arial" w:hAnsi="Arial"/>
                <w:sz w:val="31"/>
                <w:szCs w:val="31"/>
                <w:b w:val="1"/>
                <w:bCs w:val="1"/>
                <w:color w:val="auto"/>
                <w:w w:val="99"/>
              </w:rPr>
              <w:t>2.0x</w:t>
            </w:r>
          </w:p>
        </w:tc>
        <w:tc>
          <w:tcPr>
            <w:tcW w:w="4560" w:type="dxa"/>
            <w:vAlign w:val="bottom"/>
            <w:shd w:val="clear" w:color="auto" w:fill="0D506F"/>
          </w:tcPr>
          <w:p>
            <w:pPr>
              <w:ind w:left="80"/>
              <w:spacing w:after="0"/>
              <w:rPr>
                <w:sz w:val="20"/>
                <w:szCs w:val="20"/>
                <w:color w:val="auto"/>
              </w:rPr>
            </w:pPr>
            <w:r>
              <w:rPr>
                <w:rFonts w:ascii="Arial" w:cs="Arial" w:eastAsia="Arial" w:hAnsi="Arial"/>
                <w:sz w:val="11"/>
                <w:szCs w:val="11"/>
                <w:i w:val="1"/>
                <w:iCs w:val="1"/>
                <w:color w:val="FFFFFF"/>
              </w:rPr>
              <w:t xml:space="preserve">* </w:t>
            </w:r>
            <w:r>
              <w:rPr>
                <w:rFonts w:ascii="Arial" w:cs="Arial" w:eastAsia="Arial" w:hAnsi="Arial"/>
                <w:sz w:val="12"/>
                <w:szCs w:val="12"/>
                <w:i w:val="1"/>
                <w:iCs w:val="1"/>
                <w:color w:val="FFFFFF"/>
              </w:rPr>
              <w:t>As calculated in accordance with our stock ownership guidelines using the</w:t>
            </w:r>
          </w:p>
        </w:tc>
        <w:tc>
          <w:tcPr>
            <w:tcW w:w="0" w:type="dxa"/>
            <w:vAlign w:val="bottom"/>
          </w:tcPr>
          <w:p>
            <w:pPr>
              <w:spacing w:after="0"/>
              <w:rPr>
                <w:sz w:val="1"/>
                <w:szCs w:val="1"/>
                <w:color w:val="auto"/>
              </w:rPr>
            </w:pPr>
          </w:p>
        </w:tc>
      </w:tr>
      <w:tr>
        <w:trPr>
          <w:trHeight w:val="282"/>
        </w:trPr>
        <w:tc>
          <w:tcPr>
            <w:tcW w:w="2400" w:type="dxa"/>
            <w:vAlign w:val="bottom"/>
            <w:tcBorders>
              <w:bottom w:val="single" w:sz="8" w:color="auto"/>
            </w:tcBorders>
            <w:vMerge w:val="continue"/>
          </w:tcPr>
          <w:p>
            <w:pPr>
              <w:spacing w:after="0"/>
              <w:rPr>
                <w:sz w:val="24"/>
                <w:szCs w:val="24"/>
                <w:color w:val="auto"/>
              </w:rPr>
            </w:pPr>
          </w:p>
        </w:tc>
        <w:tc>
          <w:tcPr>
            <w:tcW w:w="2760" w:type="dxa"/>
            <w:vAlign w:val="bottom"/>
            <w:tcBorders>
              <w:bottom w:val="single" w:sz="8" w:color="auto"/>
            </w:tcBorders>
            <w:vMerge w:val="continue"/>
          </w:tcPr>
          <w:p>
            <w:pPr>
              <w:spacing w:after="0"/>
              <w:rPr>
                <w:sz w:val="24"/>
                <w:szCs w:val="24"/>
                <w:color w:val="auto"/>
              </w:rPr>
            </w:pPr>
          </w:p>
        </w:tc>
        <w:tc>
          <w:tcPr>
            <w:tcW w:w="4560" w:type="dxa"/>
            <w:vAlign w:val="bottom"/>
            <w:tcBorders>
              <w:bottom w:val="single" w:sz="8" w:color="auto"/>
            </w:tcBorders>
            <w:shd w:val="clear" w:color="auto" w:fill="0D506F"/>
          </w:tcPr>
          <w:p>
            <w:pPr>
              <w:ind w:left="80"/>
              <w:spacing w:after="0"/>
              <w:rPr>
                <w:sz w:val="20"/>
                <w:szCs w:val="20"/>
                <w:color w:val="auto"/>
              </w:rPr>
            </w:pPr>
            <w:r>
              <w:rPr>
                <w:rFonts w:ascii="Arial" w:cs="Arial" w:eastAsia="Arial" w:hAnsi="Arial"/>
                <w:sz w:val="13"/>
                <w:szCs w:val="13"/>
                <w:i w:val="1"/>
                <w:iCs w:val="1"/>
                <w:color w:val="FFFFFF"/>
              </w:rPr>
              <w:t>Company’s per share closing price of $32.97 on March 11,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-1525270</wp:posOffset>
            </wp:positionV>
            <wp:extent cx="2897505" cy="12172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97505" cy="1217295"/>
                    </a:xfrm>
                    <a:prstGeom prst="rect">
                      <a:avLst/>
                    </a:prstGeom>
                    <a:noFill/>
                  </pic:spPr>
                </pic:pic>
              </a:graphicData>
            </a:graphic>
          </wp:anchor>
        </w:drawing>
      </w:r>
    </w:p>
    <w:p>
      <w:pPr>
        <w:spacing w:after="0" w:line="29" w:lineRule="exact"/>
        <w:rPr>
          <w:sz w:val="20"/>
          <w:szCs w:val="20"/>
          <w:color w:val="auto"/>
        </w:rPr>
      </w:pPr>
    </w:p>
    <w:p>
      <w:pPr>
        <w:jc w:val="center"/>
        <w:ind w:left="2440" w:right="460" w:hanging="2030"/>
        <w:spacing w:after="0" w:line="281" w:lineRule="auto"/>
        <w:tabs>
          <w:tab w:leader="none" w:pos="642" w:val="left"/>
        </w:tabs>
        <w:numPr>
          <w:ilvl w:val="0"/>
          <w:numId w:val="101"/>
        </w:numPr>
        <w:rPr>
          <w:rFonts w:ascii="MS PGothic" w:cs="MS PGothic" w:eastAsia="MS PGothic" w:hAnsi="MS PGothic"/>
          <w:sz w:val="16"/>
          <w:szCs w:val="16"/>
          <w:color w:val="D9AB28"/>
        </w:rPr>
      </w:pPr>
      <w:r>
        <w:rPr>
          <w:rFonts w:ascii="Arial" w:cs="Arial" w:eastAsia="Arial" w:hAnsi="Arial"/>
          <w:sz w:val="18"/>
          <w:szCs w:val="18"/>
          <w:b w:val="1"/>
          <w:bCs w:val="1"/>
          <w:color w:val="07877B"/>
        </w:rPr>
        <w:t>Our NEOs currently meet or exceed their applicable stock ownership requirements or are within their applicable phase-in period for meeting the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61722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8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 xml:space="preserve">Additionally, each officer is required to hold a minimum of 15%, on an after-tax basis, of all shares acquired upon the vesting of RSUs and the realization of performance-based awards, and under the Company’s hedging policy, executive officers are prohibited from hedging Company stock. See </w:t>
      </w:r>
      <w:r>
        <w:rPr>
          <w:rFonts w:ascii="Arial" w:cs="Arial" w:eastAsia="Arial" w:hAnsi="Arial"/>
          <w:sz w:val="16"/>
          <w:szCs w:val="16"/>
          <w:i w:val="1"/>
          <w:iCs w:val="1"/>
          <w:color w:val="auto"/>
        </w:rPr>
        <w:t>Pledging and Hedging Policies</w:t>
      </w:r>
      <w:r>
        <w:rPr>
          <w:rFonts w:ascii="Arial" w:cs="Arial" w:eastAsia="Arial" w:hAnsi="Arial"/>
          <w:sz w:val="16"/>
          <w:szCs w:val="16"/>
          <w:color w:val="auto"/>
        </w:rPr>
        <w:t xml:space="preserve"> above.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p>
    <w:p>
      <w:pPr>
        <w:spacing w:after="0" w:line="11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Effective for compensation received on or after October 2, 2023, in connection with an accounting restatement due to the 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incentive awards (including any cash bonus or equity-based award) and payments in connection therewith may be subject to recovery, and the executive officer may be required to repay to the Company all or a portion of any such awards or payments. If the Company determines to seek recovery with respect to such an award, the Company will determine the appropriate means of recovery, based on the nature of the applicable incentive award. The recovery may involve establishing a deferred repayment plan or setting off against current or future compensation otherwise payable to an affected executive officer. The amount of any applicable repayment will be determined without regard to income taxes paid by the executive officer or by the Company on the executive officer’s behalf in connection with such incentive award.</w:t>
      </w:r>
    </w:p>
    <w:p>
      <w:pPr>
        <w:spacing w:after="0" w:line="79" w:lineRule="exact"/>
        <w:rPr>
          <w:sz w:val="20"/>
          <w:szCs w:val="20"/>
          <w:color w:val="auto"/>
        </w:rPr>
      </w:pPr>
    </w:p>
    <w:p>
      <w:pPr>
        <w:jc w:val="both"/>
        <w:ind w:right="340"/>
        <w:spacing w:after="0" w:line="286" w:lineRule="auto"/>
        <w:rPr>
          <w:sz w:val="20"/>
          <w:szCs w:val="20"/>
          <w:color w:val="auto"/>
        </w:rPr>
      </w:pPr>
      <w:r>
        <w:rPr>
          <w:rFonts w:ascii="Arial" w:cs="Arial" w:eastAsia="Arial" w:hAnsi="Arial"/>
          <w:sz w:val="16"/>
          <w:szCs w:val="16"/>
          <w:color w:val="auto"/>
        </w:rPr>
        <w:t>For compensation received before October 2, 2023, the Company’s previous Executive Compensation Clawback Policy applies, as described in the Company’s proxy statement for its 2023 annual meeting of shareholders, which was previously filed with the SEC.</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Award Grant Practices</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MD&amp;C Committee approves and grants annual equity awards at approximately the same time each year, in early January, with the planned structure of the long-term and short-term awards discussed during the committee’s regularly scheduled meeting the previous December. Outside the annual grant cycle, we may grant equity awards in connection with a new hire package, retention grant, or severance package.</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All such awards are granted under a shareholder-approved plan, and any stock options (or similar awards) are granted at an exercise price at or above the closing price of the Company’s common stock on the date of grant. Equity awards, including stock options, are not granted in anticipation of the release of material non-public information, and the release of material non-public information is not timed based on stock option or other equity award grant dates.</w:t>
      </w:r>
    </w:p>
    <w:p>
      <w:pPr>
        <w:spacing w:after="0" w:line="70"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During the last completed fiscal year, we did not award any stock options (or similar awards) to any named executive officer in the period beginning four business days before the filing of any Company periodic report on Form 10-Q or Form 10-K, or the filing or furnishing of any Company current report on Form 8-K, that discloses material nonpublic information (other than a current report on Form 8-K disclosing a material new option award grant under Item 5.02(e) of that form), and ending one business day after the filing or furnishing of such report.</w:t>
      </w:r>
    </w:p>
    <w:p>
      <w:pPr>
        <w:spacing w:after="0" w:line="288"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30</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26" w:right="1099" w:bottom="1440" w:gutter="0" w:footer="0" w:header="0"/>
        </w:sectPr>
      </w:pPr>
    </w:p>
    <w:bookmarkStart w:id="36" w:name="page37"/>
    <w:bookmarkEnd w:id="36"/>
    <w:p>
      <w:pPr>
        <w:ind w:left="660"/>
        <w:spacing w:after="0"/>
        <w:rPr>
          <w:sz w:val="20"/>
          <w:szCs w:val="20"/>
          <w:color w:val="auto"/>
        </w:rPr>
      </w:pPr>
      <w:r>
        <w:rPr>
          <w:rFonts w:ascii="Arial" w:cs="Arial" w:eastAsia="Arial" w:hAnsi="Arial"/>
          <w:sz w:val="22"/>
          <w:szCs w:val="22"/>
          <w:b w:val="1"/>
          <w:bCs w:val="1"/>
          <w:color w:val="auto"/>
        </w:rPr>
        <w:t>Benefits</w:t>
      </w:r>
    </w:p>
    <w:p>
      <w:pPr>
        <w:spacing w:after="0" w:line="112" w:lineRule="exact"/>
        <w:rPr>
          <w:sz w:val="20"/>
          <w:szCs w:val="20"/>
          <w:color w:val="auto"/>
        </w:rPr>
      </w:pPr>
    </w:p>
    <w:p>
      <w:pPr>
        <w:jc w:val="both"/>
        <w:ind w:left="660" w:right="980"/>
        <w:spacing w:after="0" w:line="259" w:lineRule="auto"/>
        <w:rPr>
          <w:sz w:val="20"/>
          <w:szCs w:val="20"/>
          <w:color w:val="auto"/>
        </w:rPr>
      </w:pPr>
      <w:r>
        <w:rPr>
          <w:rFonts w:ascii="Arial" w:cs="Arial" w:eastAsia="Arial" w:hAnsi="Arial"/>
          <w:sz w:val="16"/>
          <w:szCs w:val="16"/>
          <w:color w:val="auto"/>
        </w:rPr>
        <w:t>Our NEOs receive the standard benefits received by all employees, including group health (medical, dental, pharmacy, and vision), group life, accidental death and dismemberment, business travel accident, disability plans, defined contribution retirement plans (a Money Purchase Retirement Plan and a 401(k) Savings Plan), paid parental, elder care, and bereavement leave, company and flex holidays, and vacation.</w:t>
      </w:r>
    </w:p>
    <w:p>
      <w:pPr>
        <w:spacing w:after="0" w:line="70" w:lineRule="exact"/>
        <w:rPr>
          <w:sz w:val="20"/>
          <w:szCs w:val="20"/>
          <w:color w:val="auto"/>
        </w:rPr>
      </w:pPr>
    </w:p>
    <w:p>
      <w:pPr>
        <w:ind w:left="660" w:right="780"/>
        <w:spacing w:after="0" w:line="259" w:lineRule="auto"/>
        <w:rPr>
          <w:sz w:val="20"/>
          <w:szCs w:val="20"/>
          <w:color w:val="auto"/>
        </w:rPr>
      </w:pPr>
      <w:r>
        <w:rPr>
          <w:rFonts w:ascii="Arial" w:cs="Arial" w:eastAsia="Arial" w:hAnsi="Arial"/>
          <w:sz w:val="16"/>
          <w:szCs w:val="16"/>
          <w:color w:val="auto"/>
        </w:rPr>
        <w:t>As part of their total compensation, our NEOs are eligible for additional benefits that are designed to maintain market competitiveness. These include an individual cash-value-based variable universal life insurance policy of two times base salary, an enhanced individual long-term disability policy for 75% of eligible earnings, and continued employer and employee tax deferred contributions to a non-qualified retirement/savings plan once limits are reached in qualified retirement plans.</w:t>
      </w:r>
    </w:p>
    <w:p>
      <w:pPr>
        <w:spacing w:after="0" w:line="70" w:lineRule="exact"/>
        <w:rPr>
          <w:sz w:val="20"/>
          <w:szCs w:val="20"/>
          <w:color w:val="auto"/>
        </w:rPr>
      </w:pPr>
    </w:p>
    <w:p>
      <w:pPr>
        <w:ind w:left="660" w:right="1040"/>
        <w:spacing w:after="0" w:line="259" w:lineRule="auto"/>
        <w:rPr>
          <w:sz w:val="20"/>
          <w:szCs w:val="20"/>
          <w:color w:val="auto"/>
        </w:rPr>
      </w:pPr>
      <w:r>
        <w:rPr>
          <w:rFonts w:ascii="Arial" w:cs="Arial" w:eastAsia="Arial" w:hAnsi="Arial"/>
          <w:sz w:val="16"/>
          <w:szCs w:val="16"/>
          <w:color w:val="auto"/>
        </w:rPr>
        <w:t>Our operations are spread around the globe, including locations that present a variety of physical and geo-political risks. For both business efficiency and security reasons, we require our CEO to use the Company’s aircraft for all business air travel, unless good business judgment would require otherwise. More details on the above benefits are discussed under the All Other Compensation column in the Summary Compensation Table.</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Workplace Giving Program</w:t>
      </w:r>
    </w:p>
    <w:p>
      <w:pPr>
        <w:spacing w:after="0" w:line="112" w:lineRule="exact"/>
        <w:rPr>
          <w:sz w:val="20"/>
          <w:szCs w:val="20"/>
          <w:color w:val="auto"/>
        </w:rPr>
      </w:pPr>
    </w:p>
    <w:p>
      <w:pPr>
        <w:ind w:left="660" w:right="700"/>
        <w:spacing w:after="0" w:line="266" w:lineRule="auto"/>
        <w:rPr>
          <w:sz w:val="20"/>
          <w:szCs w:val="20"/>
          <w:color w:val="auto"/>
        </w:rPr>
      </w:pPr>
      <w:r>
        <w:rPr>
          <w:rFonts w:ascii="Arial" w:cs="Arial" w:eastAsia="Arial" w:hAnsi="Arial"/>
          <w:sz w:val="16"/>
          <w:szCs w:val="16"/>
          <w:color w:val="auto"/>
        </w:rPr>
        <w:t>All current employees and directors can take advantage of the Company’s Workplace Giving Program, which provides dollar-for-dollar matching gifts to qualified non-profit organizations, up to an annual maximum of $10,000 per person for 2025. This program reflects the Company’s commitment to giving back to the communities where we live and work.</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Risk Considerations in Compensation Programs</w:t>
      </w:r>
    </w:p>
    <w:p>
      <w:pPr>
        <w:spacing w:after="0" w:line="112" w:lineRule="exact"/>
        <w:rPr>
          <w:sz w:val="20"/>
          <w:szCs w:val="20"/>
          <w:color w:val="auto"/>
        </w:rPr>
      </w:pPr>
    </w:p>
    <w:p>
      <w:pPr>
        <w:ind w:left="660" w:right="840"/>
        <w:spacing w:after="0" w:line="286" w:lineRule="auto"/>
        <w:rPr>
          <w:sz w:val="20"/>
          <w:szCs w:val="20"/>
          <w:color w:val="auto"/>
        </w:rPr>
      </w:pPr>
      <w:r>
        <w:rPr>
          <w:rFonts w:ascii="Arial" w:cs="Arial" w:eastAsia="Arial" w:hAnsi="Arial"/>
          <w:sz w:val="16"/>
          <w:szCs w:val="16"/>
          <w:color w:val="auto"/>
        </w:rPr>
        <w:t>The MD&amp;C Committee does not believe that the Company’s compensation programs encourage inappropriate risk taking. The MD&amp;C Committee arrived at this conclusion for the following reasons:</w:t>
      </w:r>
    </w:p>
    <w:p>
      <w:pPr>
        <w:spacing w:after="0" w:line="48" w:lineRule="exact"/>
        <w:rPr>
          <w:sz w:val="20"/>
          <w:szCs w:val="20"/>
          <w:color w:val="auto"/>
        </w:rPr>
      </w:pPr>
    </w:p>
    <w:p>
      <w:pPr>
        <w:ind w:left="1140" w:right="900" w:hanging="243"/>
        <w:spacing w:after="0" w:line="266" w:lineRule="auto"/>
        <w:tabs>
          <w:tab w:leader="none" w:pos="114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Our employees receive both fixed and variable compensation. The fixed portion provides a steady income regardless of the Company’s stock performance. This allows executives to focus on the Company’s business without an excessive focus on the Company’s stock price performance.</w:t>
      </w:r>
    </w:p>
    <w:p>
      <w:pPr>
        <w:spacing w:after="0" w:line="62" w:lineRule="exact"/>
        <w:rPr>
          <w:rFonts w:ascii="Times New Roman" w:cs="Times New Roman" w:eastAsia="Times New Roman" w:hAnsi="Times New Roman"/>
          <w:sz w:val="16"/>
          <w:szCs w:val="16"/>
          <w:color w:val="auto"/>
        </w:rPr>
      </w:pPr>
    </w:p>
    <w:p>
      <w:pPr>
        <w:ind w:left="1140" w:right="820" w:hanging="243"/>
        <w:spacing w:after="0" w:line="285" w:lineRule="auto"/>
        <w:tabs>
          <w:tab w:leader="none" w:pos="114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The goals and objectives for the annual incentive compensation plan are set to avoid overweighting any single factor that, if not achieved, would result in the loss of a large percentage of compensation.</w:t>
      </w:r>
    </w:p>
    <w:p>
      <w:pPr>
        <w:spacing w:after="0" w:line="48" w:lineRule="exact"/>
        <w:rPr>
          <w:rFonts w:ascii="Times New Roman" w:cs="Times New Roman" w:eastAsia="Times New Roman" w:hAnsi="Times New Roman"/>
          <w:sz w:val="16"/>
          <w:szCs w:val="16"/>
          <w:color w:val="auto"/>
        </w:rPr>
      </w:pPr>
    </w:p>
    <w:p>
      <w:pPr>
        <w:ind w:left="1140" w:right="760" w:hanging="243"/>
        <w:spacing w:after="0" w:line="285" w:lineRule="auto"/>
        <w:tabs>
          <w:tab w:leader="none" w:pos="114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Our equity awards for executives generally vest over three- and four-year periods, which discourages short-term risk taking. Our substantial stock holding requirements extend these time frames further.</w:t>
      </w:r>
    </w:p>
    <w:p>
      <w:pPr>
        <w:spacing w:after="0" w:line="48" w:lineRule="exact"/>
        <w:rPr>
          <w:rFonts w:ascii="Times New Roman" w:cs="Times New Roman" w:eastAsia="Times New Roman" w:hAnsi="Times New Roman"/>
          <w:sz w:val="16"/>
          <w:szCs w:val="16"/>
          <w:color w:val="auto"/>
        </w:rPr>
      </w:pPr>
    </w:p>
    <w:p>
      <w:pPr>
        <w:ind w:left="1140" w:hanging="243"/>
        <w:spacing w:after="0"/>
        <w:tabs>
          <w:tab w:leader="none" w:pos="114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Our stock ownership requirements encourage a long-term perspective by our executives.</w:t>
      </w:r>
    </w:p>
    <w:p>
      <w:pPr>
        <w:spacing w:after="0" w:line="125" w:lineRule="exact"/>
        <w:rPr>
          <w:rFonts w:ascii="Times New Roman" w:cs="Times New Roman" w:eastAsia="Times New Roman" w:hAnsi="Times New Roman"/>
          <w:sz w:val="16"/>
          <w:szCs w:val="16"/>
          <w:color w:val="auto"/>
        </w:rPr>
      </w:pPr>
    </w:p>
    <w:p>
      <w:pPr>
        <w:ind w:left="1140" w:right="800" w:hanging="243"/>
        <w:spacing w:after="0" w:line="285" w:lineRule="auto"/>
        <w:tabs>
          <w:tab w:leader="none" w:pos="114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Our equity compensation plan provides that, unless otherwise specifically provided in an award agreement for specified events, such as retirement, our executives’ unvested long-term equity compensation is forfeited upon voluntary termination.</w:t>
      </w:r>
    </w:p>
    <w:p>
      <w:pPr>
        <w:spacing w:after="0" w:line="48" w:lineRule="exact"/>
        <w:rPr>
          <w:rFonts w:ascii="Times New Roman" w:cs="Times New Roman" w:eastAsia="Times New Roman" w:hAnsi="Times New Roman"/>
          <w:sz w:val="16"/>
          <w:szCs w:val="16"/>
          <w:color w:val="auto"/>
        </w:rPr>
      </w:pPr>
    </w:p>
    <w:p>
      <w:pPr>
        <w:ind w:left="1140" w:right="860" w:hanging="243"/>
        <w:spacing w:after="0" w:line="285" w:lineRule="auto"/>
        <w:tabs>
          <w:tab w:leader="none" w:pos="114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Our incentive programs have been in place for many years, and we have seen no evidence that they encourage excessive risk taking.</w:t>
      </w:r>
    </w:p>
    <w:p>
      <w:pPr>
        <w:spacing w:after="0" w:line="48" w:lineRule="exact"/>
        <w:rPr>
          <w:rFonts w:ascii="Times New Roman" w:cs="Times New Roman" w:eastAsia="Times New Roman" w:hAnsi="Times New Roman"/>
          <w:sz w:val="16"/>
          <w:szCs w:val="16"/>
          <w:color w:val="auto"/>
        </w:rPr>
      </w:pPr>
    </w:p>
    <w:p>
      <w:pPr>
        <w:ind w:left="1140" w:right="1300" w:hanging="243"/>
        <w:spacing w:after="0" w:line="285" w:lineRule="auto"/>
        <w:tabs>
          <w:tab w:leader="none" w:pos="1140" w:val="left"/>
        </w:tabs>
        <w:numPr>
          <w:ilvl w:val="0"/>
          <w:numId w:val="102"/>
        </w:numPr>
        <w:rPr>
          <w:rFonts w:ascii="Times New Roman" w:cs="Times New Roman" w:eastAsia="Times New Roman" w:hAnsi="Times New Roman"/>
          <w:sz w:val="16"/>
          <w:szCs w:val="16"/>
          <w:color w:val="auto"/>
        </w:rPr>
      </w:pPr>
      <w:r>
        <w:rPr>
          <w:rFonts w:ascii="Arial" w:cs="Arial" w:eastAsia="Arial" w:hAnsi="Arial"/>
          <w:sz w:val="16"/>
          <w:szCs w:val="16"/>
          <w:color w:val="auto"/>
        </w:rPr>
        <w:t>Essentially all our employees participate in our equity-based compensation programs, regardless of business unit, which encourages consistent behavior across the Company.</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Tax Considerations</w:t>
      </w:r>
    </w:p>
    <w:p>
      <w:pPr>
        <w:spacing w:after="0" w:line="112" w:lineRule="exact"/>
        <w:rPr>
          <w:sz w:val="20"/>
          <w:szCs w:val="20"/>
          <w:color w:val="auto"/>
        </w:rPr>
      </w:pPr>
    </w:p>
    <w:p>
      <w:pPr>
        <w:ind w:left="660" w:right="720"/>
        <w:spacing w:after="0" w:line="256" w:lineRule="auto"/>
        <w:rPr>
          <w:sz w:val="20"/>
          <w:szCs w:val="20"/>
          <w:color w:val="auto"/>
        </w:rPr>
      </w:pPr>
      <w:r>
        <w:rPr>
          <w:rFonts w:ascii="Arial" w:cs="Arial" w:eastAsia="Arial" w:hAnsi="Arial"/>
          <w:sz w:val="16"/>
          <w:szCs w:val="16"/>
          <w:color w:val="auto"/>
        </w:rPr>
        <w:t>The MD&amp;C Committee considers the tax implications of executive compensation, including the deductibility limits under Section 162(m) of the Internal Revenue Code, which generally limits the Company’s deduction for compensation paid to certain covered employees to $1 million per year. However, the MD&amp;C Committee’s primary objective is to design competitive, performance-based compensation programs that support long-term shareholder value, and it retains the discretion to approve compensation that may not be deductible when it believes doing so is in the Company’s best interests.</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Compensation Committee Report</w:t>
      </w:r>
    </w:p>
    <w:p>
      <w:pPr>
        <w:spacing w:after="0" w:line="124" w:lineRule="exact"/>
        <w:rPr>
          <w:sz w:val="20"/>
          <w:szCs w:val="20"/>
          <w:color w:val="auto"/>
        </w:rPr>
      </w:pPr>
    </w:p>
    <w:p>
      <w:pPr>
        <w:jc w:val="both"/>
        <w:ind w:left="660" w:right="940"/>
        <w:spacing w:after="0" w:line="266" w:lineRule="auto"/>
        <w:rPr>
          <w:sz w:val="20"/>
          <w:szCs w:val="20"/>
          <w:color w:val="auto"/>
        </w:rPr>
      </w:pPr>
      <w:r>
        <w:rPr>
          <w:rFonts w:ascii="Arial" w:cs="Arial" w:eastAsia="Arial" w:hAnsi="Arial"/>
          <w:sz w:val="16"/>
          <w:szCs w:val="16"/>
          <w:color w:val="auto"/>
        </w:rPr>
        <w:t>The MD&amp;C Committee reviewed and discussed with management the Compensation Discussion and Analysis set forth above and, based upon such review and discussion, recommended to the Board that the Compensation Discussion and Analysis be included in this proxy statement.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Members of the MD&amp;C Committee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Juliet S. Ellis, Chair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Annell R. Bay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Charles W. Hooper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David L. Stover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31</w:t>
            </w:r>
          </w:p>
        </w:tc>
      </w:tr>
      <w:tr>
        <w:trPr>
          <w:trHeight w:val="878"/>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18" w:right="439" w:bottom="1440" w:gutter="0" w:footer="0" w:header="0"/>
        </w:sectPr>
      </w:pPr>
    </w:p>
    <w:bookmarkStart w:id="37" w:name="page38"/>
    <w:bookmarkEnd w:id="37"/>
    <w:p>
      <w:pPr>
        <w:spacing w:after="0"/>
        <w:rPr>
          <w:sz w:val="20"/>
          <w:szCs w:val="20"/>
          <w:color w:val="auto"/>
        </w:rPr>
      </w:pPr>
      <w:r>
        <w:rPr>
          <w:rFonts w:ascii="Arial" w:cs="Arial" w:eastAsia="Arial" w:hAnsi="Arial"/>
          <w:sz w:val="29"/>
          <w:szCs w:val="29"/>
          <w:b w:val="1"/>
          <w:bCs w:val="1"/>
          <w:color w:val="auto"/>
        </w:rPr>
        <w:t>Executive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Summary Compensation Table</w:t>
      </w:r>
    </w:p>
    <w:p>
      <w:pPr>
        <w:spacing w:after="0" w:line="12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table below summarizes the compensation for the individuals listed below for all services rendered to the Company and its subsidiaries during fiscal years 2025, 2024, and 2023. The persons included in this table are the Company’s principal executive officer, principal financial officer, the three other most highly compensated executive officers who were serving as executive officers of the Company at the end of fiscal year 2025, and an additional individual who would have been in the preceding category but was no longer serving as an executive officer at the end of fiscal year 2025 (collectively, the NEOs).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800" w:type="dxa"/>
            <w:vAlign w:val="bottom"/>
            <w:tcBorders>
              <w:top w:val="single" w:sz="8" w:color="auto"/>
            </w:tcBorders>
            <w:shd w:val="clear" w:color="auto" w:fill="F3F3F4"/>
          </w:tcPr>
          <w:p>
            <w:pPr>
              <w:spacing w:after="0"/>
              <w:rPr>
                <w:sz w:val="11"/>
                <w:szCs w:val="11"/>
                <w:color w:val="auto"/>
              </w:rPr>
            </w:pPr>
          </w:p>
        </w:tc>
        <w:tc>
          <w:tcPr>
            <w:tcW w:w="560" w:type="dxa"/>
            <w:vAlign w:val="bottom"/>
            <w:tcBorders>
              <w:top w:val="single" w:sz="8" w:color="auto"/>
            </w:tcBorders>
            <w:shd w:val="clear" w:color="auto" w:fill="F3F3F4"/>
          </w:tcPr>
          <w:p>
            <w:pPr>
              <w:spacing w:after="0"/>
              <w:rPr>
                <w:sz w:val="11"/>
                <w:szCs w:val="11"/>
                <w:color w:val="auto"/>
              </w:rPr>
            </w:pPr>
          </w:p>
        </w:tc>
        <w:tc>
          <w:tcPr>
            <w:tcW w:w="860" w:type="dxa"/>
            <w:vAlign w:val="bottom"/>
            <w:tcBorders>
              <w:top w:val="single" w:sz="8" w:color="auto"/>
            </w:tcBorders>
            <w:shd w:val="clear" w:color="auto" w:fill="F3F3F4"/>
          </w:tcPr>
          <w:p>
            <w:pPr>
              <w:spacing w:after="0"/>
              <w:rPr>
                <w:sz w:val="11"/>
                <w:szCs w:val="11"/>
                <w:color w:val="auto"/>
              </w:rPr>
            </w:pPr>
          </w:p>
        </w:tc>
        <w:tc>
          <w:tcPr>
            <w:tcW w:w="760" w:type="dxa"/>
            <w:vAlign w:val="bottom"/>
            <w:tcBorders>
              <w:top w:val="single" w:sz="8" w:color="auto"/>
            </w:tcBorders>
            <w:shd w:val="clear" w:color="auto" w:fill="F3F3F4"/>
          </w:tcPr>
          <w:p>
            <w:pPr>
              <w:spacing w:after="0"/>
              <w:rPr>
                <w:sz w:val="11"/>
                <w:szCs w:val="11"/>
                <w:color w:val="auto"/>
              </w:rPr>
            </w:pPr>
          </w:p>
        </w:tc>
        <w:tc>
          <w:tcPr>
            <w:tcW w:w="800" w:type="dxa"/>
            <w:vAlign w:val="bottom"/>
            <w:tcBorders>
              <w:top w:val="single" w:sz="8" w:color="auto"/>
            </w:tcBorders>
            <w:shd w:val="clear" w:color="auto" w:fill="F3F3F4"/>
          </w:tcPr>
          <w:p>
            <w:pPr>
              <w:spacing w:after="0"/>
              <w:rPr>
                <w:sz w:val="11"/>
                <w:szCs w:val="11"/>
                <w:color w:val="auto"/>
              </w:rPr>
            </w:pPr>
          </w:p>
        </w:tc>
        <w:tc>
          <w:tcPr>
            <w:tcW w:w="760" w:type="dxa"/>
            <w:vAlign w:val="bottom"/>
            <w:tcBorders>
              <w:top w:val="single" w:sz="8" w:color="auto"/>
            </w:tcBorders>
            <w:shd w:val="clear" w:color="auto" w:fill="F3F3F4"/>
          </w:tcPr>
          <w:p>
            <w:pPr>
              <w:spacing w:after="0"/>
              <w:rPr>
                <w:sz w:val="11"/>
                <w:szCs w:val="11"/>
                <w:color w:val="auto"/>
              </w:rPr>
            </w:pPr>
          </w:p>
        </w:tc>
        <w:tc>
          <w:tcPr>
            <w:tcW w:w="1100" w:type="dxa"/>
            <w:vAlign w:val="bottom"/>
            <w:tcBorders>
              <w:top w:val="single" w:sz="8" w:color="auto"/>
            </w:tcBorders>
            <w:shd w:val="clear" w:color="auto" w:fill="F3F3F4"/>
          </w:tcPr>
          <w:p>
            <w:pPr>
              <w:spacing w:after="0"/>
              <w:rPr>
                <w:sz w:val="11"/>
                <w:szCs w:val="11"/>
                <w:color w:val="auto"/>
              </w:rPr>
            </w:pPr>
          </w:p>
        </w:tc>
        <w:tc>
          <w:tcPr>
            <w:tcW w:w="1020" w:type="dxa"/>
            <w:vAlign w:val="bottom"/>
            <w:tcBorders>
              <w:top w:val="single" w:sz="8" w:color="auto"/>
            </w:tcBorders>
            <w:shd w:val="clear" w:color="auto" w:fill="F3F3F4"/>
          </w:tcPr>
          <w:p>
            <w:pPr>
              <w:jc w:val="right"/>
              <w:spacing w:after="0" w:line="131" w:lineRule="exact"/>
              <w:rPr>
                <w:sz w:val="20"/>
                <w:szCs w:val="20"/>
                <w:color w:val="auto"/>
              </w:rPr>
            </w:pPr>
            <w:r>
              <w:rPr>
                <w:rFonts w:ascii="Arial" w:cs="Arial" w:eastAsia="Arial" w:hAnsi="Arial"/>
                <w:sz w:val="13"/>
                <w:szCs w:val="13"/>
                <w:b w:val="1"/>
                <w:bCs w:val="1"/>
                <w:color w:val="auto"/>
              </w:rPr>
              <w:t>Change in</w:t>
            </w:r>
          </w:p>
        </w:tc>
        <w:tc>
          <w:tcPr>
            <w:tcW w:w="1180" w:type="dxa"/>
            <w:vAlign w:val="bottom"/>
            <w:tcBorders>
              <w:top w:val="single" w:sz="8" w:color="auto"/>
              <w:right w:val="single" w:sz="8" w:color="F3F3F4"/>
            </w:tcBorders>
            <w:shd w:val="clear" w:color="auto" w:fill="F3F3F4"/>
          </w:tcPr>
          <w:p>
            <w:pPr>
              <w:spacing w:after="0"/>
              <w:rPr>
                <w:sz w:val="11"/>
                <w:szCs w:val="11"/>
                <w:color w:val="auto"/>
              </w:rPr>
            </w:pPr>
          </w:p>
        </w:tc>
        <w:tc>
          <w:tcPr>
            <w:tcW w:w="80" w:type="dxa"/>
            <w:vAlign w:val="bottom"/>
            <w:tcBorders>
              <w:top w:val="single" w:sz="8" w:color="auto"/>
            </w:tcBorders>
            <w:shd w:val="clear" w:color="auto" w:fill="F3F3F4"/>
          </w:tcPr>
          <w:p>
            <w:pPr>
              <w:spacing w:after="0"/>
              <w:rPr>
                <w:sz w:val="11"/>
                <w:szCs w:val="11"/>
                <w:color w:val="auto"/>
              </w:rPr>
            </w:pPr>
          </w:p>
        </w:tc>
        <w:tc>
          <w:tcPr>
            <w:tcW w:w="800" w:type="dxa"/>
            <w:vAlign w:val="bottom"/>
            <w:tcBorders>
              <w:top w:val="single" w:sz="8" w:color="auto"/>
            </w:tcBorders>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F3F3F4"/>
          </w:tcPr>
          <w:p>
            <w:pPr>
              <w:spacing w:after="0"/>
              <w:rPr>
                <w:sz w:val="11"/>
                <w:szCs w:val="11"/>
                <w:color w:val="auto"/>
              </w:rPr>
            </w:pPr>
          </w:p>
        </w:tc>
        <w:tc>
          <w:tcPr>
            <w:tcW w:w="560" w:type="dxa"/>
            <w:vAlign w:val="bottom"/>
            <w:shd w:val="clear" w:color="auto" w:fill="F3F3F4"/>
          </w:tcPr>
          <w:p>
            <w:pPr>
              <w:spacing w:after="0"/>
              <w:rPr>
                <w:sz w:val="11"/>
                <w:szCs w:val="11"/>
                <w:color w:val="auto"/>
              </w:rPr>
            </w:pPr>
          </w:p>
        </w:tc>
        <w:tc>
          <w:tcPr>
            <w:tcW w:w="860" w:type="dxa"/>
            <w:vAlign w:val="bottom"/>
            <w:shd w:val="clear" w:color="auto" w:fill="F3F3F4"/>
          </w:tcPr>
          <w:p>
            <w:pPr>
              <w:spacing w:after="0"/>
              <w:rPr>
                <w:sz w:val="11"/>
                <w:szCs w:val="11"/>
                <w:color w:val="auto"/>
              </w:rPr>
            </w:pPr>
          </w:p>
        </w:tc>
        <w:tc>
          <w:tcPr>
            <w:tcW w:w="760" w:type="dxa"/>
            <w:vAlign w:val="bottom"/>
            <w:shd w:val="clear" w:color="auto" w:fill="F3F3F4"/>
          </w:tcPr>
          <w:p>
            <w:pPr>
              <w:spacing w:after="0"/>
              <w:rPr>
                <w:sz w:val="11"/>
                <w:szCs w:val="11"/>
                <w:color w:val="auto"/>
              </w:rPr>
            </w:pPr>
          </w:p>
        </w:tc>
        <w:tc>
          <w:tcPr>
            <w:tcW w:w="800" w:type="dxa"/>
            <w:vAlign w:val="bottom"/>
            <w:shd w:val="clear" w:color="auto" w:fill="F3F3F4"/>
          </w:tcPr>
          <w:p>
            <w:pPr>
              <w:spacing w:after="0"/>
              <w:rPr>
                <w:sz w:val="11"/>
                <w:szCs w:val="11"/>
                <w:color w:val="auto"/>
              </w:rPr>
            </w:pPr>
          </w:p>
        </w:tc>
        <w:tc>
          <w:tcPr>
            <w:tcW w:w="760" w:type="dxa"/>
            <w:vAlign w:val="bottom"/>
            <w:shd w:val="clear" w:color="auto" w:fill="F3F3F4"/>
          </w:tcPr>
          <w:p>
            <w:pPr>
              <w:spacing w:after="0"/>
              <w:rPr>
                <w:sz w:val="11"/>
                <w:szCs w:val="11"/>
                <w:color w:val="auto"/>
              </w:rPr>
            </w:pPr>
          </w:p>
        </w:tc>
        <w:tc>
          <w:tcPr>
            <w:tcW w:w="1100" w:type="dxa"/>
            <w:vAlign w:val="bottom"/>
            <w:shd w:val="clear" w:color="auto" w:fill="F3F3F4"/>
          </w:tcPr>
          <w:p>
            <w:pPr>
              <w:spacing w:after="0"/>
              <w:rPr>
                <w:sz w:val="11"/>
                <w:szCs w:val="11"/>
                <w:color w:val="auto"/>
              </w:rPr>
            </w:pPr>
          </w:p>
        </w:tc>
        <w:tc>
          <w:tcPr>
            <w:tcW w:w="102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Pension Value</w:t>
            </w:r>
          </w:p>
        </w:tc>
        <w:tc>
          <w:tcPr>
            <w:tcW w:w="1180" w:type="dxa"/>
            <w:vAlign w:val="bottom"/>
            <w:tcBorders>
              <w:right w:val="single" w:sz="8" w:color="F3F3F4"/>
            </w:tcBorders>
            <w:shd w:val="clear" w:color="auto" w:fill="F3F3F4"/>
          </w:tcPr>
          <w:p>
            <w:pPr>
              <w:spacing w:after="0"/>
              <w:rPr>
                <w:sz w:val="11"/>
                <w:szCs w:val="11"/>
                <w:color w:val="auto"/>
              </w:rPr>
            </w:pPr>
          </w:p>
        </w:tc>
        <w:tc>
          <w:tcPr>
            <w:tcW w:w="80" w:type="dxa"/>
            <w:vAlign w:val="bottom"/>
            <w:shd w:val="clear" w:color="auto" w:fill="F3F3F4"/>
          </w:tcPr>
          <w:p>
            <w:pPr>
              <w:spacing w:after="0"/>
              <w:rPr>
                <w:sz w:val="11"/>
                <w:szCs w:val="11"/>
                <w:color w:val="auto"/>
              </w:rPr>
            </w:pPr>
          </w:p>
        </w:tc>
        <w:tc>
          <w:tcPr>
            <w:tcW w:w="80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F3F3F4"/>
          </w:tcPr>
          <w:p>
            <w:pPr>
              <w:spacing w:after="0"/>
              <w:rPr>
                <w:sz w:val="11"/>
                <w:szCs w:val="11"/>
                <w:color w:val="auto"/>
              </w:rPr>
            </w:pPr>
          </w:p>
        </w:tc>
        <w:tc>
          <w:tcPr>
            <w:tcW w:w="560" w:type="dxa"/>
            <w:vAlign w:val="bottom"/>
            <w:shd w:val="clear" w:color="auto" w:fill="F3F3F4"/>
          </w:tcPr>
          <w:p>
            <w:pPr>
              <w:spacing w:after="0"/>
              <w:rPr>
                <w:sz w:val="11"/>
                <w:szCs w:val="11"/>
                <w:color w:val="auto"/>
              </w:rPr>
            </w:pPr>
          </w:p>
        </w:tc>
        <w:tc>
          <w:tcPr>
            <w:tcW w:w="860" w:type="dxa"/>
            <w:vAlign w:val="bottom"/>
            <w:shd w:val="clear" w:color="auto" w:fill="F3F3F4"/>
          </w:tcPr>
          <w:p>
            <w:pPr>
              <w:spacing w:after="0"/>
              <w:rPr>
                <w:sz w:val="11"/>
                <w:szCs w:val="11"/>
                <w:color w:val="auto"/>
              </w:rPr>
            </w:pPr>
          </w:p>
        </w:tc>
        <w:tc>
          <w:tcPr>
            <w:tcW w:w="760" w:type="dxa"/>
            <w:vAlign w:val="bottom"/>
            <w:shd w:val="clear" w:color="auto" w:fill="F3F3F4"/>
          </w:tcPr>
          <w:p>
            <w:pPr>
              <w:spacing w:after="0"/>
              <w:rPr>
                <w:sz w:val="11"/>
                <w:szCs w:val="11"/>
                <w:color w:val="auto"/>
              </w:rPr>
            </w:pPr>
          </w:p>
        </w:tc>
        <w:tc>
          <w:tcPr>
            <w:tcW w:w="800" w:type="dxa"/>
            <w:vAlign w:val="bottom"/>
            <w:shd w:val="clear" w:color="auto" w:fill="F3F3F4"/>
          </w:tcPr>
          <w:p>
            <w:pPr>
              <w:spacing w:after="0"/>
              <w:rPr>
                <w:sz w:val="11"/>
                <w:szCs w:val="11"/>
                <w:color w:val="auto"/>
              </w:rPr>
            </w:pPr>
          </w:p>
        </w:tc>
        <w:tc>
          <w:tcPr>
            <w:tcW w:w="760" w:type="dxa"/>
            <w:vAlign w:val="bottom"/>
            <w:shd w:val="clear" w:color="auto" w:fill="F3F3F4"/>
          </w:tcPr>
          <w:p>
            <w:pPr>
              <w:spacing w:after="0"/>
              <w:rPr>
                <w:sz w:val="11"/>
                <w:szCs w:val="11"/>
                <w:color w:val="auto"/>
              </w:rPr>
            </w:pPr>
          </w:p>
        </w:tc>
        <w:tc>
          <w:tcPr>
            <w:tcW w:w="1100" w:type="dxa"/>
            <w:vAlign w:val="bottom"/>
            <w:shd w:val="clear" w:color="auto" w:fill="F3F3F4"/>
          </w:tcPr>
          <w:p>
            <w:pPr>
              <w:spacing w:after="0"/>
              <w:rPr>
                <w:sz w:val="11"/>
                <w:szCs w:val="11"/>
                <w:color w:val="auto"/>
              </w:rPr>
            </w:pPr>
          </w:p>
        </w:tc>
        <w:tc>
          <w:tcPr>
            <w:tcW w:w="102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and</w:t>
            </w:r>
          </w:p>
        </w:tc>
        <w:tc>
          <w:tcPr>
            <w:tcW w:w="1180" w:type="dxa"/>
            <w:vAlign w:val="bottom"/>
            <w:tcBorders>
              <w:right w:val="single" w:sz="8" w:color="F3F3F4"/>
            </w:tcBorders>
            <w:shd w:val="clear" w:color="auto" w:fill="F3F3F4"/>
          </w:tcPr>
          <w:p>
            <w:pPr>
              <w:spacing w:after="0"/>
              <w:rPr>
                <w:sz w:val="11"/>
                <w:szCs w:val="11"/>
                <w:color w:val="auto"/>
              </w:rPr>
            </w:pPr>
          </w:p>
        </w:tc>
        <w:tc>
          <w:tcPr>
            <w:tcW w:w="80" w:type="dxa"/>
            <w:vAlign w:val="bottom"/>
            <w:shd w:val="clear" w:color="auto" w:fill="F3F3F4"/>
          </w:tcPr>
          <w:p>
            <w:pPr>
              <w:spacing w:after="0"/>
              <w:rPr>
                <w:sz w:val="11"/>
                <w:szCs w:val="11"/>
                <w:color w:val="auto"/>
              </w:rPr>
            </w:pPr>
          </w:p>
        </w:tc>
        <w:tc>
          <w:tcPr>
            <w:tcW w:w="80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F3F3F4"/>
          </w:tcPr>
          <w:p>
            <w:pPr>
              <w:spacing w:after="0"/>
              <w:rPr>
                <w:sz w:val="11"/>
                <w:szCs w:val="11"/>
                <w:color w:val="auto"/>
              </w:rPr>
            </w:pPr>
          </w:p>
        </w:tc>
        <w:tc>
          <w:tcPr>
            <w:tcW w:w="560" w:type="dxa"/>
            <w:vAlign w:val="bottom"/>
            <w:shd w:val="clear" w:color="auto" w:fill="F3F3F4"/>
          </w:tcPr>
          <w:p>
            <w:pPr>
              <w:spacing w:after="0"/>
              <w:rPr>
                <w:sz w:val="11"/>
                <w:szCs w:val="11"/>
                <w:color w:val="auto"/>
              </w:rPr>
            </w:pPr>
          </w:p>
        </w:tc>
        <w:tc>
          <w:tcPr>
            <w:tcW w:w="860" w:type="dxa"/>
            <w:vAlign w:val="bottom"/>
            <w:shd w:val="clear" w:color="auto" w:fill="F3F3F4"/>
          </w:tcPr>
          <w:p>
            <w:pPr>
              <w:spacing w:after="0"/>
              <w:rPr>
                <w:sz w:val="11"/>
                <w:szCs w:val="11"/>
                <w:color w:val="auto"/>
              </w:rPr>
            </w:pPr>
          </w:p>
        </w:tc>
        <w:tc>
          <w:tcPr>
            <w:tcW w:w="760" w:type="dxa"/>
            <w:vAlign w:val="bottom"/>
            <w:shd w:val="clear" w:color="auto" w:fill="F3F3F4"/>
          </w:tcPr>
          <w:p>
            <w:pPr>
              <w:spacing w:after="0"/>
              <w:rPr>
                <w:sz w:val="11"/>
                <w:szCs w:val="11"/>
                <w:color w:val="auto"/>
              </w:rPr>
            </w:pPr>
          </w:p>
        </w:tc>
        <w:tc>
          <w:tcPr>
            <w:tcW w:w="800" w:type="dxa"/>
            <w:vAlign w:val="bottom"/>
            <w:shd w:val="clear" w:color="auto" w:fill="F3F3F4"/>
          </w:tcPr>
          <w:p>
            <w:pPr>
              <w:spacing w:after="0"/>
              <w:rPr>
                <w:sz w:val="11"/>
                <w:szCs w:val="11"/>
                <w:color w:val="auto"/>
              </w:rPr>
            </w:pPr>
          </w:p>
        </w:tc>
        <w:tc>
          <w:tcPr>
            <w:tcW w:w="760" w:type="dxa"/>
            <w:vAlign w:val="bottom"/>
            <w:shd w:val="clear" w:color="auto" w:fill="F3F3F4"/>
          </w:tcPr>
          <w:p>
            <w:pPr>
              <w:spacing w:after="0"/>
              <w:rPr>
                <w:sz w:val="11"/>
                <w:szCs w:val="11"/>
                <w:color w:val="auto"/>
              </w:rPr>
            </w:pPr>
          </w:p>
        </w:tc>
        <w:tc>
          <w:tcPr>
            <w:tcW w:w="1100" w:type="dxa"/>
            <w:vAlign w:val="bottom"/>
            <w:vMerge w:val="restart"/>
            <w:shd w:val="clear" w:color="auto" w:fill="F3F3F4"/>
          </w:tcPr>
          <w:p>
            <w:pPr>
              <w:jc w:val="right"/>
              <w:spacing w:after="0"/>
              <w:rPr>
                <w:sz w:val="20"/>
                <w:szCs w:val="20"/>
                <w:color w:val="auto"/>
              </w:rPr>
            </w:pPr>
            <w:r>
              <w:rPr>
                <w:rFonts w:ascii="Arial" w:cs="Arial" w:eastAsia="Arial" w:hAnsi="Arial"/>
                <w:sz w:val="13"/>
                <w:szCs w:val="13"/>
                <w:b w:val="1"/>
                <w:bCs w:val="1"/>
                <w:color w:val="auto"/>
              </w:rPr>
              <w:t>Non-Equity</w:t>
            </w:r>
          </w:p>
        </w:tc>
        <w:tc>
          <w:tcPr>
            <w:tcW w:w="102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Nonqualified</w:t>
            </w:r>
          </w:p>
        </w:tc>
        <w:tc>
          <w:tcPr>
            <w:tcW w:w="1180" w:type="dxa"/>
            <w:vAlign w:val="bottom"/>
            <w:tcBorders>
              <w:right w:val="single" w:sz="8" w:color="F3F3F4"/>
            </w:tcBorders>
            <w:shd w:val="clear" w:color="auto" w:fill="F3F3F4"/>
          </w:tcPr>
          <w:p>
            <w:pPr>
              <w:spacing w:after="0"/>
              <w:rPr>
                <w:sz w:val="11"/>
                <w:szCs w:val="11"/>
                <w:color w:val="auto"/>
              </w:rPr>
            </w:pPr>
          </w:p>
        </w:tc>
        <w:tc>
          <w:tcPr>
            <w:tcW w:w="80" w:type="dxa"/>
            <w:vAlign w:val="bottom"/>
            <w:shd w:val="clear" w:color="auto" w:fill="F3F3F4"/>
          </w:tcPr>
          <w:p>
            <w:pPr>
              <w:spacing w:after="0"/>
              <w:rPr>
                <w:sz w:val="11"/>
                <w:szCs w:val="11"/>
                <w:color w:val="auto"/>
              </w:rPr>
            </w:pPr>
          </w:p>
        </w:tc>
        <w:tc>
          <w:tcPr>
            <w:tcW w:w="80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F3F3F4"/>
          </w:tcPr>
          <w:p>
            <w:pPr>
              <w:spacing w:after="0"/>
              <w:rPr>
                <w:sz w:val="11"/>
                <w:szCs w:val="11"/>
                <w:color w:val="auto"/>
              </w:rPr>
            </w:pPr>
          </w:p>
        </w:tc>
        <w:tc>
          <w:tcPr>
            <w:tcW w:w="560" w:type="dxa"/>
            <w:vAlign w:val="bottom"/>
            <w:shd w:val="clear" w:color="auto" w:fill="F3F3F4"/>
          </w:tcPr>
          <w:p>
            <w:pPr>
              <w:spacing w:after="0"/>
              <w:rPr>
                <w:sz w:val="11"/>
                <w:szCs w:val="11"/>
                <w:color w:val="auto"/>
              </w:rPr>
            </w:pPr>
          </w:p>
        </w:tc>
        <w:tc>
          <w:tcPr>
            <w:tcW w:w="860" w:type="dxa"/>
            <w:vAlign w:val="bottom"/>
            <w:shd w:val="clear" w:color="auto" w:fill="F3F3F4"/>
          </w:tcPr>
          <w:p>
            <w:pPr>
              <w:spacing w:after="0"/>
              <w:rPr>
                <w:sz w:val="11"/>
                <w:szCs w:val="11"/>
                <w:color w:val="auto"/>
              </w:rPr>
            </w:pPr>
          </w:p>
        </w:tc>
        <w:tc>
          <w:tcPr>
            <w:tcW w:w="760" w:type="dxa"/>
            <w:vAlign w:val="bottom"/>
            <w:shd w:val="clear" w:color="auto" w:fill="F3F3F4"/>
          </w:tcPr>
          <w:p>
            <w:pPr>
              <w:spacing w:after="0"/>
              <w:rPr>
                <w:sz w:val="11"/>
                <w:szCs w:val="11"/>
                <w:color w:val="auto"/>
              </w:rPr>
            </w:pPr>
          </w:p>
        </w:tc>
        <w:tc>
          <w:tcPr>
            <w:tcW w:w="800" w:type="dxa"/>
            <w:vAlign w:val="bottom"/>
            <w:vMerge w:val="restart"/>
            <w:shd w:val="clear" w:color="auto" w:fill="F3F3F4"/>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760" w:type="dxa"/>
            <w:vAlign w:val="bottom"/>
            <w:vMerge w:val="restart"/>
            <w:shd w:val="clear" w:color="auto" w:fill="F3F3F4"/>
          </w:tcPr>
          <w:p>
            <w:pPr>
              <w:jc w:val="right"/>
              <w:ind w:right="17"/>
              <w:spacing w:after="0"/>
              <w:rPr>
                <w:sz w:val="20"/>
                <w:szCs w:val="20"/>
                <w:color w:val="auto"/>
              </w:rPr>
            </w:pPr>
            <w:r>
              <w:rPr>
                <w:rFonts w:ascii="Arial" w:cs="Arial" w:eastAsia="Arial" w:hAnsi="Arial"/>
                <w:sz w:val="13"/>
                <w:szCs w:val="13"/>
                <w:b w:val="1"/>
                <w:bCs w:val="1"/>
                <w:color w:val="auto"/>
              </w:rPr>
              <w:t>Option</w:t>
            </w:r>
          </w:p>
        </w:tc>
        <w:tc>
          <w:tcPr>
            <w:tcW w:w="1100" w:type="dxa"/>
            <w:vAlign w:val="bottom"/>
            <w:vMerge w:val="continue"/>
            <w:shd w:val="clear" w:color="auto" w:fill="F3F3F4"/>
          </w:tcPr>
          <w:p>
            <w:pPr>
              <w:spacing w:after="0"/>
              <w:rPr>
                <w:sz w:val="11"/>
                <w:szCs w:val="11"/>
                <w:color w:val="auto"/>
              </w:rPr>
            </w:pPr>
          </w:p>
        </w:tc>
        <w:tc>
          <w:tcPr>
            <w:tcW w:w="102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Deferred</w:t>
            </w:r>
          </w:p>
        </w:tc>
        <w:tc>
          <w:tcPr>
            <w:tcW w:w="1180" w:type="dxa"/>
            <w:vAlign w:val="bottom"/>
            <w:tcBorders>
              <w:right w:val="single" w:sz="8" w:color="F3F3F4"/>
            </w:tcBorders>
            <w:vMerge w:val="restart"/>
            <w:shd w:val="clear" w:color="auto" w:fill="F3F3F4"/>
          </w:tcPr>
          <w:p>
            <w:pPr>
              <w:jc w:val="right"/>
              <w:ind w:right="57"/>
              <w:spacing w:after="0"/>
              <w:rPr>
                <w:sz w:val="20"/>
                <w:szCs w:val="20"/>
                <w:color w:val="auto"/>
              </w:rPr>
            </w:pPr>
            <w:r>
              <w:rPr>
                <w:rFonts w:ascii="Arial" w:cs="Arial" w:eastAsia="Arial" w:hAnsi="Arial"/>
                <w:sz w:val="13"/>
                <w:szCs w:val="13"/>
                <w:b w:val="1"/>
                <w:bCs w:val="1"/>
                <w:color w:val="auto"/>
              </w:rPr>
              <w:t>All Other</w:t>
            </w:r>
          </w:p>
        </w:tc>
        <w:tc>
          <w:tcPr>
            <w:tcW w:w="80" w:type="dxa"/>
            <w:vAlign w:val="bottom"/>
            <w:shd w:val="clear" w:color="auto" w:fill="F3F3F4"/>
          </w:tcPr>
          <w:p>
            <w:pPr>
              <w:spacing w:after="0"/>
              <w:rPr>
                <w:sz w:val="11"/>
                <w:szCs w:val="11"/>
                <w:color w:val="auto"/>
              </w:rPr>
            </w:pPr>
          </w:p>
        </w:tc>
        <w:tc>
          <w:tcPr>
            <w:tcW w:w="80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shd w:val="clear" w:color="auto" w:fill="F3F3F4"/>
          </w:tcPr>
          <w:p>
            <w:pPr>
              <w:spacing w:after="0"/>
              <w:rPr>
                <w:sz w:val="20"/>
                <w:szCs w:val="20"/>
                <w:color w:val="auto"/>
              </w:rPr>
            </w:pPr>
            <w:r>
              <w:rPr>
                <w:rFonts w:ascii="Arial" w:cs="Arial" w:eastAsia="Arial" w:hAnsi="Arial"/>
                <w:sz w:val="13"/>
                <w:szCs w:val="13"/>
                <w:b w:val="1"/>
                <w:bCs w:val="1"/>
                <w:color w:val="auto"/>
              </w:rPr>
              <w:t>Name and</w:t>
            </w:r>
          </w:p>
        </w:tc>
        <w:tc>
          <w:tcPr>
            <w:tcW w:w="560" w:type="dxa"/>
            <w:vAlign w:val="bottom"/>
            <w:shd w:val="clear" w:color="auto" w:fill="F3F3F4"/>
          </w:tcPr>
          <w:p>
            <w:pPr>
              <w:spacing w:after="0"/>
              <w:rPr>
                <w:sz w:val="10"/>
                <w:szCs w:val="10"/>
                <w:color w:val="auto"/>
              </w:rPr>
            </w:pPr>
          </w:p>
        </w:tc>
        <w:tc>
          <w:tcPr>
            <w:tcW w:w="860" w:type="dxa"/>
            <w:vAlign w:val="bottom"/>
            <w:vMerge w:val="restart"/>
            <w:shd w:val="clear" w:color="auto" w:fill="F3F3F4"/>
          </w:tcPr>
          <w:p>
            <w:pPr>
              <w:jc w:val="right"/>
              <w:ind w:right="97"/>
              <w:spacing w:after="0"/>
              <w:rPr>
                <w:sz w:val="20"/>
                <w:szCs w:val="20"/>
                <w:color w:val="auto"/>
              </w:rPr>
            </w:pPr>
            <w:r>
              <w:rPr>
                <w:rFonts w:ascii="Arial" w:cs="Arial" w:eastAsia="Arial" w:hAnsi="Arial"/>
                <w:sz w:val="13"/>
                <w:szCs w:val="13"/>
                <w:b w:val="1"/>
                <w:bCs w:val="1"/>
                <w:color w:val="auto"/>
              </w:rPr>
              <w:t>Salary</w:t>
            </w:r>
          </w:p>
        </w:tc>
        <w:tc>
          <w:tcPr>
            <w:tcW w:w="760" w:type="dxa"/>
            <w:vAlign w:val="bottom"/>
            <w:vMerge w:val="restart"/>
            <w:shd w:val="clear" w:color="auto" w:fill="F3F3F4"/>
          </w:tcPr>
          <w:p>
            <w:pPr>
              <w:jc w:val="right"/>
              <w:ind w:right="77"/>
              <w:spacing w:after="0"/>
              <w:rPr>
                <w:sz w:val="20"/>
                <w:szCs w:val="20"/>
                <w:color w:val="auto"/>
              </w:rPr>
            </w:pPr>
            <w:r>
              <w:rPr>
                <w:rFonts w:ascii="Arial" w:cs="Arial" w:eastAsia="Arial" w:hAnsi="Arial"/>
                <w:sz w:val="13"/>
                <w:szCs w:val="13"/>
                <w:b w:val="1"/>
                <w:bCs w:val="1"/>
                <w:color w:val="auto"/>
              </w:rPr>
              <w:t>Bonus</w:t>
            </w:r>
          </w:p>
        </w:tc>
        <w:tc>
          <w:tcPr>
            <w:tcW w:w="800" w:type="dxa"/>
            <w:vAlign w:val="bottom"/>
            <w:vMerge w:val="continue"/>
            <w:shd w:val="clear" w:color="auto" w:fill="F3F3F4"/>
          </w:tcPr>
          <w:p>
            <w:pPr>
              <w:spacing w:after="0"/>
              <w:rPr>
                <w:sz w:val="10"/>
                <w:szCs w:val="10"/>
                <w:color w:val="auto"/>
              </w:rPr>
            </w:pPr>
          </w:p>
        </w:tc>
        <w:tc>
          <w:tcPr>
            <w:tcW w:w="760" w:type="dxa"/>
            <w:vAlign w:val="bottom"/>
            <w:vMerge w:val="continue"/>
            <w:shd w:val="clear" w:color="auto" w:fill="F3F3F4"/>
          </w:tcPr>
          <w:p>
            <w:pPr>
              <w:spacing w:after="0"/>
              <w:rPr>
                <w:sz w:val="10"/>
                <w:szCs w:val="10"/>
                <w:color w:val="auto"/>
              </w:rPr>
            </w:pPr>
          </w:p>
        </w:tc>
        <w:tc>
          <w:tcPr>
            <w:tcW w:w="1100" w:type="dxa"/>
            <w:vAlign w:val="bottom"/>
            <w:shd w:val="clear" w:color="auto" w:fill="F3F3F4"/>
          </w:tcPr>
          <w:p>
            <w:pPr>
              <w:jc w:val="right"/>
              <w:spacing w:after="0" w:line="126" w:lineRule="exact"/>
              <w:rPr>
                <w:sz w:val="20"/>
                <w:szCs w:val="20"/>
                <w:color w:val="auto"/>
              </w:rPr>
            </w:pPr>
            <w:r>
              <w:rPr>
                <w:rFonts w:ascii="Arial" w:cs="Arial" w:eastAsia="Arial" w:hAnsi="Arial"/>
                <w:sz w:val="13"/>
                <w:szCs w:val="13"/>
                <w:b w:val="1"/>
                <w:bCs w:val="1"/>
                <w:color w:val="auto"/>
              </w:rPr>
              <w:t>Incentive Plan</w:t>
            </w:r>
          </w:p>
        </w:tc>
        <w:tc>
          <w:tcPr>
            <w:tcW w:w="1020" w:type="dxa"/>
            <w:vAlign w:val="bottom"/>
            <w:shd w:val="clear" w:color="auto" w:fill="F3F3F4"/>
          </w:tcPr>
          <w:p>
            <w:pPr>
              <w:jc w:val="right"/>
              <w:spacing w:after="0" w:line="126" w:lineRule="exact"/>
              <w:rPr>
                <w:sz w:val="20"/>
                <w:szCs w:val="20"/>
                <w:color w:val="auto"/>
              </w:rPr>
            </w:pPr>
            <w:r>
              <w:rPr>
                <w:rFonts w:ascii="Arial" w:cs="Arial" w:eastAsia="Arial" w:hAnsi="Arial"/>
                <w:sz w:val="13"/>
                <w:szCs w:val="13"/>
                <w:b w:val="1"/>
                <w:bCs w:val="1"/>
                <w:color w:val="auto"/>
              </w:rPr>
              <w:t>Compensation</w:t>
            </w:r>
          </w:p>
        </w:tc>
        <w:tc>
          <w:tcPr>
            <w:tcW w:w="1180" w:type="dxa"/>
            <w:vAlign w:val="bottom"/>
            <w:tcBorders>
              <w:right w:val="single" w:sz="8" w:color="F3F3F4"/>
            </w:tcBorders>
            <w:vMerge w:val="continue"/>
            <w:shd w:val="clear" w:color="auto" w:fill="F3F3F4"/>
          </w:tcPr>
          <w:p>
            <w:pPr>
              <w:spacing w:after="0"/>
              <w:rPr>
                <w:sz w:val="10"/>
                <w:szCs w:val="10"/>
                <w:color w:val="auto"/>
              </w:rPr>
            </w:pPr>
          </w:p>
        </w:tc>
        <w:tc>
          <w:tcPr>
            <w:tcW w:w="80" w:type="dxa"/>
            <w:vAlign w:val="bottom"/>
            <w:shd w:val="clear" w:color="auto" w:fill="F3F3F4"/>
          </w:tcPr>
          <w:p>
            <w:pPr>
              <w:spacing w:after="0"/>
              <w:rPr>
                <w:sz w:val="10"/>
                <w:szCs w:val="10"/>
                <w:color w:val="auto"/>
              </w:rPr>
            </w:pPr>
          </w:p>
        </w:tc>
        <w:tc>
          <w:tcPr>
            <w:tcW w:w="800" w:type="dxa"/>
            <w:vAlign w:val="bottom"/>
            <w:vMerge w:val="restart"/>
            <w:shd w:val="clear" w:color="auto" w:fill="F3F3F4"/>
          </w:tcPr>
          <w:p>
            <w:pPr>
              <w:jc w:val="right"/>
              <w:ind w:right="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4"/>
        </w:trPr>
        <w:tc>
          <w:tcPr>
            <w:tcW w:w="1800" w:type="dxa"/>
            <w:vAlign w:val="bottom"/>
            <w:vMerge w:val="continue"/>
            <w:shd w:val="clear" w:color="auto" w:fill="F3F3F4"/>
          </w:tcPr>
          <w:p>
            <w:pPr>
              <w:spacing w:after="0"/>
              <w:rPr>
                <w:sz w:val="12"/>
                <w:szCs w:val="12"/>
                <w:color w:val="auto"/>
              </w:rPr>
            </w:pPr>
          </w:p>
        </w:tc>
        <w:tc>
          <w:tcPr>
            <w:tcW w:w="560" w:type="dxa"/>
            <w:vAlign w:val="bottom"/>
            <w:vMerge w:val="restart"/>
            <w:shd w:val="clear" w:color="auto" w:fill="F3F3F4"/>
          </w:tcPr>
          <w:p>
            <w:pPr>
              <w:ind w:left="160"/>
              <w:spacing w:after="0"/>
              <w:rPr>
                <w:sz w:val="20"/>
                <w:szCs w:val="20"/>
                <w:color w:val="auto"/>
              </w:rPr>
            </w:pPr>
            <w:r>
              <w:rPr>
                <w:rFonts w:ascii="Arial" w:cs="Arial" w:eastAsia="Arial" w:hAnsi="Arial"/>
                <w:sz w:val="13"/>
                <w:szCs w:val="13"/>
                <w:b w:val="1"/>
                <w:bCs w:val="1"/>
                <w:color w:val="auto"/>
              </w:rPr>
              <w:t>Year</w:t>
            </w:r>
          </w:p>
        </w:tc>
        <w:tc>
          <w:tcPr>
            <w:tcW w:w="860" w:type="dxa"/>
            <w:vAlign w:val="bottom"/>
            <w:vMerge w:val="continue"/>
            <w:shd w:val="clear" w:color="auto" w:fill="F3F3F4"/>
          </w:tcPr>
          <w:p>
            <w:pPr>
              <w:spacing w:after="0"/>
              <w:rPr>
                <w:sz w:val="12"/>
                <w:szCs w:val="12"/>
                <w:color w:val="auto"/>
              </w:rPr>
            </w:pPr>
          </w:p>
        </w:tc>
        <w:tc>
          <w:tcPr>
            <w:tcW w:w="760" w:type="dxa"/>
            <w:vAlign w:val="bottom"/>
            <w:vMerge w:val="continue"/>
            <w:shd w:val="clear" w:color="auto" w:fill="F3F3F4"/>
          </w:tcPr>
          <w:p>
            <w:pPr>
              <w:spacing w:after="0"/>
              <w:rPr>
                <w:sz w:val="12"/>
                <w:szCs w:val="12"/>
                <w:color w:val="auto"/>
              </w:rPr>
            </w:pPr>
          </w:p>
        </w:tc>
        <w:tc>
          <w:tcPr>
            <w:tcW w:w="800" w:type="dxa"/>
            <w:vAlign w:val="bottom"/>
            <w:shd w:val="clear" w:color="auto" w:fill="F3F3F4"/>
          </w:tcPr>
          <w:p>
            <w:pPr>
              <w:jc w:val="right"/>
              <w:ind w:right="57"/>
              <w:spacing w:after="0" w:line="144"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6"/>
                <w:szCs w:val="16"/>
                <w:color w:val="auto"/>
                <w:vertAlign w:val="superscript"/>
              </w:rPr>
              <w:t>(1)</w:t>
            </w:r>
          </w:p>
        </w:tc>
        <w:tc>
          <w:tcPr>
            <w:tcW w:w="760" w:type="dxa"/>
            <w:vAlign w:val="bottom"/>
            <w:shd w:val="clear" w:color="auto" w:fill="F3F3F4"/>
          </w:tcPr>
          <w:p>
            <w:pPr>
              <w:jc w:val="right"/>
              <w:ind w:right="17"/>
              <w:spacing w:after="0" w:line="144" w:lineRule="exact"/>
              <w:rPr>
                <w:sz w:val="20"/>
                <w:szCs w:val="20"/>
                <w:color w:val="auto"/>
              </w:rPr>
            </w:pPr>
            <w:r>
              <w:rPr>
                <w:rFonts w:ascii="Arial" w:cs="Arial" w:eastAsia="Arial" w:hAnsi="Arial"/>
                <w:sz w:val="13"/>
                <w:szCs w:val="13"/>
                <w:b w:val="1"/>
                <w:bCs w:val="1"/>
                <w:color w:val="auto"/>
              </w:rPr>
              <w:t>Awards</w:t>
            </w:r>
          </w:p>
        </w:tc>
        <w:tc>
          <w:tcPr>
            <w:tcW w:w="1100" w:type="dxa"/>
            <w:vAlign w:val="bottom"/>
            <w:shd w:val="clear" w:color="auto" w:fill="F3F3F4"/>
          </w:tcPr>
          <w:p>
            <w:pPr>
              <w:jc w:val="right"/>
              <w:spacing w:after="0" w:line="144" w:lineRule="exact"/>
              <w:rPr>
                <w:sz w:val="20"/>
                <w:szCs w:val="20"/>
                <w:color w:val="auto"/>
              </w:rPr>
            </w:pPr>
            <w:r>
              <w:rPr>
                <w:rFonts w:ascii="Arial" w:cs="Arial" w:eastAsia="Arial" w:hAnsi="Arial"/>
                <w:sz w:val="13"/>
                <w:szCs w:val="13"/>
                <w:b w:val="1"/>
                <w:bCs w:val="1"/>
                <w:color w:val="auto"/>
                <w:w w:val="98"/>
              </w:rPr>
              <w:t>Compensation</w:t>
            </w:r>
            <w:r>
              <w:rPr>
                <w:rFonts w:ascii="Arial" w:cs="Arial" w:eastAsia="Arial" w:hAnsi="Arial"/>
                <w:sz w:val="16"/>
                <w:szCs w:val="16"/>
                <w:color w:val="auto"/>
                <w:w w:val="98"/>
                <w:vertAlign w:val="superscript"/>
              </w:rPr>
              <w:t>(2)</w:t>
            </w:r>
          </w:p>
        </w:tc>
        <w:tc>
          <w:tcPr>
            <w:tcW w:w="1020" w:type="dxa"/>
            <w:vAlign w:val="bottom"/>
            <w:shd w:val="clear" w:color="auto" w:fill="F3F3F4"/>
          </w:tcPr>
          <w:p>
            <w:pPr>
              <w:jc w:val="right"/>
              <w:spacing w:after="0" w:line="144"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16"/>
                <w:szCs w:val="16"/>
                <w:color w:val="auto"/>
                <w:vertAlign w:val="superscript"/>
              </w:rPr>
              <w:t>(3)</w:t>
            </w:r>
          </w:p>
        </w:tc>
        <w:tc>
          <w:tcPr>
            <w:tcW w:w="1180" w:type="dxa"/>
            <w:vAlign w:val="bottom"/>
            <w:tcBorders>
              <w:right w:val="single" w:sz="8" w:color="F3F3F4"/>
            </w:tcBorders>
            <w:shd w:val="clear" w:color="auto" w:fill="F3F3F4"/>
          </w:tcPr>
          <w:p>
            <w:pPr>
              <w:jc w:val="right"/>
              <w:ind w:right="57"/>
              <w:spacing w:after="0" w:line="144"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16"/>
                <w:szCs w:val="16"/>
                <w:color w:val="auto"/>
                <w:vertAlign w:val="superscript"/>
              </w:rPr>
              <w:t>(4)</w:t>
            </w:r>
          </w:p>
        </w:tc>
        <w:tc>
          <w:tcPr>
            <w:tcW w:w="80" w:type="dxa"/>
            <w:vAlign w:val="bottom"/>
            <w:shd w:val="clear" w:color="auto" w:fill="F3F3F4"/>
          </w:tcPr>
          <w:p>
            <w:pPr>
              <w:spacing w:after="0"/>
              <w:rPr>
                <w:sz w:val="12"/>
                <w:szCs w:val="12"/>
                <w:color w:val="auto"/>
              </w:rPr>
            </w:pPr>
          </w:p>
        </w:tc>
        <w:tc>
          <w:tcPr>
            <w:tcW w:w="800" w:type="dxa"/>
            <w:vAlign w:val="bottom"/>
            <w:vMerge w:val="continue"/>
            <w:shd w:val="clear" w:color="auto" w:fill="F3F3F4"/>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0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3"/>
                <w:szCs w:val="13"/>
                <w:b w:val="1"/>
                <w:bCs w:val="1"/>
                <w:color w:val="auto"/>
              </w:rPr>
              <w:t>Principal Position</w:t>
            </w:r>
          </w:p>
        </w:tc>
        <w:tc>
          <w:tcPr>
            <w:tcW w:w="560" w:type="dxa"/>
            <w:vAlign w:val="bottom"/>
            <w:tcBorders>
              <w:bottom w:val="single" w:sz="8" w:color="auto"/>
            </w:tcBorders>
            <w:vMerge w:val="continue"/>
            <w:shd w:val="clear" w:color="auto" w:fill="F3F3F4"/>
          </w:tcPr>
          <w:p>
            <w:pPr>
              <w:spacing w:after="0"/>
              <w:rPr>
                <w:sz w:val="13"/>
                <w:szCs w:val="13"/>
                <w:color w:val="auto"/>
              </w:rPr>
            </w:pPr>
          </w:p>
        </w:tc>
        <w:tc>
          <w:tcPr>
            <w:tcW w:w="860" w:type="dxa"/>
            <w:vAlign w:val="bottom"/>
            <w:tcBorders>
              <w:bottom w:val="single" w:sz="8" w:color="auto"/>
            </w:tcBorders>
            <w:shd w:val="clear" w:color="auto" w:fill="F3F3F4"/>
          </w:tcPr>
          <w:p>
            <w:pPr>
              <w:jc w:val="right"/>
              <w:ind w:right="9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F3F3F4"/>
          </w:tcPr>
          <w:p>
            <w:pPr>
              <w:jc w:val="right"/>
              <w:ind w:right="7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F3F3F4"/>
          </w:tcPr>
          <w:p>
            <w:pPr>
              <w:jc w:val="right"/>
              <w:ind w:right="5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F3F3F4"/>
          </w:tcPr>
          <w:p>
            <w:pPr>
              <w:jc w:val="right"/>
              <w:ind w:right="17"/>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right w:val="single" w:sz="8" w:color="F3F3F4"/>
            </w:tcBorders>
            <w:shd w:val="clear" w:color="auto" w:fill="F3F3F4"/>
          </w:tcPr>
          <w:p>
            <w:pPr>
              <w:jc w:val="right"/>
              <w:ind w:right="5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gridSpan w:val="2"/>
            <w:shd w:val="clear" w:color="auto" w:fill="F3F3F4"/>
          </w:tcPr>
          <w:p>
            <w:pPr>
              <w:jc w:val="right"/>
              <w:ind w:right="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8"/>
        </w:trPr>
        <w:tc>
          <w:tcPr>
            <w:tcW w:w="1800" w:type="dxa"/>
            <w:vAlign w:val="bottom"/>
          </w:tcPr>
          <w:p>
            <w:pPr>
              <w:spacing w:after="0" w:line="117" w:lineRule="exact"/>
              <w:rPr>
                <w:sz w:val="20"/>
                <w:szCs w:val="20"/>
                <w:color w:val="auto"/>
              </w:rPr>
            </w:pPr>
            <w:r>
              <w:rPr>
                <w:rFonts w:ascii="Arial" w:cs="Arial" w:eastAsia="Arial" w:hAnsi="Arial"/>
                <w:sz w:val="13"/>
                <w:szCs w:val="13"/>
                <w:b w:val="1"/>
                <w:bCs w:val="1"/>
                <w:color w:val="auto"/>
              </w:rPr>
              <w:t>John J. Christmann IV</w:t>
            </w:r>
          </w:p>
        </w:tc>
        <w:tc>
          <w:tcPr>
            <w:tcW w:w="560" w:type="dxa"/>
            <w:vAlign w:val="bottom"/>
          </w:tcPr>
          <w:p>
            <w:pPr>
              <w:ind w:left="140"/>
              <w:spacing w:after="0" w:line="117" w:lineRule="exact"/>
              <w:rPr>
                <w:sz w:val="20"/>
                <w:szCs w:val="20"/>
                <w:color w:val="auto"/>
              </w:rPr>
            </w:pPr>
            <w:r>
              <w:rPr>
                <w:rFonts w:ascii="Arial" w:cs="Arial" w:eastAsia="Arial" w:hAnsi="Arial"/>
                <w:sz w:val="13"/>
                <w:szCs w:val="13"/>
                <w:color w:val="auto"/>
              </w:rPr>
              <w:t>2025</w:t>
            </w:r>
          </w:p>
        </w:tc>
        <w:tc>
          <w:tcPr>
            <w:tcW w:w="860" w:type="dxa"/>
            <w:vAlign w:val="bottom"/>
          </w:tcPr>
          <w:p>
            <w:pPr>
              <w:jc w:val="right"/>
              <w:ind w:right="97"/>
              <w:spacing w:after="0" w:line="117" w:lineRule="exact"/>
              <w:rPr>
                <w:sz w:val="20"/>
                <w:szCs w:val="20"/>
                <w:color w:val="auto"/>
              </w:rPr>
            </w:pPr>
            <w:r>
              <w:rPr>
                <w:rFonts w:ascii="Arial" w:cs="Arial" w:eastAsia="Arial" w:hAnsi="Arial"/>
                <w:sz w:val="13"/>
                <w:szCs w:val="13"/>
                <w:color w:val="auto"/>
              </w:rPr>
              <w:t>1,300,000</w:t>
            </w:r>
          </w:p>
        </w:tc>
        <w:tc>
          <w:tcPr>
            <w:tcW w:w="760" w:type="dxa"/>
            <w:vAlign w:val="bottom"/>
          </w:tcPr>
          <w:p>
            <w:pPr>
              <w:jc w:val="right"/>
              <w:ind w:right="77"/>
              <w:spacing w:after="0" w:line="11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line="117" w:lineRule="exact"/>
              <w:rPr>
                <w:sz w:val="20"/>
                <w:szCs w:val="20"/>
                <w:color w:val="auto"/>
              </w:rPr>
            </w:pPr>
            <w:r>
              <w:rPr>
                <w:rFonts w:ascii="Arial" w:cs="Arial" w:eastAsia="Arial" w:hAnsi="Arial"/>
                <w:sz w:val="13"/>
                <w:szCs w:val="13"/>
                <w:color w:val="auto"/>
              </w:rPr>
              <w:t>6,018,436</w:t>
            </w:r>
          </w:p>
        </w:tc>
        <w:tc>
          <w:tcPr>
            <w:tcW w:w="760" w:type="dxa"/>
            <w:vAlign w:val="bottom"/>
          </w:tcPr>
          <w:p>
            <w:pPr>
              <w:jc w:val="right"/>
              <w:ind w:right="17"/>
              <w:spacing w:after="0" w:line="117" w:lineRule="exact"/>
              <w:rPr>
                <w:sz w:val="20"/>
                <w:szCs w:val="20"/>
                <w:color w:val="auto"/>
              </w:rPr>
            </w:pPr>
            <w:r>
              <w:rPr>
                <w:rFonts w:ascii="Arial" w:cs="Arial" w:eastAsia="Arial" w:hAnsi="Arial"/>
                <w:sz w:val="13"/>
                <w:szCs w:val="13"/>
                <w:color w:val="auto"/>
              </w:rPr>
              <w:t>1,897,996</w:t>
            </w:r>
          </w:p>
        </w:tc>
        <w:tc>
          <w:tcPr>
            <w:tcW w:w="1100" w:type="dxa"/>
            <w:vAlign w:val="bottom"/>
          </w:tcPr>
          <w:p>
            <w:pPr>
              <w:jc w:val="right"/>
              <w:spacing w:after="0" w:line="117" w:lineRule="exact"/>
              <w:rPr>
                <w:sz w:val="20"/>
                <w:szCs w:val="20"/>
                <w:color w:val="auto"/>
              </w:rPr>
            </w:pPr>
            <w:r>
              <w:rPr>
                <w:rFonts w:ascii="Arial" w:cs="Arial" w:eastAsia="Arial" w:hAnsi="Arial"/>
                <w:sz w:val="13"/>
                <w:szCs w:val="13"/>
                <w:color w:val="auto"/>
              </w:rPr>
              <w:t>3,454,360</w:t>
            </w:r>
          </w:p>
        </w:tc>
        <w:tc>
          <w:tcPr>
            <w:tcW w:w="1020" w:type="dxa"/>
            <w:vAlign w:val="bottom"/>
          </w:tcPr>
          <w:p>
            <w:pPr>
              <w:jc w:val="right"/>
              <w:spacing w:after="0" w:line="117" w:lineRule="exact"/>
              <w:rPr>
                <w:sz w:val="20"/>
                <w:szCs w:val="20"/>
                <w:color w:val="auto"/>
              </w:rPr>
            </w:pPr>
            <w:r>
              <w:rPr>
                <w:rFonts w:ascii="Arial" w:cs="Arial" w:eastAsia="Arial" w:hAnsi="Arial"/>
                <w:sz w:val="13"/>
                <w:szCs w:val="13"/>
                <w:color w:val="auto"/>
              </w:rPr>
              <w:t>—</w:t>
            </w:r>
          </w:p>
        </w:tc>
        <w:tc>
          <w:tcPr>
            <w:tcW w:w="1180" w:type="dxa"/>
            <w:vAlign w:val="bottom"/>
            <w:tcBorders>
              <w:right w:val="single" w:sz="8" w:color="F3F3F4"/>
            </w:tcBorders>
          </w:tcPr>
          <w:p>
            <w:pPr>
              <w:jc w:val="right"/>
              <w:ind w:right="57"/>
              <w:spacing w:after="0" w:line="117" w:lineRule="exact"/>
              <w:rPr>
                <w:sz w:val="20"/>
                <w:szCs w:val="20"/>
                <w:color w:val="auto"/>
              </w:rPr>
            </w:pPr>
            <w:r>
              <w:rPr>
                <w:rFonts w:ascii="Arial" w:cs="Arial" w:eastAsia="Arial" w:hAnsi="Arial"/>
                <w:sz w:val="13"/>
                <w:szCs w:val="13"/>
                <w:color w:val="auto"/>
              </w:rPr>
              <w:t>531,725</w:t>
            </w:r>
          </w:p>
        </w:tc>
        <w:tc>
          <w:tcPr>
            <w:tcW w:w="80" w:type="dxa"/>
            <w:vAlign w:val="bottom"/>
            <w:shd w:val="clear" w:color="auto" w:fill="F3F3F4"/>
          </w:tcPr>
          <w:p>
            <w:pPr>
              <w:spacing w:after="0"/>
              <w:rPr>
                <w:sz w:val="11"/>
                <w:szCs w:val="11"/>
                <w:color w:val="auto"/>
              </w:rPr>
            </w:pPr>
          </w:p>
        </w:tc>
        <w:tc>
          <w:tcPr>
            <w:tcW w:w="800" w:type="dxa"/>
            <w:vAlign w:val="bottom"/>
            <w:shd w:val="clear" w:color="auto" w:fill="F3F3F4"/>
          </w:tcPr>
          <w:p>
            <w:pPr>
              <w:jc w:val="right"/>
              <w:ind w:right="37"/>
              <w:spacing w:after="0" w:line="117" w:lineRule="exact"/>
              <w:rPr>
                <w:sz w:val="20"/>
                <w:szCs w:val="20"/>
                <w:color w:val="auto"/>
              </w:rPr>
            </w:pPr>
            <w:r>
              <w:rPr>
                <w:rFonts w:ascii="Arial" w:cs="Arial" w:eastAsia="Arial" w:hAnsi="Arial"/>
                <w:sz w:val="13"/>
                <w:szCs w:val="13"/>
                <w:color w:val="auto"/>
              </w:rPr>
              <w:t>13,202,517</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3"/>
                <w:szCs w:val="13"/>
                <w:color w:val="auto"/>
              </w:rPr>
              <w:t>Chief Executive Officer</w:t>
            </w:r>
          </w:p>
        </w:tc>
        <w:tc>
          <w:tcPr>
            <w:tcW w:w="560" w:type="dxa"/>
            <w:vAlign w:val="bottom"/>
          </w:tcPr>
          <w:p>
            <w:pPr>
              <w:ind w:left="140"/>
              <w:spacing w:after="0" w:line="117" w:lineRule="exact"/>
              <w:rPr>
                <w:sz w:val="20"/>
                <w:szCs w:val="20"/>
                <w:color w:val="auto"/>
              </w:rPr>
            </w:pPr>
            <w:r>
              <w:rPr>
                <w:rFonts w:ascii="Arial" w:cs="Arial" w:eastAsia="Arial" w:hAnsi="Arial"/>
                <w:sz w:val="13"/>
                <w:szCs w:val="13"/>
                <w:color w:val="auto"/>
              </w:rPr>
              <w:t>2024</w:t>
            </w:r>
          </w:p>
        </w:tc>
        <w:tc>
          <w:tcPr>
            <w:tcW w:w="860" w:type="dxa"/>
            <w:vAlign w:val="bottom"/>
          </w:tcPr>
          <w:p>
            <w:pPr>
              <w:jc w:val="right"/>
              <w:ind w:right="97"/>
              <w:spacing w:after="0" w:line="117" w:lineRule="exact"/>
              <w:rPr>
                <w:sz w:val="20"/>
                <w:szCs w:val="20"/>
                <w:color w:val="auto"/>
              </w:rPr>
            </w:pPr>
            <w:r>
              <w:rPr>
                <w:rFonts w:ascii="Arial" w:cs="Arial" w:eastAsia="Arial" w:hAnsi="Arial"/>
                <w:sz w:val="13"/>
                <w:szCs w:val="13"/>
                <w:color w:val="auto"/>
              </w:rPr>
              <w:t>1,300,000</w:t>
            </w:r>
          </w:p>
        </w:tc>
        <w:tc>
          <w:tcPr>
            <w:tcW w:w="760" w:type="dxa"/>
            <w:vAlign w:val="bottom"/>
          </w:tcPr>
          <w:p>
            <w:pPr>
              <w:jc w:val="right"/>
              <w:ind w:right="77"/>
              <w:spacing w:after="0" w:line="11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line="117" w:lineRule="exact"/>
              <w:rPr>
                <w:sz w:val="20"/>
                <w:szCs w:val="20"/>
                <w:color w:val="auto"/>
              </w:rPr>
            </w:pPr>
            <w:r>
              <w:rPr>
                <w:rFonts w:ascii="Arial" w:cs="Arial" w:eastAsia="Arial" w:hAnsi="Arial"/>
                <w:sz w:val="13"/>
                <w:szCs w:val="13"/>
                <w:color w:val="auto"/>
              </w:rPr>
              <w:t>7,555,373</w:t>
            </w:r>
          </w:p>
        </w:tc>
        <w:tc>
          <w:tcPr>
            <w:tcW w:w="760" w:type="dxa"/>
            <w:vAlign w:val="bottom"/>
          </w:tcPr>
          <w:p>
            <w:pPr>
              <w:jc w:val="right"/>
              <w:ind w:right="17"/>
              <w:spacing w:after="0" w:line="117" w:lineRule="exact"/>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17" w:lineRule="exact"/>
              <w:rPr>
                <w:sz w:val="20"/>
                <w:szCs w:val="20"/>
                <w:color w:val="auto"/>
              </w:rPr>
            </w:pPr>
            <w:r>
              <w:rPr>
                <w:rFonts w:ascii="Arial" w:cs="Arial" w:eastAsia="Arial" w:hAnsi="Arial"/>
                <w:sz w:val="13"/>
                <w:szCs w:val="13"/>
                <w:color w:val="auto"/>
              </w:rPr>
              <w:t>1,983,800</w:t>
            </w:r>
          </w:p>
        </w:tc>
        <w:tc>
          <w:tcPr>
            <w:tcW w:w="1020" w:type="dxa"/>
            <w:vAlign w:val="bottom"/>
          </w:tcPr>
          <w:p>
            <w:pPr>
              <w:jc w:val="right"/>
              <w:spacing w:after="0" w:line="117"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57"/>
              <w:spacing w:after="0" w:line="117" w:lineRule="exact"/>
              <w:rPr>
                <w:sz w:val="20"/>
                <w:szCs w:val="20"/>
                <w:color w:val="auto"/>
              </w:rPr>
            </w:pPr>
            <w:r>
              <w:rPr>
                <w:rFonts w:ascii="Arial" w:cs="Arial" w:eastAsia="Arial" w:hAnsi="Arial"/>
                <w:sz w:val="13"/>
                <w:szCs w:val="13"/>
                <w:color w:val="auto"/>
              </w:rPr>
              <w:t>601,536</w:t>
            </w:r>
          </w:p>
        </w:tc>
        <w:tc>
          <w:tcPr>
            <w:tcW w:w="80" w:type="dxa"/>
            <w:vAlign w:val="bottom"/>
            <w:shd w:val="clear" w:color="auto" w:fill="F3F3F4"/>
          </w:tcPr>
          <w:p>
            <w:pPr>
              <w:spacing w:after="0"/>
              <w:rPr>
                <w:sz w:val="10"/>
                <w:szCs w:val="10"/>
                <w:color w:val="auto"/>
              </w:rPr>
            </w:pPr>
          </w:p>
        </w:tc>
        <w:tc>
          <w:tcPr>
            <w:tcW w:w="800" w:type="dxa"/>
            <w:vAlign w:val="bottom"/>
            <w:shd w:val="clear" w:color="auto" w:fill="F3F3F4"/>
          </w:tcPr>
          <w:p>
            <w:pPr>
              <w:jc w:val="right"/>
              <w:ind w:right="37"/>
              <w:spacing w:after="0" w:line="117" w:lineRule="exact"/>
              <w:rPr>
                <w:sz w:val="20"/>
                <w:szCs w:val="20"/>
                <w:color w:val="auto"/>
              </w:rPr>
            </w:pPr>
            <w:r>
              <w:rPr>
                <w:rFonts w:ascii="Arial" w:cs="Arial" w:eastAsia="Arial" w:hAnsi="Arial"/>
                <w:sz w:val="13"/>
                <w:szCs w:val="13"/>
                <w:color w:val="auto"/>
              </w:rPr>
              <w:t>11,440,709</w:t>
            </w:r>
          </w:p>
        </w:tc>
        <w:tc>
          <w:tcPr>
            <w:tcW w:w="0" w:type="dxa"/>
            <w:vAlign w:val="bottom"/>
          </w:tcPr>
          <w:p>
            <w:pPr>
              <w:spacing w:after="0"/>
              <w:rPr>
                <w:sz w:val="1"/>
                <w:szCs w:val="1"/>
                <w:color w:val="auto"/>
              </w:rPr>
            </w:pPr>
          </w:p>
        </w:tc>
      </w:tr>
      <w:tr>
        <w:trPr>
          <w:trHeight w:val="153"/>
        </w:trPr>
        <w:tc>
          <w:tcPr>
            <w:tcW w:w="18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2023</w:t>
            </w: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1,300,000</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9,384,742</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2,467,400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611,299</w:t>
            </w:r>
          </w:p>
        </w:tc>
        <w:tc>
          <w:tcPr>
            <w:tcW w:w="80" w:type="dxa"/>
            <w:vAlign w:val="bottom"/>
            <w:tcBorders>
              <w:bottom w:val="single" w:sz="8" w:color="F3F3F4"/>
            </w:tcBorders>
            <w:shd w:val="clear" w:color="auto" w:fill="F3F3F4"/>
          </w:tcPr>
          <w:p>
            <w:pPr>
              <w:spacing w:after="0"/>
              <w:rPr>
                <w:sz w:val="13"/>
                <w:szCs w:val="13"/>
                <w:color w:val="auto"/>
              </w:rPr>
            </w:pPr>
          </w:p>
        </w:tc>
        <w:tc>
          <w:tcPr>
            <w:tcW w:w="800" w:type="dxa"/>
            <w:vAlign w:val="bottom"/>
            <w:tcBorders>
              <w:bottom w:val="single" w:sz="8" w:color="auto"/>
            </w:tcBorders>
            <w:shd w:val="clear" w:color="auto" w:fill="F3F3F4"/>
          </w:tcPr>
          <w:p>
            <w:pPr>
              <w:jc w:val="right"/>
              <w:ind w:right="37"/>
              <w:spacing w:after="0"/>
              <w:rPr>
                <w:sz w:val="20"/>
                <w:szCs w:val="20"/>
                <w:color w:val="auto"/>
              </w:rPr>
            </w:pPr>
            <w:r>
              <w:rPr>
                <w:rFonts w:ascii="Arial" w:cs="Arial" w:eastAsia="Arial" w:hAnsi="Arial"/>
                <w:sz w:val="13"/>
                <w:szCs w:val="13"/>
                <w:color w:val="auto"/>
              </w:rPr>
              <w:t>13,763,441</w:t>
            </w:r>
          </w:p>
        </w:tc>
        <w:tc>
          <w:tcPr>
            <w:tcW w:w="0" w:type="dxa"/>
            <w:vAlign w:val="bottom"/>
          </w:tcPr>
          <w:p>
            <w:pPr>
              <w:spacing w:after="0"/>
              <w:rPr>
                <w:sz w:val="1"/>
                <w:szCs w:val="1"/>
                <w:color w:val="auto"/>
              </w:rPr>
            </w:pPr>
          </w:p>
        </w:tc>
      </w:tr>
      <w:tr>
        <w:trPr>
          <w:trHeight w:val="128"/>
        </w:trPr>
        <w:tc>
          <w:tcPr>
            <w:tcW w:w="1800" w:type="dxa"/>
            <w:vAlign w:val="bottom"/>
          </w:tcPr>
          <w:p>
            <w:pPr>
              <w:spacing w:after="0" w:line="117" w:lineRule="exact"/>
              <w:rPr>
                <w:sz w:val="20"/>
                <w:szCs w:val="20"/>
                <w:color w:val="auto"/>
              </w:rPr>
            </w:pPr>
            <w:r>
              <w:rPr>
                <w:rFonts w:ascii="Arial" w:cs="Arial" w:eastAsia="Arial" w:hAnsi="Arial"/>
                <w:sz w:val="13"/>
                <w:szCs w:val="13"/>
                <w:b w:val="1"/>
                <w:bCs w:val="1"/>
                <w:color w:val="auto"/>
              </w:rPr>
              <w:t>Stephen J. Riney</w:t>
            </w:r>
          </w:p>
        </w:tc>
        <w:tc>
          <w:tcPr>
            <w:tcW w:w="560" w:type="dxa"/>
            <w:vAlign w:val="bottom"/>
          </w:tcPr>
          <w:p>
            <w:pPr>
              <w:ind w:left="140"/>
              <w:spacing w:after="0" w:line="117" w:lineRule="exact"/>
              <w:rPr>
                <w:sz w:val="20"/>
                <w:szCs w:val="20"/>
                <w:color w:val="auto"/>
              </w:rPr>
            </w:pPr>
            <w:r>
              <w:rPr>
                <w:rFonts w:ascii="Arial" w:cs="Arial" w:eastAsia="Arial" w:hAnsi="Arial"/>
                <w:sz w:val="13"/>
                <w:szCs w:val="13"/>
                <w:color w:val="auto"/>
              </w:rPr>
              <w:t>2025</w:t>
            </w:r>
          </w:p>
        </w:tc>
        <w:tc>
          <w:tcPr>
            <w:tcW w:w="860" w:type="dxa"/>
            <w:vAlign w:val="bottom"/>
          </w:tcPr>
          <w:p>
            <w:pPr>
              <w:jc w:val="right"/>
              <w:ind w:right="97"/>
              <w:spacing w:after="0" w:line="117" w:lineRule="exact"/>
              <w:rPr>
                <w:sz w:val="20"/>
                <w:szCs w:val="20"/>
                <w:color w:val="auto"/>
              </w:rPr>
            </w:pPr>
            <w:r>
              <w:rPr>
                <w:rFonts w:ascii="Arial" w:cs="Arial" w:eastAsia="Arial" w:hAnsi="Arial"/>
                <w:sz w:val="13"/>
                <w:szCs w:val="13"/>
                <w:color w:val="auto"/>
              </w:rPr>
              <w:t>900,000</w:t>
            </w:r>
          </w:p>
        </w:tc>
        <w:tc>
          <w:tcPr>
            <w:tcW w:w="760" w:type="dxa"/>
            <w:vAlign w:val="bottom"/>
          </w:tcPr>
          <w:p>
            <w:pPr>
              <w:jc w:val="right"/>
              <w:ind w:right="77"/>
              <w:spacing w:after="0" w:line="117" w:lineRule="exact"/>
              <w:rPr>
                <w:sz w:val="20"/>
                <w:szCs w:val="20"/>
                <w:color w:val="auto"/>
              </w:rPr>
            </w:pPr>
            <w:r>
              <w:rPr>
                <w:rFonts w:ascii="Arial" w:cs="Arial" w:eastAsia="Arial" w:hAnsi="Arial"/>
                <w:sz w:val="13"/>
                <w:szCs w:val="13"/>
                <w:color w:val="auto"/>
              </w:rPr>
              <w:t>110,160</w:t>
            </w:r>
          </w:p>
        </w:tc>
        <w:tc>
          <w:tcPr>
            <w:tcW w:w="800" w:type="dxa"/>
            <w:vAlign w:val="bottom"/>
          </w:tcPr>
          <w:p>
            <w:pPr>
              <w:jc w:val="right"/>
              <w:ind w:right="57"/>
              <w:spacing w:after="0" w:line="117" w:lineRule="exact"/>
              <w:rPr>
                <w:sz w:val="20"/>
                <w:szCs w:val="20"/>
                <w:color w:val="auto"/>
              </w:rPr>
            </w:pPr>
            <w:r>
              <w:rPr>
                <w:rFonts w:ascii="Arial" w:cs="Arial" w:eastAsia="Arial" w:hAnsi="Arial"/>
                <w:sz w:val="13"/>
                <w:szCs w:val="13"/>
                <w:color w:val="auto"/>
              </w:rPr>
              <w:t>3,424,602</w:t>
            </w:r>
          </w:p>
        </w:tc>
        <w:tc>
          <w:tcPr>
            <w:tcW w:w="760" w:type="dxa"/>
            <w:vAlign w:val="bottom"/>
          </w:tcPr>
          <w:p>
            <w:pPr>
              <w:jc w:val="right"/>
              <w:ind w:right="17"/>
              <w:spacing w:after="0" w:line="117" w:lineRule="exact"/>
              <w:rPr>
                <w:sz w:val="20"/>
                <w:szCs w:val="20"/>
                <w:color w:val="auto"/>
              </w:rPr>
            </w:pPr>
            <w:r>
              <w:rPr>
                <w:rFonts w:ascii="Arial" w:cs="Arial" w:eastAsia="Arial" w:hAnsi="Arial"/>
                <w:sz w:val="13"/>
                <w:szCs w:val="13"/>
                <w:color w:val="auto"/>
              </w:rPr>
              <w:t>1,079,994</w:t>
            </w:r>
          </w:p>
        </w:tc>
        <w:tc>
          <w:tcPr>
            <w:tcW w:w="1100" w:type="dxa"/>
            <w:vAlign w:val="bottom"/>
          </w:tcPr>
          <w:p>
            <w:pPr>
              <w:jc w:val="right"/>
              <w:spacing w:after="0" w:line="117" w:lineRule="exact"/>
              <w:rPr>
                <w:sz w:val="20"/>
                <w:szCs w:val="20"/>
                <w:color w:val="auto"/>
              </w:rPr>
            </w:pPr>
            <w:r>
              <w:rPr>
                <w:rFonts w:ascii="Arial" w:cs="Arial" w:eastAsia="Arial" w:hAnsi="Arial"/>
                <w:sz w:val="13"/>
                <w:szCs w:val="13"/>
                <w:color w:val="auto"/>
              </w:rPr>
              <w:t>2,049,840</w:t>
            </w:r>
          </w:p>
        </w:tc>
        <w:tc>
          <w:tcPr>
            <w:tcW w:w="1020" w:type="dxa"/>
            <w:vAlign w:val="bottom"/>
          </w:tcPr>
          <w:p>
            <w:pPr>
              <w:jc w:val="right"/>
              <w:spacing w:after="0" w:line="117" w:lineRule="exact"/>
              <w:rPr>
                <w:sz w:val="20"/>
                <w:szCs w:val="20"/>
                <w:color w:val="auto"/>
              </w:rPr>
            </w:pPr>
            <w:r>
              <w:rPr>
                <w:rFonts w:ascii="Arial" w:cs="Arial" w:eastAsia="Arial" w:hAnsi="Arial"/>
                <w:sz w:val="13"/>
                <w:szCs w:val="13"/>
                <w:color w:val="auto"/>
              </w:rPr>
              <w:t>—</w:t>
            </w:r>
          </w:p>
        </w:tc>
        <w:tc>
          <w:tcPr>
            <w:tcW w:w="1180" w:type="dxa"/>
            <w:vAlign w:val="bottom"/>
            <w:tcBorders>
              <w:right w:val="single" w:sz="8" w:color="F3F3F4"/>
            </w:tcBorders>
          </w:tcPr>
          <w:p>
            <w:pPr>
              <w:jc w:val="right"/>
              <w:ind w:right="57"/>
              <w:spacing w:after="0" w:line="117" w:lineRule="exact"/>
              <w:rPr>
                <w:sz w:val="20"/>
                <w:szCs w:val="20"/>
                <w:color w:val="auto"/>
              </w:rPr>
            </w:pPr>
            <w:r>
              <w:rPr>
                <w:rFonts w:ascii="Arial" w:cs="Arial" w:eastAsia="Arial" w:hAnsi="Arial"/>
                <w:sz w:val="13"/>
                <w:szCs w:val="13"/>
                <w:color w:val="auto"/>
              </w:rPr>
              <w:t>340,459</w:t>
            </w:r>
          </w:p>
        </w:tc>
        <w:tc>
          <w:tcPr>
            <w:tcW w:w="80" w:type="dxa"/>
            <w:vAlign w:val="bottom"/>
            <w:shd w:val="clear" w:color="auto" w:fill="F3F3F4"/>
          </w:tcPr>
          <w:p>
            <w:pPr>
              <w:spacing w:after="0"/>
              <w:rPr>
                <w:sz w:val="11"/>
                <w:szCs w:val="11"/>
                <w:color w:val="auto"/>
              </w:rPr>
            </w:pPr>
          </w:p>
        </w:tc>
        <w:tc>
          <w:tcPr>
            <w:tcW w:w="800" w:type="dxa"/>
            <w:vAlign w:val="bottom"/>
            <w:shd w:val="clear" w:color="auto" w:fill="F3F3F4"/>
          </w:tcPr>
          <w:p>
            <w:pPr>
              <w:jc w:val="right"/>
              <w:ind w:right="37"/>
              <w:spacing w:after="0" w:line="117" w:lineRule="exact"/>
              <w:rPr>
                <w:sz w:val="20"/>
                <w:szCs w:val="20"/>
                <w:color w:val="auto"/>
              </w:rPr>
            </w:pPr>
            <w:r>
              <w:rPr>
                <w:rFonts w:ascii="Arial" w:cs="Arial" w:eastAsia="Arial" w:hAnsi="Arial"/>
                <w:sz w:val="13"/>
                <w:szCs w:val="13"/>
                <w:color w:val="auto"/>
              </w:rPr>
              <w:t>7,905,055</w:t>
            </w:r>
          </w:p>
        </w:tc>
        <w:tc>
          <w:tcPr>
            <w:tcW w:w="0" w:type="dxa"/>
            <w:vAlign w:val="bottom"/>
          </w:tcPr>
          <w:p>
            <w:pPr>
              <w:spacing w:after="0"/>
              <w:rPr>
                <w:sz w:val="1"/>
                <w:szCs w:val="1"/>
                <w:color w:val="auto"/>
              </w:rPr>
            </w:pPr>
          </w:p>
        </w:tc>
      </w:tr>
      <w:tr>
        <w:trPr>
          <w:trHeight w:val="117"/>
        </w:trPr>
        <w:tc>
          <w:tcPr>
            <w:tcW w:w="1800" w:type="dxa"/>
            <w:vAlign w:val="bottom"/>
          </w:tcPr>
          <w:p>
            <w:pPr>
              <w:spacing w:after="0" w:line="117" w:lineRule="exact"/>
              <w:rPr>
                <w:sz w:val="20"/>
                <w:szCs w:val="20"/>
                <w:color w:val="auto"/>
              </w:rPr>
            </w:pPr>
            <w:r>
              <w:rPr>
                <w:rFonts w:ascii="Arial" w:cs="Arial" w:eastAsia="Arial" w:hAnsi="Arial"/>
                <w:sz w:val="13"/>
                <w:szCs w:val="13"/>
                <w:color w:val="auto"/>
              </w:rPr>
              <w:t>President</w:t>
            </w:r>
          </w:p>
        </w:tc>
        <w:tc>
          <w:tcPr>
            <w:tcW w:w="560" w:type="dxa"/>
            <w:vAlign w:val="bottom"/>
          </w:tcPr>
          <w:p>
            <w:pPr>
              <w:ind w:left="140"/>
              <w:spacing w:after="0" w:line="117" w:lineRule="exact"/>
              <w:rPr>
                <w:sz w:val="20"/>
                <w:szCs w:val="20"/>
                <w:color w:val="auto"/>
              </w:rPr>
            </w:pPr>
            <w:r>
              <w:rPr>
                <w:rFonts w:ascii="Arial" w:cs="Arial" w:eastAsia="Arial" w:hAnsi="Arial"/>
                <w:sz w:val="13"/>
                <w:szCs w:val="13"/>
                <w:color w:val="auto"/>
              </w:rPr>
              <w:t>2024</w:t>
            </w:r>
          </w:p>
        </w:tc>
        <w:tc>
          <w:tcPr>
            <w:tcW w:w="860" w:type="dxa"/>
            <w:vAlign w:val="bottom"/>
          </w:tcPr>
          <w:p>
            <w:pPr>
              <w:jc w:val="right"/>
              <w:ind w:right="97"/>
              <w:spacing w:after="0" w:line="117" w:lineRule="exact"/>
              <w:rPr>
                <w:sz w:val="20"/>
                <w:szCs w:val="20"/>
                <w:color w:val="auto"/>
              </w:rPr>
            </w:pPr>
            <w:r>
              <w:rPr>
                <w:rFonts w:ascii="Arial" w:cs="Arial" w:eastAsia="Arial" w:hAnsi="Arial"/>
                <w:sz w:val="13"/>
                <w:szCs w:val="13"/>
                <w:color w:val="auto"/>
              </w:rPr>
              <w:t>900,000</w:t>
            </w:r>
          </w:p>
        </w:tc>
        <w:tc>
          <w:tcPr>
            <w:tcW w:w="760" w:type="dxa"/>
            <w:vAlign w:val="bottom"/>
          </w:tcPr>
          <w:p>
            <w:pPr>
              <w:jc w:val="right"/>
              <w:ind w:right="77"/>
              <w:spacing w:after="0" w:line="11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line="117" w:lineRule="exact"/>
              <w:rPr>
                <w:sz w:val="20"/>
                <w:szCs w:val="20"/>
                <w:color w:val="auto"/>
              </w:rPr>
            </w:pPr>
            <w:r>
              <w:rPr>
                <w:rFonts w:ascii="Arial" w:cs="Arial" w:eastAsia="Arial" w:hAnsi="Arial"/>
                <w:sz w:val="13"/>
                <w:szCs w:val="13"/>
                <w:color w:val="auto"/>
              </w:rPr>
              <w:t>4,299,113</w:t>
            </w:r>
          </w:p>
        </w:tc>
        <w:tc>
          <w:tcPr>
            <w:tcW w:w="760" w:type="dxa"/>
            <w:vAlign w:val="bottom"/>
          </w:tcPr>
          <w:p>
            <w:pPr>
              <w:jc w:val="right"/>
              <w:ind w:right="17"/>
              <w:spacing w:after="0" w:line="117" w:lineRule="exact"/>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17" w:lineRule="exact"/>
              <w:rPr>
                <w:sz w:val="20"/>
                <w:szCs w:val="20"/>
                <w:color w:val="auto"/>
              </w:rPr>
            </w:pPr>
            <w:r>
              <w:rPr>
                <w:rFonts w:ascii="Arial" w:cs="Arial" w:eastAsia="Arial" w:hAnsi="Arial"/>
                <w:sz w:val="13"/>
                <w:szCs w:val="13"/>
                <w:color w:val="auto"/>
              </w:rPr>
              <w:t>1,177,200</w:t>
            </w:r>
          </w:p>
        </w:tc>
        <w:tc>
          <w:tcPr>
            <w:tcW w:w="1020" w:type="dxa"/>
            <w:vAlign w:val="bottom"/>
          </w:tcPr>
          <w:p>
            <w:pPr>
              <w:jc w:val="right"/>
              <w:spacing w:after="0" w:line="117"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57"/>
              <w:spacing w:after="0" w:line="117" w:lineRule="exact"/>
              <w:rPr>
                <w:sz w:val="20"/>
                <w:szCs w:val="20"/>
                <w:color w:val="auto"/>
              </w:rPr>
            </w:pPr>
            <w:r>
              <w:rPr>
                <w:rFonts w:ascii="Arial" w:cs="Arial" w:eastAsia="Arial" w:hAnsi="Arial"/>
                <w:sz w:val="13"/>
                <w:szCs w:val="13"/>
                <w:color w:val="auto"/>
              </w:rPr>
              <w:t>331,114</w:t>
            </w:r>
          </w:p>
        </w:tc>
        <w:tc>
          <w:tcPr>
            <w:tcW w:w="80" w:type="dxa"/>
            <w:vAlign w:val="bottom"/>
            <w:shd w:val="clear" w:color="auto" w:fill="F3F3F4"/>
          </w:tcPr>
          <w:p>
            <w:pPr>
              <w:spacing w:after="0"/>
              <w:rPr>
                <w:sz w:val="10"/>
                <w:szCs w:val="10"/>
                <w:color w:val="auto"/>
              </w:rPr>
            </w:pPr>
          </w:p>
        </w:tc>
        <w:tc>
          <w:tcPr>
            <w:tcW w:w="800" w:type="dxa"/>
            <w:vAlign w:val="bottom"/>
            <w:shd w:val="clear" w:color="auto" w:fill="F3F3F4"/>
          </w:tcPr>
          <w:p>
            <w:pPr>
              <w:jc w:val="right"/>
              <w:ind w:right="37"/>
              <w:spacing w:after="0" w:line="117" w:lineRule="exact"/>
              <w:rPr>
                <w:sz w:val="20"/>
                <w:szCs w:val="20"/>
                <w:color w:val="auto"/>
              </w:rPr>
            </w:pPr>
            <w:r>
              <w:rPr>
                <w:rFonts w:ascii="Arial" w:cs="Arial" w:eastAsia="Arial" w:hAnsi="Arial"/>
                <w:sz w:val="13"/>
                <w:szCs w:val="13"/>
                <w:color w:val="auto"/>
              </w:rPr>
              <w:t>6,707,427</w:t>
            </w:r>
          </w:p>
        </w:tc>
        <w:tc>
          <w:tcPr>
            <w:tcW w:w="0" w:type="dxa"/>
            <w:vAlign w:val="bottom"/>
          </w:tcPr>
          <w:p>
            <w:pPr>
              <w:spacing w:after="0"/>
              <w:rPr>
                <w:sz w:val="1"/>
                <w:szCs w:val="1"/>
                <w:color w:val="auto"/>
              </w:rPr>
            </w:pPr>
          </w:p>
        </w:tc>
      </w:tr>
      <w:tr>
        <w:trPr>
          <w:trHeight w:val="153"/>
        </w:trPr>
        <w:tc>
          <w:tcPr>
            <w:tcW w:w="1800" w:type="dxa"/>
            <w:vAlign w:val="bottom"/>
            <w:vMerge w:val="restart"/>
          </w:tcPr>
          <w:p>
            <w:pPr>
              <w:spacing w:after="0"/>
              <w:rPr>
                <w:sz w:val="20"/>
                <w:szCs w:val="20"/>
                <w:color w:val="auto"/>
              </w:rPr>
            </w:pPr>
            <w:r>
              <w:rPr>
                <w:rFonts w:ascii="Arial" w:cs="Arial" w:eastAsia="Arial" w:hAnsi="Arial"/>
                <w:sz w:val="13"/>
                <w:szCs w:val="13"/>
                <w:b w:val="1"/>
                <w:bCs w:val="1"/>
                <w:color w:val="auto"/>
              </w:rPr>
              <w:t>Ben C. Rodgers</w:t>
            </w:r>
            <w:r>
              <w:rPr>
                <w:rFonts w:ascii="Arial" w:cs="Arial" w:eastAsia="Arial" w:hAnsi="Arial"/>
                <w:sz w:val="16"/>
                <w:szCs w:val="16"/>
                <w:color w:val="auto"/>
                <w:vertAlign w:val="superscript"/>
              </w:rPr>
              <w:t>(5)</w:t>
            </w:r>
          </w:p>
        </w:tc>
        <w:tc>
          <w:tcPr>
            <w:tcW w:w="560" w:type="dxa"/>
            <w:vAlign w:val="bottom"/>
          </w:tcPr>
          <w:p>
            <w:pPr>
              <w:ind w:left="140"/>
              <w:spacing w:after="0"/>
              <w:rPr>
                <w:sz w:val="20"/>
                <w:szCs w:val="20"/>
                <w:color w:val="auto"/>
              </w:rPr>
            </w:pPr>
            <w:r>
              <w:rPr>
                <w:rFonts w:ascii="Arial" w:cs="Arial" w:eastAsia="Arial" w:hAnsi="Arial"/>
                <w:sz w:val="13"/>
                <w:szCs w:val="13"/>
                <w:color w:val="auto"/>
              </w:rPr>
              <w:t>2023</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795,000</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4,414,677</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1,160,700</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307,392</w:t>
            </w:r>
          </w:p>
        </w:tc>
        <w:tc>
          <w:tcPr>
            <w:tcW w:w="80" w:type="dxa"/>
            <w:vAlign w:val="bottom"/>
            <w:shd w:val="clear" w:color="auto" w:fill="F3F3F4"/>
          </w:tcPr>
          <w:p>
            <w:pPr>
              <w:spacing w:after="0"/>
              <w:rPr>
                <w:sz w:val="13"/>
                <w:szCs w:val="13"/>
                <w:color w:val="auto"/>
              </w:rPr>
            </w:pPr>
          </w:p>
        </w:tc>
        <w:tc>
          <w:tcPr>
            <w:tcW w:w="800" w:type="dxa"/>
            <w:vAlign w:val="bottom"/>
            <w:shd w:val="clear" w:color="auto" w:fill="F3F3F4"/>
          </w:tcPr>
          <w:p>
            <w:pPr>
              <w:jc w:val="right"/>
              <w:ind w:right="37"/>
              <w:spacing w:after="0"/>
              <w:rPr>
                <w:sz w:val="20"/>
                <w:szCs w:val="20"/>
                <w:color w:val="auto"/>
              </w:rPr>
            </w:pPr>
            <w:r>
              <w:rPr>
                <w:rFonts w:ascii="Arial" w:cs="Arial" w:eastAsia="Arial" w:hAnsi="Arial"/>
                <w:sz w:val="13"/>
                <w:szCs w:val="13"/>
                <w:color w:val="auto"/>
              </w:rPr>
              <w:t>6,677,769</w:t>
            </w:r>
          </w:p>
        </w:tc>
        <w:tc>
          <w:tcPr>
            <w:tcW w:w="0" w:type="dxa"/>
            <w:vAlign w:val="bottom"/>
          </w:tcPr>
          <w:p>
            <w:pPr>
              <w:spacing w:after="0"/>
              <w:rPr>
                <w:sz w:val="1"/>
                <w:szCs w:val="1"/>
                <w:color w:val="auto"/>
              </w:rPr>
            </w:pPr>
          </w:p>
        </w:tc>
      </w:tr>
      <w:tr>
        <w:trPr>
          <w:trHeight w:val="131"/>
        </w:trPr>
        <w:tc>
          <w:tcPr>
            <w:tcW w:w="1800" w:type="dxa"/>
            <w:vAlign w:val="bottom"/>
            <w:vMerge w:val="continue"/>
          </w:tcPr>
          <w:p>
            <w:pPr>
              <w:spacing w:after="0"/>
              <w:rPr>
                <w:sz w:val="11"/>
                <w:szCs w:val="11"/>
                <w:color w:val="auto"/>
              </w:rPr>
            </w:pPr>
          </w:p>
        </w:tc>
        <w:tc>
          <w:tcPr>
            <w:tcW w:w="560" w:type="dxa"/>
            <w:vAlign w:val="bottom"/>
          </w:tcPr>
          <w:p>
            <w:pPr>
              <w:ind w:left="140"/>
              <w:spacing w:after="0" w:line="131" w:lineRule="exact"/>
              <w:rPr>
                <w:sz w:val="20"/>
                <w:szCs w:val="20"/>
                <w:color w:val="auto"/>
              </w:rPr>
            </w:pPr>
            <w:r>
              <w:rPr>
                <w:rFonts w:ascii="Arial" w:cs="Arial" w:eastAsia="Arial" w:hAnsi="Arial"/>
                <w:sz w:val="13"/>
                <w:szCs w:val="13"/>
                <w:color w:val="auto"/>
              </w:rPr>
              <w:t>2025</w:t>
            </w:r>
          </w:p>
        </w:tc>
        <w:tc>
          <w:tcPr>
            <w:tcW w:w="860" w:type="dxa"/>
            <w:vAlign w:val="bottom"/>
          </w:tcPr>
          <w:p>
            <w:pPr>
              <w:jc w:val="right"/>
              <w:ind w:right="97"/>
              <w:spacing w:after="0" w:line="131" w:lineRule="exact"/>
              <w:rPr>
                <w:sz w:val="20"/>
                <w:szCs w:val="20"/>
                <w:color w:val="auto"/>
              </w:rPr>
            </w:pPr>
            <w:r>
              <w:rPr>
                <w:rFonts w:ascii="Arial" w:cs="Arial" w:eastAsia="Arial" w:hAnsi="Arial"/>
                <w:sz w:val="13"/>
                <w:szCs w:val="13"/>
                <w:color w:val="auto"/>
              </w:rPr>
              <w:t>580,232</w:t>
            </w:r>
          </w:p>
        </w:tc>
        <w:tc>
          <w:tcPr>
            <w:tcW w:w="760" w:type="dxa"/>
            <w:vAlign w:val="bottom"/>
          </w:tcPr>
          <w:p>
            <w:pPr>
              <w:jc w:val="right"/>
              <w:ind w:right="77"/>
              <w:spacing w:after="0" w:line="131" w:lineRule="exact"/>
              <w:rPr>
                <w:sz w:val="20"/>
                <w:szCs w:val="20"/>
                <w:color w:val="auto"/>
              </w:rPr>
            </w:pPr>
            <w:r>
              <w:rPr>
                <w:rFonts w:ascii="Arial" w:cs="Arial" w:eastAsia="Arial" w:hAnsi="Arial"/>
                <w:sz w:val="13"/>
                <w:szCs w:val="13"/>
                <w:color w:val="auto"/>
              </w:rPr>
              <w:t>53,873</w:t>
            </w:r>
          </w:p>
        </w:tc>
        <w:tc>
          <w:tcPr>
            <w:tcW w:w="800" w:type="dxa"/>
            <w:vAlign w:val="bottom"/>
          </w:tcPr>
          <w:p>
            <w:pPr>
              <w:jc w:val="right"/>
              <w:ind w:right="57"/>
              <w:spacing w:after="0" w:line="131" w:lineRule="exact"/>
              <w:rPr>
                <w:sz w:val="20"/>
                <w:szCs w:val="20"/>
                <w:color w:val="auto"/>
              </w:rPr>
            </w:pPr>
            <w:r>
              <w:rPr>
                <w:rFonts w:ascii="Arial" w:cs="Arial" w:eastAsia="Arial" w:hAnsi="Arial"/>
                <w:sz w:val="13"/>
                <w:szCs w:val="13"/>
                <w:color w:val="auto"/>
              </w:rPr>
              <w:t>951,232</w:t>
            </w:r>
          </w:p>
        </w:tc>
        <w:tc>
          <w:tcPr>
            <w:tcW w:w="760" w:type="dxa"/>
            <w:vAlign w:val="bottom"/>
          </w:tcPr>
          <w:p>
            <w:pPr>
              <w:jc w:val="right"/>
              <w:ind w:right="17"/>
              <w:spacing w:after="0" w:line="131" w:lineRule="exact"/>
              <w:rPr>
                <w:sz w:val="20"/>
                <w:szCs w:val="20"/>
                <w:color w:val="auto"/>
              </w:rPr>
            </w:pPr>
            <w:r>
              <w:rPr>
                <w:rFonts w:ascii="Arial" w:cs="Arial" w:eastAsia="Arial" w:hAnsi="Arial"/>
                <w:sz w:val="13"/>
                <w:szCs w:val="13"/>
                <w:color w:val="auto"/>
              </w:rPr>
              <w:t>299,993</w:t>
            </w:r>
          </w:p>
        </w:tc>
        <w:tc>
          <w:tcPr>
            <w:tcW w:w="1100" w:type="dxa"/>
            <w:vAlign w:val="bottom"/>
          </w:tcPr>
          <w:p>
            <w:pPr>
              <w:jc w:val="right"/>
              <w:spacing w:after="0" w:line="131" w:lineRule="exact"/>
              <w:rPr>
                <w:sz w:val="20"/>
                <w:szCs w:val="20"/>
                <w:color w:val="auto"/>
              </w:rPr>
            </w:pPr>
            <w:r>
              <w:rPr>
                <w:rFonts w:ascii="Arial" w:cs="Arial" w:eastAsia="Arial" w:hAnsi="Arial"/>
                <w:sz w:val="13"/>
                <w:szCs w:val="13"/>
                <w:color w:val="auto"/>
              </w:rPr>
              <w:t>1,002,468</w:t>
            </w:r>
          </w:p>
        </w:tc>
        <w:tc>
          <w:tcPr>
            <w:tcW w:w="10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180" w:type="dxa"/>
            <w:vAlign w:val="bottom"/>
            <w:tcBorders>
              <w:right w:val="single" w:sz="8" w:color="F3F3F4"/>
            </w:tcBorders>
          </w:tcPr>
          <w:p>
            <w:pPr>
              <w:jc w:val="right"/>
              <w:ind w:right="57"/>
              <w:spacing w:after="0" w:line="131" w:lineRule="exact"/>
              <w:rPr>
                <w:sz w:val="20"/>
                <w:szCs w:val="20"/>
                <w:color w:val="auto"/>
              </w:rPr>
            </w:pPr>
            <w:r>
              <w:rPr>
                <w:rFonts w:ascii="Arial" w:cs="Arial" w:eastAsia="Arial" w:hAnsi="Arial"/>
                <w:sz w:val="13"/>
                <w:szCs w:val="13"/>
                <w:color w:val="auto"/>
              </w:rPr>
              <w:t>156,596</w:t>
            </w:r>
          </w:p>
        </w:tc>
        <w:tc>
          <w:tcPr>
            <w:tcW w:w="80" w:type="dxa"/>
            <w:vAlign w:val="bottom"/>
            <w:shd w:val="clear" w:color="auto" w:fill="F3F3F4"/>
          </w:tcPr>
          <w:p>
            <w:pPr>
              <w:spacing w:after="0"/>
              <w:rPr>
                <w:sz w:val="11"/>
                <w:szCs w:val="11"/>
                <w:color w:val="auto"/>
              </w:rPr>
            </w:pPr>
          </w:p>
        </w:tc>
        <w:tc>
          <w:tcPr>
            <w:tcW w:w="800" w:type="dxa"/>
            <w:vAlign w:val="bottom"/>
            <w:shd w:val="clear" w:color="auto" w:fill="F3F3F4"/>
          </w:tcPr>
          <w:p>
            <w:pPr>
              <w:jc w:val="right"/>
              <w:ind w:right="37"/>
              <w:spacing w:after="0" w:line="131" w:lineRule="exact"/>
              <w:rPr>
                <w:sz w:val="20"/>
                <w:szCs w:val="20"/>
                <w:color w:val="auto"/>
              </w:rPr>
            </w:pPr>
            <w:r>
              <w:rPr>
                <w:rFonts w:ascii="Arial" w:cs="Arial" w:eastAsia="Arial" w:hAnsi="Arial"/>
                <w:sz w:val="13"/>
                <w:szCs w:val="13"/>
                <w:color w:val="auto"/>
              </w:rPr>
              <w:t>3,044,394</w:t>
            </w:r>
          </w:p>
        </w:tc>
        <w:tc>
          <w:tcPr>
            <w:tcW w:w="0" w:type="dxa"/>
            <w:vAlign w:val="bottom"/>
          </w:tcPr>
          <w:p>
            <w:pPr>
              <w:spacing w:after="0"/>
              <w:rPr>
                <w:sz w:val="1"/>
                <w:szCs w:val="1"/>
                <w:color w:val="auto"/>
              </w:rPr>
            </w:pPr>
          </w:p>
        </w:tc>
      </w:tr>
      <w:tr>
        <w:trPr>
          <w:trHeight w:val="153"/>
        </w:trPr>
        <w:tc>
          <w:tcPr>
            <w:tcW w:w="18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EVP, Chief Financial Officer</w:t>
            </w: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F3F3F4"/>
            </w:tcBorders>
          </w:tcPr>
          <w:p>
            <w:pPr>
              <w:spacing w:after="0"/>
              <w:rPr>
                <w:sz w:val="13"/>
                <w:szCs w:val="13"/>
                <w:color w:val="auto"/>
              </w:rPr>
            </w:pPr>
          </w:p>
        </w:tc>
        <w:tc>
          <w:tcPr>
            <w:tcW w:w="80" w:type="dxa"/>
            <w:vAlign w:val="bottom"/>
            <w:tcBorders>
              <w:bottom w:val="single" w:sz="8" w:color="auto"/>
            </w:tcBorders>
            <w:shd w:val="clear" w:color="auto" w:fill="F3F3F4"/>
          </w:tcPr>
          <w:p>
            <w:pPr>
              <w:spacing w:after="0"/>
              <w:rPr>
                <w:sz w:val="13"/>
                <w:szCs w:val="13"/>
                <w:color w:val="auto"/>
              </w:rPr>
            </w:pPr>
          </w:p>
        </w:tc>
        <w:tc>
          <w:tcPr>
            <w:tcW w:w="800" w:type="dxa"/>
            <w:vAlign w:val="bottom"/>
            <w:tcBorders>
              <w:bottom w:val="single" w:sz="8" w:color="auto"/>
            </w:tcBorders>
            <w:shd w:val="clear" w:color="auto" w:fill="F3F3F4"/>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800" w:type="dxa"/>
            <w:vAlign w:val="bottom"/>
          </w:tcPr>
          <w:p>
            <w:pPr>
              <w:spacing w:after="0" w:line="111" w:lineRule="exact"/>
              <w:rPr>
                <w:sz w:val="20"/>
                <w:szCs w:val="20"/>
                <w:color w:val="auto"/>
              </w:rPr>
            </w:pPr>
            <w:r>
              <w:rPr>
                <w:rFonts w:ascii="Arial" w:cs="Arial" w:eastAsia="Arial" w:hAnsi="Arial"/>
                <w:sz w:val="12"/>
                <w:szCs w:val="12"/>
                <w:b w:val="1"/>
                <w:bCs w:val="1"/>
                <w:color w:val="auto"/>
              </w:rPr>
              <w:t>Tracey K. Henderson</w:t>
            </w:r>
          </w:p>
        </w:tc>
        <w:tc>
          <w:tcPr>
            <w:tcW w:w="560" w:type="dxa"/>
            <w:vAlign w:val="bottom"/>
          </w:tcPr>
          <w:p>
            <w:pPr>
              <w:ind w:left="140"/>
              <w:spacing w:after="0" w:line="111" w:lineRule="exact"/>
              <w:rPr>
                <w:sz w:val="20"/>
                <w:szCs w:val="20"/>
                <w:color w:val="auto"/>
              </w:rPr>
            </w:pPr>
            <w:r>
              <w:rPr>
                <w:rFonts w:ascii="Arial" w:cs="Arial" w:eastAsia="Arial" w:hAnsi="Arial"/>
                <w:sz w:val="12"/>
                <w:szCs w:val="12"/>
                <w:color w:val="auto"/>
              </w:rPr>
              <w:t>2025</w:t>
            </w:r>
          </w:p>
        </w:tc>
        <w:tc>
          <w:tcPr>
            <w:tcW w:w="860" w:type="dxa"/>
            <w:vAlign w:val="bottom"/>
          </w:tcPr>
          <w:p>
            <w:pPr>
              <w:jc w:val="right"/>
              <w:ind w:right="97"/>
              <w:spacing w:after="0" w:line="111" w:lineRule="exact"/>
              <w:rPr>
                <w:sz w:val="20"/>
                <w:szCs w:val="20"/>
                <w:color w:val="auto"/>
              </w:rPr>
            </w:pPr>
            <w:r>
              <w:rPr>
                <w:rFonts w:ascii="Arial" w:cs="Arial" w:eastAsia="Arial" w:hAnsi="Arial"/>
                <w:sz w:val="12"/>
                <w:szCs w:val="12"/>
                <w:color w:val="auto"/>
              </w:rPr>
              <w:t>625,000</w:t>
            </w:r>
          </w:p>
        </w:tc>
        <w:tc>
          <w:tcPr>
            <w:tcW w:w="760" w:type="dxa"/>
            <w:vAlign w:val="bottom"/>
          </w:tcPr>
          <w:p>
            <w:pPr>
              <w:jc w:val="right"/>
              <w:ind w:right="77"/>
              <w:spacing w:after="0" w:line="111"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57"/>
              <w:spacing w:after="0" w:line="111" w:lineRule="exact"/>
              <w:rPr>
                <w:sz w:val="20"/>
                <w:szCs w:val="20"/>
                <w:color w:val="auto"/>
              </w:rPr>
            </w:pPr>
            <w:r>
              <w:rPr>
                <w:rFonts w:ascii="Arial" w:cs="Arial" w:eastAsia="Arial" w:hAnsi="Arial"/>
                <w:sz w:val="12"/>
                <w:szCs w:val="12"/>
                <w:color w:val="auto"/>
              </w:rPr>
              <w:t>1,387,251</w:t>
            </w:r>
          </w:p>
        </w:tc>
        <w:tc>
          <w:tcPr>
            <w:tcW w:w="760" w:type="dxa"/>
            <w:vAlign w:val="bottom"/>
          </w:tcPr>
          <w:p>
            <w:pPr>
              <w:jc w:val="right"/>
              <w:ind w:right="17"/>
              <w:spacing w:after="0" w:line="111" w:lineRule="exact"/>
              <w:rPr>
                <w:sz w:val="20"/>
                <w:szCs w:val="20"/>
                <w:color w:val="auto"/>
              </w:rPr>
            </w:pPr>
            <w:r>
              <w:rPr>
                <w:rFonts w:ascii="Arial" w:cs="Arial" w:eastAsia="Arial" w:hAnsi="Arial"/>
                <w:sz w:val="12"/>
                <w:szCs w:val="12"/>
                <w:color w:val="auto"/>
              </w:rPr>
              <w:t>437,498</w:t>
            </w:r>
          </w:p>
        </w:tc>
        <w:tc>
          <w:tcPr>
            <w:tcW w:w="1100" w:type="dxa"/>
            <w:vAlign w:val="bottom"/>
          </w:tcPr>
          <w:p>
            <w:pPr>
              <w:jc w:val="right"/>
              <w:spacing w:after="0" w:line="111" w:lineRule="exact"/>
              <w:rPr>
                <w:sz w:val="20"/>
                <w:szCs w:val="20"/>
                <w:color w:val="auto"/>
              </w:rPr>
            </w:pPr>
            <w:r>
              <w:rPr>
                <w:rFonts w:ascii="Arial" w:cs="Arial" w:eastAsia="Arial" w:hAnsi="Arial"/>
                <w:sz w:val="12"/>
                <w:szCs w:val="12"/>
                <w:color w:val="auto"/>
              </w:rPr>
              <w:t>1,186,250</w:t>
            </w:r>
          </w:p>
        </w:tc>
        <w:tc>
          <w:tcPr>
            <w:tcW w:w="102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1180" w:type="dxa"/>
            <w:vAlign w:val="bottom"/>
            <w:tcBorders>
              <w:right w:val="single" w:sz="8" w:color="F3F3F4"/>
            </w:tcBorders>
          </w:tcPr>
          <w:p>
            <w:pPr>
              <w:jc w:val="right"/>
              <w:ind w:right="57"/>
              <w:spacing w:after="0" w:line="111" w:lineRule="exact"/>
              <w:rPr>
                <w:sz w:val="20"/>
                <w:szCs w:val="20"/>
                <w:color w:val="auto"/>
              </w:rPr>
            </w:pPr>
            <w:r>
              <w:rPr>
                <w:rFonts w:ascii="Arial" w:cs="Arial" w:eastAsia="Arial" w:hAnsi="Arial"/>
                <w:sz w:val="12"/>
                <w:szCs w:val="12"/>
                <w:color w:val="auto"/>
              </w:rPr>
              <w:t>207,890</w:t>
            </w:r>
          </w:p>
        </w:tc>
        <w:tc>
          <w:tcPr>
            <w:tcW w:w="80" w:type="dxa"/>
            <w:vAlign w:val="bottom"/>
            <w:shd w:val="clear" w:color="auto" w:fill="F3F3F4"/>
          </w:tcPr>
          <w:p>
            <w:pPr>
              <w:spacing w:after="0"/>
              <w:rPr>
                <w:sz w:val="9"/>
                <w:szCs w:val="9"/>
                <w:color w:val="auto"/>
              </w:rPr>
            </w:pPr>
          </w:p>
        </w:tc>
        <w:tc>
          <w:tcPr>
            <w:tcW w:w="800" w:type="dxa"/>
            <w:vAlign w:val="bottom"/>
            <w:shd w:val="clear" w:color="auto" w:fill="F3F3F4"/>
          </w:tcPr>
          <w:p>
            <w:pPr>
              <w:jc w:val="right"/>
              <w:ind w:right="37"/>
              <w:spacing w:after="0" w:line="111" w:lineRule="exact"/>
              <w:rPr>
                <w:sz w:val="20"/>
                <w:szCs w:val="20"/>
                <w:color w:val="auto"/>
              </w:rPr>
            </w:pPr>
            <w:r>
              <w:rPr>
                <w:rFonts w:ascii="Arial" w:cs="Arial" w:eastAsia="Arial" w:hAnsi="Arial"/>
                <w:sz w:val="12"/>
                <w:szCs w:val="12"/>
                <w:color w:val="auto"/>
              </w:rPr>
              <w:t>3,843,889</w:t>
            </w: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3"/>
                <w:szCs w:val="13"/>
                <w:color w:val="auto"/>
              </w:rPr>
              <w:t>EVP, Exploration</w:t>
            </w:r>
          </w:p>
        </w:tc>
        <w:tc>
          <w:tcPr>
            <w:tcW w:w="560" w:type="dxa"/>
            <w:vAlign w:val="bottom"/>
          </w:tcPr>
          <w:p>
            <w:pPr>
              <w:ind w:left="140"/>
              <w:spacing w:after="0" w:line="135" w:lineRule="exact"/>
              <w:rPr>
                <w:sz w:val="20"/>
                <w:szCs w:val="20"/>
                <w:color w:val="auto"/>
              </w:rPr>
            </w:pPr>
            <w:r>
              <w:rPr>
                <w:rFonts w:ascii="Arial" w:cs="Arial" w:eastAsia="Arial" w:hAnsi="Arial"/>
                <w:sz w:val="13"/>
                <w:szCs w:val="13"/>
                <w:color w:val="auto"/>
              </w:rPr>
              <w:t>2024</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625,000</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1,741,482</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681,250</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tcBorders>
              <w:right w:val="single" w:sz="8" w:color="F3F3F4"/>
            </w:tcBorders>
          </w:tcPr>
          <w:p>
            <w:pPr>
              <w:jc w:val="right"/>
              <w:ind w:right="57"/>
              <w:spacing w:after="0" w:line="135" w:lineRule="exact"/>
              <w:rPr>
                <w:sz w:val="20"/>
                <w:szCs w:val="20"/>
                <w:color w:val="auto"/>
              </w:rPr>
            </w:pPr>
            <w:r>
              <w:rPr>
                <w:rFonts w:ascii="Arial" w:cs="Arial" w:eastAsia="Arial" w:hAnsi="Arial"/>
                <w:sz w:val="13"/>
                <w:szCs w:val="13"/>
                <w:color w:val="auto"/>
              </w:rPr>
              <w:t>238,636</w:t>
            </w:r>
          </w:p>
        </w:tc>
        <w:tc>
          <w:tcPr>
            <w:tcW w:w="80" w:type="dxa"/>
            <w:vAlign w:val="bottom"/>
            <w:shd w:val="clear" w:color="auto" w:fill="F3F3F4"/>
          </w:tcPr>
          <w:p>
            <w:pPr>
              <w:spacing w:after="0"/>
              <w:rPr>
                <w:sz w:val="11"/>
                <w:szCs w:val="11"/>
                <w:color w:val="auto"/>
              </w:rPr>
            </w:pPr>
          </w:p>
        </w:tc>
        <w:tc>
          <w:tcPr>
            <w:tcW w:w="800" w:type="dxa"/>
            <w:vAlign w:val="bottom"/>
            <w:shd w:val="clear" w:color="auto" w:fill="F3F3F4"/>
          </w:tcPr>
          <w:p>
            <w:pPr>
              <w:jc w:val="right"/>
              <w:ind w:right="37"/>
              <w:spacing w:after="0" w:line="135" w:lineRule="exact"/>
              <w:rPr>
                <w:sz w:val="20"/>
                <w:szCs w:val="20"/>
                <w:color w:val="auto"/>
              </w:rPr>
            </w:pPr>
            <w:r>
              <w:rPr>
                <w:rFonts w:ascii="Arial" w:cs="Arial" w:eastAsia="Arial" w:hAnsi="Arial"/>
                <w:sz w:val="13"/>
                <w:szCs w:val="13"/>
                <w:color w:val="auto"/>
              </w:rPr>
              <w:t>3,286,368</w:t>
            </w:r>
          </w:p>
        </w:tc>
        <w:tc>
          <w:tcPr>
            <w:tcW w:w="0" w:type="dxa"/>
            <w:vAlign w:val="bottom"/>
          </w:tcPr>
          <w:p>
            <w:pPr>
              <w:spacing w:after="0"/>
              <w:rPr>
                <w:sz w:val="1"/>
                <w:szCs w:val="1"/>
                <w:color w:val="auto"/>
              </w:rPr>
            </w:pPr>
          </w:p>
        </w:tc>
      </w:tr>
      <w:tr>
        <w:trPr>
          <w:trHeight w:val="153"/>
        </w:trPr>
        <w:tc>
          <w:tcPr>
            <w:tcW w:w="1800" w:type="dxa"/>
            <w:vAlign w:val="bottom"/>
            <w:vMerge w:val="restart"/>
          </w:tcPr>
          <w:p>
            <w:pPr>
              <w:spacing w:after="0"/>
              <w:rPr>
                <w:sz w:val="20"/>
                <w:szCs w:val="20"/>
                <w:color w:val="auto"/>
              </w:rPr>
            </w:pPr>
            <w:r>
              <w:rPr>
                <w:rFonts w:ascii="Arial" w:cs="Arial" w:eastAsia="Arial" w:hAnsi="Arial"/>
                <w:sz w:val="13"/>
                <w:szCs w:val="13"/>
                <w:b w:val="1"/>
                <w:bCs w:val="1"/>
                <w:color w:val="auto"/>
              </w:rPr>
              <w:t>Kimberly O. Warnica</w:t>
            </w:r>
            <w:r>
              <w:rPr>
                <w:rFonts w:ascii="Arial" w:cs="Arial" w:eastAsia="Arial" w:hAnsi="Arial"/>
                <w:sz w:val="16"/>
                <w:szCs w:val="16"/>
                <w:color w:val="auto"/>
                <w:vertAlign w:val="superscript"/>
              </w:rPr>
              <w:t>(6)</w:t>
            </w:r>
          </w:p>
        </w:tc>
        <w:tc>
          <w:tcPr>
            <w:tcW w:w="560" w:type="dxa"/>
            <w:vAlign w:val="bottom"/>
          </w:tcPr>
          <w:p>
            <w:pPr>
              <w:ind w:left="140"/>
              <w:spacing w:after="0"/>
              <w:rPr>
                <w:sz w:val="20"/>
                <w:szCs w:val="20"/>
                <w:color w:val="auto"/>
              </w:rPr>
            </w:pPr>
            <w:r>
              <w:rPr>
                <w:rFonts w:ascii="Arial" w:cs="Arial" w:eastAsia="Arial" w:hAnsi="Arial"/>
                <w:sz w:val="13"/>
                <w:szCs w:val="13"/>
                <w:color w:val="auto"/>
              </w:rPr>
              <w:t>2023</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625,000</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2,429,421</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912,500</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F3F3F4"/>
            </w:tcBorders>
          </w:tcPr>
          <w:p>
            <w:pPr>
              <w:jc w:val="right"/>
              <w:ind w:right="57"/>
              <w:spacing w:after="0"/>
              <w:rPr>
                <w:sz w:val="20"/>
                <w:szCs w:val="20"/>
                <w:color w:val="auto"/>
              </w:rPr>
            </w:pPr>
            <w:r>
              <w:rPr>
                <w:rFonts w:ascii="Arial" w:cs="Arial" w:eastAsia="Arial" w:hAnsi="Arial"/>
                <w:sz w:val="13"/>
                <w:szCs w:val="13"/>
                <w:color w:val="auto"/>
              </w:rPr>
              <w:t>201,699</w:t>
            </w:r>
          </w:p>
        </w:tc>
        <w:tc>
          <w:tcPr>
            <w:tcW w:w="80" w:type="dxa"/>
            <w:vAlign w:val="bottom"/>
            <w:shd w:val="clear" w:color="auto" w:fill="F3F3F4"/>
          </w:tcPr>
          <w:p>
            <w:pPr>
              <w:spacing w:after="0"/>
              <w:rPr>
                <w:sz w:val="13"/>
                <w:szCs w:val="13"/>
                <w:color w:val="auto"/>
              </w:rPr>
            </w:pPr>
          </w:p>
        </w:tc>
        <w:tc>
          <w:tcPr>
            <w:tcW w:w="800" w:type="dxa"/>
            <w:vAlign w:val="bottom"/>
            <w:shd w:val="clear" w:color="auto" w:fill="F3F3F4"/>
          </w:tcPr>
          <w:p>
            <w:pPr>
              <w:jc w:val="right"/>
              <w:ind w:right="37"/>
              <w:spacing w:after="0"/>
              <w:rPr>
                <w:sz w:val="20"/>
                <w:szCs w:val="20"/>
                <w:color w:val="auto"/>
              </w:rPr>
            </w:pPr>
            <w:r>
              <w:rPr>
                <w:rFonts w:ascii="Arial" w:cs="Arial" w:eastAsia="Arial" w:hAnsi="Arial"/>
                <w:sz w:val="13"/>
                <w:szCs w:val="13"/>
                <w:color w:val="auto"/>
              </w:rPr>
              <w:t>4,168,620</w:t>
            </w:r>
          </w:p>
        </w:tc>
        <w:tc>
          <w:tcPr>
            <w:tcW w:w="0" w:type="dxa"/>
            <w:vAlign w:val="bottom"/>
          </w:tcPr>
          <w:p>
            <w:pPr>
              <w:spacing w:after="0"/>
              <w:rPr>
                <w:sz w:val="1"/>
                <w:szCs w:val="1"/>
                <w:color w:val="auto"/>
              </w:rPr>
            </w:pPr>
          </w:p>
        </w:tc>
      </w:tr>
      <w:tr>
        <w:trPr>
          <w:trHeight w:val="131"/>
        </w:trPr>
        <w:tc>
          <w:tcPr>
            <w:tcW w:w="1800" w:type="dxa"/>
            <w:vAlign w:val="bottom"/>
            <w:vMerge w:val="continue"/>
          </w:tcPr>
          <w:p>
            <w:pPr>
              <w:spacing w:after="0"/>
              <w:rPr>
                <w:sz w:val="11"/>
                <w:szCs w:val="11"/>
                <w:color w:val="auto"/>
              </w:rPr>
            </w:pPr>
          </w:p>
        </w:tc>
        <w:tc>
          <w:tcPr>
            <w:tcW w:w="560" w:type="dxa"/>
            <w:vAlign w:val="bottom"/>
          </w:tcPr>
          <w:p>
            <w:pPr>
              <w:ind w:left="140"/>
              <w:spacing w:after="0" w:line="131" w:lineRule="exact"/>
              <w:rPr>
                <w:sz w:val="20"/>
                <w:szCs w:val="20"/>
                <w:color w:val="auto"/>
              </w:rPr>
            </w:pPr>
            <w:r>
              <w:rPr>
                <w:rFonts w:ascii="Arial" w:cs="Arial" w:eastAsia="Arial" w:hAnsi="Arial"/>
                <w:sz w:val="13"/>
                <w:szCs w:val="13"/>
                <w:color w:val="auto"/>
              </w:rPr>
              <w:t>2025</w:t>
            </w:r>
          </w:p>
        </w:tc>
        <w:tc>
          <w:tcPr>
            <w:tcW w:w="860" w:type="dxa"/>
            <w:vAlign w:val="bottom"/>
          </w:tcPr>
          <w:p>
            <w:pPr>
              <w:jc w:val="right"/>
              <w:ind w:right="97"/>
              <w:spacing w:after="0" w:line="131" w:lineRule="exact"/>
              <w:rPr>
                <w:sz w:val="20"/>
                <w:szCs w:val="20"/>
                <w:color w:val="auto"/>
              </w:rPr>
            </w:pPr>
            <w:r>
              <w:rPr>
                <w:rFonts w:ascii="Arial" w:cs="Arial" w:eastAsia="Arial" w:hAnsi="Arial"/>
                <w:sz w:val="13"/>
                <w:szCs w:val="13"/>
                <w:color w:val="auto"/>
              </w:rPr>
              <w:t>606,859</w:t>
            </w:r>
          </w:p>
        </w:tc>
        <w:tc>
          <w:tcPr>
            <w:tcW w:w="760" w:type="dxa"/>
            <w:vAlign w:val="bottom"/>
          </w:tcPr>
          <w:p>
            <w:pPr>
              <w:jc w:val="right"/>
              <w:ind w:right="77"/>
              <w:spacing w:after="0" w:line="131" w:lineRule="exact"/>
              <w:rPr>
                <w:sz w:val="20"/>
                <w:szCs w:val="20"/>
                <w:color w:val="auto"/>
              </w:rPr>
            </w:pPr>
            <w:r>
              <w:rPr>
                <w:rFonts w:ascii="Arial" w:cs="Arial" w:eastAsia="Arial" w:hAnsi="Arial"/>
                <w:sz w:val="13"/>
                <w:szCs w:val="13"/>
                <w:color w:val="auto"/>
              </w:rPr>
              <w:t>500,000</w:t>
            </w:r>
          </w:p>
        </w:tc>
        <w:tc>
          <w:tcPr>
            <w:tcW w:w="800" w:type="dxa"/>
            <w:vAlign w:val="bottom"/>
          </w:tcPr>
          <w:p>
            <w:pPr>
              <w:jc w:val="right"/>
              <w:ind w:right="57"/>
              <w:spacing w:after="0" w:line="131" w:lineRule="exact"/>
              <w:rPr>
                <w:sz w:val="20"/>
                <w:szCs w:val="20"/>
                <w:color w:val="auto"/>
              </w:rPr>
            </w:pPr>
            <w:r>
              <w:rPr>
                <w:rFonts w:ascii="Arial" w:cs="Arial" w:eastAsia="Arial" w:hAnsi="Arial"/>
                <w:sz w:val="13"/>
                <w:szCs w:val="13"/>
                <w:color w:val="auto"/>
              </w:rPr>
              <w:t>1,347,454</w:t>
            </w:r>
          </w:p>
        </w:tc>
        <w:tc>
          <w:tcPr>
            <w:tcW w:w="760" w:type="dxa"/>
            <w:vAlign w:val="bottom"/>
          </w:tcPr>
          <w:p>
            <w:pPr>
              <w:jc w:val="right"/>
              <w:ind w:right="17"/>
              <w:spacing w:after="0" w:line="131" w:lineRule="exact"/>
              <w:rPr>
                <w:sz w:val="20"/>
                <w:szCs w:val="20"/>
                <w:color w:val="auto"/>
              </w:rPr>
            </w:pPr>
            <w:r>
              <w:rPr>
                <w:rFonts w:ascii="Arial" w:cs="Arial" w:eastAsia="Arial" w:hAnsi="Arial"/>
                <w:sz w:val="13"/>
                <w:szCs w:val="13"/>
                <w:color w:val="auto"/>
              </w:rPr>
              <w:t>437,498</w:t>
            </w:r>
          </w:p>
        </w:tc>
        <w:tc>
          <w:tcPr>
            <w:tcW w:w="1100" w:type="dxa"/>
            <w:vAlign w:val="bottom"/>
          </w:tcPr>
          <w:p>
            <w:pPr>
              <w:jc w:val="right"/>
              <w:spacing w:after="0" w:line="131" w:lineRule="exact"/>
              <w:rPr>
                <w:sz w:val="20"/>
                <w:szCs w:val="20"/>
                <w:color w:val="auto"/>
              </w:rPr>
            </w:pPr>
            <w:r>
              <w:rPr>
                <w:rFonts w:ascii="Arial" w:cs="Arial" w:eastAsia="Arial" w:hAnsi="Arial"/>
                <w:sz w:val="13"/>
                <w:szCs w:val="13"/>
                <w:color w:val="auto"/>
              </w:rPr>
              <w:t>1,151,818</w:t>
            </w:r>
          </w:p>
        </w:tc>
        <w:tc>
          <w:tcPr>
            <w:tcW w:w="10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180" w:type="dxa"/>
            <w:vAlign w:val="bottom"/>
            <w:tcBorders>
              <w:right w:val="single" w:sz="8" w:color="F3F3F4"/>
            </w:tcBorders>
          </w:tcPr>
          <w:p>
            <w:pPr>
              <w:jc w:val="right"/>
              <w:ind w:right="57"/>
              <w:spacing w:after="0" w:line="131" w:lineRule="exact"/>
              <w:rPr>
                <w:sz w:val="20"/>
                <w:szCs w:val="20"/>
                <w:color w:val="auto"/>
              </w:rPr>
            </w:pPr>
            <w:r>
              <w:rPr>
                <w:rFonts w:ascii="Arial" w:cs="Arial" w:eastAsia="Arial" w:hAnsi="Arial"/>
                <w:sz w:val="13"/>
                <w:szCs w:val="13"/>
                <w:color w:val="auto"/>
              </w:rPr>
              <w:t>114,071</w:t>
            </w:r>
          </w:p>
        </w:tc>
        <w:tc>
          <w:tcPr>
            <w:tcW w:w="80" w:type="dxa"/>
            <w:vAlign w:val="bottom"/>
            <w:shd w:val="clear" w:color="auto" w:fill="F3F3F4"/>
          </w:tcPr>
          <w:p>
            <w:pPr>
              <w:spacing w:after="0"/>
              <w:rPr>
                <w:sz w:val="11"/>
                <w:szCs w:val="11"/>
                <w:color w:val="auto"/>
              </w:rPr>
            </w:pPr>
          </w:p>
        </w:tc>
        <w:tc>
          <w:tcPr>
            <w:tcW w:w="800" w:type="dxa"/>
            <w:vAlign w:val="bottom"/>
            <w:shd w:val="clear" w:color="auto" w:fill="F3F3F4"/>
          </w:tcPr>
          <w:p>
            <w:pPr>
              <w:jc w:val="right"/>
              <w:ind w:right="37"/>
              <w:spacing w:after="0" w:line="131" w:lineRule="exact"/>
              <w:rPr>
                <w:sz w:val="20"/>
                <w:szCs w:val="20"/>
                <w:color w:val="auto"/>
              </w:rPr>
            </w:pPr>
            <w:r>
              <w:rPr>
                <w:rFonts w:ascii="Arial" w:cs="Arial" w:eastAsia="Arial" w:hAnsi="Arial"/>
                <w:sz w:val="13"/>
                <w:szCs w:val="13"/>
                <w:color w:val="auto"/>
              </w:rPr>
              <w:t>4,157,700</w:t>
            </w: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3"/>
                <w:szCs w:val="13"/>
                <w:color w:val="auto"/>
              </w:rPr>
              <w:t>EVP, Chief Legal Officer, and</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Borders>
              <w:right w:val="single" w:sz="8" w:color="F3F3F4"/>
            </w:tcBorders>
          </w:tcPr>
          <w:p>
            <w:pPr>
              <w:spacing w:after="0"/>
              <w:rPr>
                <w:sz w:val="11"/>
                <w:szCs w:val="11"/>
                <w:color w:val="auto"/>
              </w:rPr>
            </w:pPr>
          </w:p>
        </w:tc>
        <w:tc>
          <w:tcPr>
            <w:tcW w:w="80" w:type="dxa"/>
            <w:vAlign w:val="bottom"/>
            <w:shd w:val="clear" w:color="auto" w:fill="F3F3F4"/>
          </w:tcPr>
          <w:p>
            <w:pPr>
              <w:spacing w:after="0"/>
              <w:rPr>
                <w:sz w:val="11"/>
                <w:szCs w:val="11"/>
                <w:color w:val="auto"/>
              </w:rPr>
            </w:pPr>
          </w:p>
        </w:tc>
        <w:tc>
          <w:tcPr>
            <w:tcW w:w="80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00" w:type="dxa"/>
            <w:vAlign w:val="bottom"/>
          </w:tcPr>
          <w:p>
            <w:pPr>
              <w:spacing w:after="0" w:line="126" w:lineRule="exact"/>
              <w:rPr>
                <w:sz w:val="20"/>
                <w:szCs w:val="20"/>
                <w:color w:val="auto"/>
              </w:rPr>
            </w:pPr>
            <w:r>
              <w:rPr>
                <w:rFonts w:ascii="Arial" w:cs="Arial" w:eastAsia="Arial" w:hAnsi="Arial"/>
                <w:sz w:val="13"/>
                <w:szCs w:val="13"/>
                <w:color w:val="auto"/>
              </w:rPr>
              <w:t>Corporate Secretary</w:t>
            </w: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80" w:type="dxa"/>
            <w:vAlign w:val="bottom"/>
            <w:tcBorders>
              <w:right w:val="single" w:sz="8" w:color="F3F3F4"/>
            </w:tcBorders>
          </w:tcPr>
          <w:p>
            <w:pPr>
              <w:spacing w:after="0"/>
              <w:rPr>
                <w:sz w:val="10"/>
                <w:szCs w:val="10"/>
                <w:color w:val="auto"/>
              </w:rPr>
            </w:pPr>
          </w:p>
        </w:tc>
        <w:tc>
          <w:tcPr>
            <w:tcW w:w="80" w:type="dxa"/>
            <w:vAlign w:val="bottom"/>
            <w:shd w:val="clear" w:color="auto" w:fill="F3F3F4"/>
          </w:tcPr>
          <w:p>
            <w:pPr>
              <w:spacing w:after="0"/>
              <w:rPr>
                <w:sz w:val="10"/>
                <w:szCs w:val="10"/>
                <w:color w:val="auto"/>
              </w:rPr>
            </w:pPr>
          </w:p>
        </w:tc>
        <w:tc>
          <w:tcPr>
            <w:tcW w:w="800" w:type="dxa"/>
            <w:vAlign w:val="bottom"/>
            <w:shd w:val="clear" w:color="auto" w:fill="F3F3F4"/>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800" w:type="dxa"/>
            <w:vAlign w:val="bottom"/>
          </w:tcPr>
          <w:p>
            <w:pPr>
              <w:spacing w:after="0" w:line="158" w:lineRule="exact"/>
              <w:rPr>
                <w:sz w:val="20"/>
                <w:szCs w:val="20"/>
                <w:color w:val="auto"/>
              </w:rPr>
            </w:pPr>
            <w:r>
              <w:rPr>
                <w:rFonts w:ascii="Arial" w:cs="Arial" w:eastAsia="Arial" w:hAnsi="Arial"/>
                <w:sz w:val="13"/>
                <w:szCs w:val="13"/>
                <w:b w:val="1"/>
                <w:bCs w:val="1"/>
                <w:color w:val="auto"/>
              </w:rPr>
              <w:t>D. Clay Bretches</w:t>
            </w:r>
            <w:r>
              <w:rPr>
                <w:rFonts w:ascii="Arial" w:cs="Arial" w:eastAsia="Arial" w:hAnsi="Arial"/>
                <w:sz w:val="16"/>
                <w:szCs w:val="16"/>
                <w:color w:val="auto"/>
                <w:vertAlign w:val="superscript"/>
              </w:rPr>
              <w:t>(7)</w:t>
            </w:r>
          </w:p>
        </w:tc>
        <w:tc>
          <w:tcPr>
            <w:tcW w:w="560" w:type="dxa"/>
            <w:vAlign w:val="bottom"/>
          </w:tcPr>
          <w:p>
            <w:pPr>
              <w:ind w:left="140"/>
              <w:spacing w:after="0"/>
              <w:rPr>
                <w:sz w:val="20"/>
                <w:szCs w:val="20"/>
                <w:color w:val="auto"/>
              </w:rPr>
            </w:pPr>
            <w:r>
              <w:rPr>
                <w:rFonts w:ascii="Arial" w:cs="Arial" w:eastAsia="Arial" w:hAnsi="Arial"/>
                <w:sz w:val="13"/>
                <w:szCs w:val="13"/>
                <w:color w:val="auto"/>
              </w:rPr>
              <w:t>2025</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290,742</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1,712,301</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539,997</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F3F3F4"/>
            </w:tcBorders>
          </w:tcPr>
          <w:p>
            <w:pPr>
              <w:jc w:val="right"/>
              <w:ind w:right="57"/>
              <w:spacing w:after="0"/>
              <w:rPr>
                <w:sz w:val="20"/>
                <w:szCs w:val="20"/>
                <w:color w:val="auto"/>
              </w:rPr>
            </w:pPr>
            <w:r>
              <w:rPr>
                <w:rFonts w:ascii="Arial" w:cs="Arial" w:eastAsia="Arial" w:hAnsi="Arial"/>
                <w:sz w:val="13"/>
                <w:szCs w:val="13"/>
                <w:color w:val="auto"/>
              </w:rPr>
              <w:t>1,577,532</w:t>
            </w:r>
          </w:p>
        </w:tc>
        <w:tc>
          <w:tcPr>
            <w:tcW w:w="80" w:type="dxa"/>
            <w:vAlign w:val="bottom"/>
            <w:shd w:val="clear" w:color="auto" w:fill="F3F3F4"/>
          </w:tcPr>
          <w:p>
            <w:pPr>
              <w:spacing w:after="0"/>
              <w:rPr>
                <w:sz w:val="13"/>
                <w:szCs w:val="13"/>
                <w:color w:val="auto"/>
              </w:rPr>
            </w:pPr>
          </w:p>
        </w:tc>
        <w:tc>
          <w:tcPr>
            <w:tcW w:w="800" w:type="dxa"/>
            <w:vAlign w:val="bottom"/>
            <w:shd w:val="clear" w:color="auto" w:fill="F3F3F4"/>
          </w:tcPr>
          <w:p>
            <w:pPr>
              <w:jc w:val="right"/>
              <w:ind w:right="37"/>
              <w:spacing w:after="0"/>
              <w:rPr>
                <w:sz w:val="20"/>
                <w:szCs w:val="20"/>
                <w:color w:val="auto"/>
              </w:rPr>
            </w:pPr>
            <w:r>
              <w:rPr>
                <w:rFonts w:ascii="Arial" w:cs="Arial" w:eastAsia="Arial" w:hAnsi="Arial"/>
                <w:sz w:val="13"/>
                <w:szCs w:val="13"/>
                <w:color w:val="auto"/>
              </w:rPr>
              <w:t>4,120,572</w:t>
            </w: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3"/>
                <w:szCs w:val="13"/>
                <w:color w:val="auto"/>
              </w:rPr>
              <w:t>Former EVP, Operations</w:t>
            </w:r>
          </w:p>
        </w:tc>
        <w:tc>
          <w:tcPr>
            <w:tcW w:w="560" w:type="dxa"/>
            <w:vAlign w:val="bottom"/>
          </w:tcPr>
          <w:p>
            <w:pPr>
              <w:ind w:left="140"/>
              <w:spacing w:after="0" w:line="135" w:lineRule="exact"/>
              <w:rPr>
                <w:sz w:val="20"/>
                <w:szCs w:val="20"/>
                <w:color w:val="auto"/>
              </w:rPr>
            </w:pPr>
            <w:r>
              <w:rPr>
                <w:rFonts w:ascii="Arial" w:cs="Arial" w:eastAsia="Arial" w:hAnsi="Arial"/>
                <w:sz w:val="13"/>
                <w:szCs w:val="13"/>
                <w:color w:val="auto"/>
              </w:rPr>
              <w:t>2024</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675,000</w:t>
            </w:r>
          </w:p>
        </w:tc>
        <w:tc>
          <w:tcPr>
            <w:tcW w:w="7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2,149,518</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735,750</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180" w:type="dxa"/>
            <w:vAlign w:val="bottom"/>
            <w:tcBorders>
              <w:right w:val="single" w:sz="8" w:color="F3F3F4"/>
            </w:tcBorders>
          </w:tcPr>
          <w:p>
            <w:pPr>
              <w:jc w:val="right"/>
              <w:ind w:right="57"/>
              <w:spacing w:after="0" w:line="135" w:lineRule="exact"/>
              <w:rPr>
                <w:sz w:val="20"/>
                <w:szCs w:val="20"/>
                <w:color w:val="auto"/>
              </w:rPr>
            </w:pPr>
            <w:r>
              <w:rPr>
                <w:rFonts w:ascii="Arial" w:cs="Arial" w:eastAsia="Arial" w:hAnsi="Arial"/>
                <w:sz w:val="13"/>
                <w:szCs w:val="13"/>
                <w:color w:val="auto"/>
              </w:rPr>
              <w:t>266,703</w:t>
            </w:r>
          </w:p>
        </w:tc>
        <w:tc>
          <w:tcPr>
            <w:tcW w:w="80" w:type="dxa"/>
            <w:vAlign w:val="bottom"/>
            <w:shd w:val="clear" w:color="auto" w:fill="F3F3F4"/>
          </w:tcPr>
          <w:p>
            <w:pPr>
              <w:spacing w:after="0"/>
              <w:rPr>
                <w:sz w:val="11"/>
                <w:szCs w:val="11"/>
                <w:color w:val="auto"/>
              </w:rPr>
            </w:pPr>
          </w:p>
        </w:tc>
        <w:tc>
          <w:tcPr>
            <w:tcW w:w="800" w:type="dxa"/>
            <w:vAlign w:val="bottom"/>
            <w:shd w:val="clear" w:color="auto" w:fill="F3F3F4"/>
          </w:tcPr>
          <w:p>
            <w:pPr>
              <w:jc w:val="right"/>
              <w:ind w:right="37"/>
              <w:spacing w:after="0" w:line="135" w:lineRule="exact"/>
              <w:rPr>
                <w:sz w:val="20"/>
                <w:szCs w:val="20"/>
                <w:color w:val="auto"/>
              </w:rPr>
            </w:pPr>
            <w:r>
              <w:rPr>
                <w:rFonts w:ascii="Arial" w:cs="Arial" w:eastAsia="Arial" w:hAnsi="Arial"/>
                <w:sz w:val="13"/>
                <w:szCs w:val="13"/>
                <w:color w:val="auto"/>
              </w:rPr>
              <w:t>3,826,971</w:t>
            </w:r>
          </w:p>
        </w:tc>
        <w:tc>
          <w:tcPr>
            <w:tcW w:w="0" w:type="dxa"/>
            <w:vAlign w:val="bottom"/>
          </w:tcPr>
          <w:p>
            <w:pPr>
              <w:spacing w:after="0"/>
              <w:rPr>
                <w:sz w:val="1"/>
                <w:szCs w:val="1"/>
                <w:color w:val="auto"/>
              </w:rPr>
            </w:pPr>
          </w:p>
        </w:tc>
      </w:tr>
      <w:tr>
        <w:trPr>
          <w:trHeight w:val="153"/>
        </w:trPr>
        <w:tc>
          <w:tcPr>
            <w:tcW w:w="18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2023</w:t>
            </w: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675,000</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2,998,669</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985,500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right w:val="single" w:sz="8" w:color="F3F3F4"/>
            </w:tcBorders>
          </w:tcPr>
          <w:p>
            <w:pPr>
              <w:jc w:val="right"/>
              <w:ind w:right="57"/>
              <w:spacing w:after="0"/>
              <w:rPr>
                <w:sz w:val="20"/>
                <w:szCs w:val="20"/>
                <w:color w:val="auto"/>
              </w:rPr>
            </w:pPr>
            <w:r>
              <w:rPr>
                <w:rFonts w:ascii="Arial" w:cs="Arial" w:eastAsia="Arial" w:hAnsi="Arial"/>
                <w:sz w:val="13"/>
                <w:szCs w:val="13"/>
                <w:color w:val="auto"/>
              </w:rPr>
              <w:t>246,851</w:t>
            </w:r>
          </w:p>
        </w:tc>
        <w:tc>
          <w:tcPr>
            <w:tcW w:w="80" w:type="dxa"/>
            <w:vAlign w:val="bottom"/>
            <w:tcBorders>
              <w:bottom w:val="single" w:sz="8" w:color="auto"/>
            </w:tcBorders>
            <w:shd w:val="clear" w:color="auto" w:fill="F3F3F4"/>
          </w:tcPr>
          <w:p>
            <w:pPr>
              <w:spacing w:after="0"/>
              <w:rPr>
                <w:sz w:val="13"/>
                <w:szCs w:val="13"/>
                <w:color w:val="auto"/>
              </w:rPr>
            </w:pPr>
          </w:p>
        </w:tc>
        <w:tc>
          <w:tcPr>
            <w:tcW w:w="800" w:type="dxa"/>
            <w:vAlign w:val="bottom"/>
            <w:tcBorders>
              <w:bottom w:val="single" w:sz="8" w:color="auto"/>
            </w:tcBorders>
            <w:shd w:val="clear" w:color="auto" w:fill="F3F3F4"/>
          </w:tcPr>
          <w:p>
            <w:pPr>
              <w:jc w:val="right"/>
              <w:ind w:right="37"/>
              <w:spacing w:after="0"/>
              <w:rPr>
                <w:sz w:val="20"/>
                <w:szCs w:val="20"/>
                <w:color w:val="auto"/>
              </w:rPr>
            </w:pPr>
            <w:r>
              <w:rPr>
                <w:rFonts w:ascii="Arial" w:cs="Arial" w:eastAsia="Arial" w:hAnsi="Arial"/>
                <w:sz w:val="13"/>
                <w:szCs w:val="13"/>
                <w:color w:val="auto"/>
              </w:rPr>
              <w:t>4,906,020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-985520</wp:posOffset>
            </wp:positionV>
            <wp:extent cx="61722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-539115</wp:posOffset>
            </wp:positionV>
            <wp:extent cx="61722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-273685</wp:posOffset>
            </wp:positionV>
            <wp:extent cx="61722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8" w:lineRule="exact"/>
        <w:rPr>
          <w:sz w:val="20"/>
          <w:szCs w:val="20"/>
          <w:color w:val="auto"/>
        </w:rPr>
      </w:pPr>
    </w:p>
    <w:p>
      <w:pPr>
        <w:ind w:left="240" w:right="40" w:hanging="232"/>
        <w:spacing w:after="0" w:line="245" w:lineRule="auto"/>
        <w:rPr>
          <w:sz w:val="20"/>
          <w:szCs w:val="20"/>
          <w:color w:val="auto"/>
        </w:rPr>
      </w:pPr>
      <w:r>
        <w:rPr>
          <w:rFonts w:ascii="Arial" w:cs="Arial" w:eastAsia="Arial" w:hAnsi="Arial"/>
          <w:sz w:val="14"/>
          <w:szCs w:val="14"/>
          <w:color w:val="404040"/>
        </w:rPr>
        <w:t>(1) Value of RSU awards made during the fiscal year, based upon the aggregate grant date fair value determined in accordance with applicable FASB ASC Topic 718. The grant date fair value of the TSR portion of the performance awards granted on January 9 and 13, 2025, is based on a Monte Carlo simulation, using the following assumptions: an expected volatility of 45.33% over a 2.98-year period preceding the valuation date and a risk-free interest rate of 4.22%. Based on the Monte Carlo simulation, using the above assumptions, the value of the TSR portion of the performance awards was $28.56 per unit. Additional discussion of the assumptions used in calculating the aggregate grant date fair value of the other RSU awards can be found in the footnotes to the Grants of Plan-Based Awards Table below and in Note 12 of the Notes to Consolidated Financial Statements included in the Company’s Annual Report on Form 10-K for the year ended December 31, 2025. The value of the RSU awards is expensed ratably over the term of the award. The 2025 and 2024 awards compared to 2023 are smaller because the CROIC component of the 2025 and 2024 performance awards are cash-based awards and therefore are not included in this total, as further explained in footnotes 1(b) and (3) of the Grants of Plan-Based Awards table. For 2025, the values of the RSU awards at the grant date, if the highest level of performance conditions were to be achieved, would be:</w:t>
      </w:r>
    </w:p>
    <w:p>
      <w:pPr>
        <w:spacing w:after="0" w:line="249"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3620" w:type="dxa"/>
            <w:vAlign w:val="bottom"/>
            <w:tcBorders>
              <w:top w:val="single" w:sz="8" w:color="auto"/>
              <w:bottom w:val="single" w:sz="8" w:color="auto"/>
            </w:tcBorders>
            <w:shd w:val="clear" w:color="auto" w:fill="F3F3F4"/>
          </w:tcPr>
          <w:p>
            <w:pPr>
              <w:spacing w:after="0"/>
              <w:rPr>
                <w:sz w:val="16"/>
                <w:szCs w:val="16"/>
                <w:color w:val="auto"/>
              </w:rPr>
            </w:pPr>
          </w:p>
        </w:tc>
        <w:tc>
          <w:tcPr>
            <w:tcW w:w="1320" w:type="dxa"/>
            <w:vAlign w:val="bottom"/>
            <w:tcBorders>
              <w:top w:val="single" w:sz="8" w:color="auto"/>
              <w:bottom w:val="single" w:sz="8" w:color="auto"/>
            </w:tcBorders>
            <w:shd w:val="clear" w:color="auto" w:fill="F3F3F4"/>
          </w:tcPr>
          <w:p>
            <w:pPr>
              <w:jc w:val="right"/>
              <w:ind w:right="48"/>
              <w:spacing w:after="0"/>
              <w:rPr>
                <w:sz w:val="20"/>
                <w:szCs w:val="20"/>
                <w:color w:val="auto"/>
              </w:rPr>
            </w:pPr>
            <w:r>
              <w:rPr>
                <w:rFonts w:ascii="Arial" w:cs="Arial" w:eastAsia="Arial" w:hAnsi="Arial"/>
                <w:sz w:val="14"/>
                <w:szCs w:val="14"/>
                <w:b w:val="1"/>
                <w:bCs w:val="1"/>
                <w:color w:val="auto"/>
              </w:rPr>
              <w:t>Christmann</w:t>
            </w:r>
          </w:p>
        </w:tc>
        <w:tc>
          <w:tcPr>
            <w:tcW w:w="920" w:type="dxa"/>
            <w:vAlign w:val="bottom"/>
            <w:tcBorders>
              <w:top w:val="single" w:sz="8" w:color="auto"/>
              <w:bottom w:val="single" w:sz="8" w:color="auto"/>
            </w:tcBorders>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Riney</w:t>
            </w:r>
          </w:p>
        </w:tc>
        <w:tc>
          <w:tcPr>
            <w:tcW w:w="860" w:type="dxa"/>
            <w:vAlign w:val="bottom"/>
            <w:tcBorders>
              <w:top w:val="single" w:sz="8" w:color="auto"/>
              <w:bottom w:val="single" w:sz="8" w:color="auto"/>
            </w:tcBorders>
            <w:shd w:val="clear" w:color="auto" w:fill="F3F3F4"/>
          </w:tcPr>
          <w:p>
            <w:pPr>
              <w:jc w:val="right"/>
              <w:spacing w:after="0"/>
              <w:rPr>
                <w:sz w:val="20"/>
                <w:szCs w:val="20"/>
                <w:color w:val="auto"/>
              </w:rPr>
            </w:pPr>
            <w:r>
              <w:rPr>
                <w:rFonts w:ascii="Arial" w:cs="Arial" w:eastAsia="Arial" w:hAnsi="Arial"/>
                <w:sz w:val="14"/>
                <w:szCs w:val="14"/>
                <w:b w:val="1"/>
                <w:bCs w:val="1"/>
                <w:color w:val="auto"/>
              </w:rPr>
              <w:t>Rodgers</w:t>
            </w:r>
          </w:p>
        </w:tc>
        <w:tc>
          <w:tcPr>
            <w:tcW w:w="940" w:type="dxa"/>
            <w:vAlign w:val="bottom"/>
            <w:tcBorders>
              <w:top w:val="single" w:sz="8" w:color="auto"/>
              <w:bottom w:val="single" w:sz="8" w:color="auto"/>
            </w:tcBorders>
            <w:shd w:val="clear" w:color="auto" w:fill="F3F3F4"/>
          </w:tcPr>
          <w:p>
            <w:pPr>
              <w:jc w:val="right"/>
              <w:ind w:right="48"/>
              <w:spacing w:after="0"/>
              <w:rPr>
                <w:sz w:val="20"/>
                <w:szCs w:val="20"/>
                <w:color w:val="auto"/>
              </w:rPr>
            </w:pPr>
            <w:r>
              <w:rPr>
                <w:rFonts w:ascii="Arial" w:cs="Arial" w:eastAsia="Arial" w:hAnsi="Arial"/>
                <w:sz w:val="14"/>
                <w:szCs w:val="14"/>
                <w:b w:val="1"/>
                <w:bCs w:val="1"/>
                <w:color w:val="auto"/>
              </w:rPr>
              <w:t>Henderson</w:t>
            </w:r>
          </w:p>
        </w:tc>
        <w:tc>
          <w:tcPr>
            <w:tcW w:w="900" w:type="dxa"/>
            <w:vAlign w:val="bottom"/>
            <w:tcBorders>
              <w:top w:val="single" w:sz="8" w:color="auto"/>
              <w:bottom w:val="single" w:sz="8" w:color="auto"/>
            </w:tcBorders>
            <w:shd w:val="clear" w:color="auto" w:fill="F3F3F4"/>
          </w:tcPr>
          <w:p>
            <w:pPr>
              <w:jc w:val="right"/>
              <w:ind w:right="68"/>
              <w:spacing w:after="0"/>
              <w:rPr>
                <w:sz w:val="20"/>
                <w:szCs w:val="20"/>
                <w:color w:val="auto"/>
              </w:rPr>
            </w:pPr>
            <w:r>
              <w:rPr>
                <w:rFonts w:ascii="Arial" w:cs="Arial" w:eastAsia="Arial" w:hAnsi="Arial"/>
                <w:sz w:val="14"/>
                <w:szCs w:val="14"/>
                <w:b w:val="1"/>
                <w:bCs w:val="1"/>
                <w:color w:val="auto"/>
              </w:rPr>
              <w:t>Warnica</w:t>
            </w:r>
          </w:p>
        </w:tc>
        <w:tc>
          <w:tcPr>
            <w:tcW w:w="860" w:type="dxa"/>
            <w:vAlign w:val="bottom"/>
            <w:tcBorders>
              <w:top w:val="single" w:sz="8" w:color="auto"/>
              <w:bottom w:val="single" w:sz="8" w:color="auto"/>
            </w:tcBorders>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Bretches</w:t>
            </w:r>
          </w:p>
        </w:tc>
      </w:tr>
      <w:tr>
        <w:trPr>
          <w:trHeight w:val="155"/>
        </w:trPr>
        <w:tc>
          <w:tcPr>
            <w:tcW w:w="36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RSU Award at Highest Level of Performance ($)</w:t>
            </w:r>
          </w:p>
        </w:tc>
        <w:tc>
          <w:tcPr>
            <w:tcW w:w="13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10,628,765</w:t>
            </w:r>
          </w:p>
        </w:tc>
        <w:tc>
          <w:tcPr>
            <w:tcW w:w="9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6,047,963</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1,679,921</w:t>
            </w: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2,449,943</w:t>
            </w:r>
          </w:p>
        </w:tc>
        <w:tc>
          <w:tcPr>
            <w:tcW w:w="9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2,392,211</w:t>
            </w:r>
          </w:p>
        </w:tc>
        <w:tc>
          <w:tcPr>
            <w:tcW w:w="8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3,023,981</w:t>
            </w:r>
          </w:p>
        </w:tc>
      </w:tr>
    </w:tbl>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jc w:val="right"/>
              <w:spacing w:after="0"/>
              <w:rPr>
                <w:sz w:val="20"/>
                <w:szCs w:val="20"/>
                <w:color w:val="auto"/>
              </w:rPr>
            </w:pPr>
            <w:r>
              <w:rPr>
                <w:rFonts w:ascii="Arial" w:cs="Arial" w:eastAsia="Arial" w:hAnsi="Arial"/>
                <w:sz w:val="14"/>
                <w:szCs w:val="14"/>
                <w:color w:val="404040"/>
                <w:w w:val="93"/>
              </w:rPr>
              <w:t>(2)</w:t>
            </w:r>
          </w:p>
        </w:tc>
        <w:tc>
          <w:tcPr>
            <w:tcW w:w="9440" w:type="dxa"/>
            <w:vAlign w:val="bottom"/>
            <w:gridSpan w:val="8"/>
          </w:tcPr>
          <w:p>
            <w:pPr>
              <w:spacing w:after="0"/>
              <w:rPr>
                <w:sz w:val="20"/>
                <w:szCs w:val="20"/>
                <w:color w:val="auto"/>
              </w:rPr>
            </w:pPr>
            <w:r>
              <w:rPr>
                <w:rFonts w:ascii="Arial" w:cs="Arial" w:eastAsia="Arial" w:hAnsi="Arial"/>
                <w:sz w:val="14"/>
                <w:szCs w:val="14"/>
                <w:color w:val="404040"/>
              </w:rPr>
              <w:t>Amounts reflected under this column are paid pursuant to the Company’s incentive compensation plan as described under Annual Incentive</w:t>
            </w:r>
          </w:p>
        </w:tc>
      </w:tr>
      <w:tr>
        <w:trPr>
          <w:trHeight w:val="162"/>
        </w:trPr>
        <w:tc>
          <w:tcPr>
            <w:tcW w:w="240" w:type="dxa"/>
            <w:vAlign w:val="bottom"/>
          </w:tcPr>
          <w:p>
            <w:pPr>
              <w:spacing w:after="0"/>
              <w:rPr>
                <w:sz w:val="14"/>
                <w:szCs w:val="14"/>
                <w:color w:val="auto"/>
              </w:rPr>
            </w:pPr>
          </w:p>
        </w:tc>
        <w:tc>
          <w:tcPr>
            <w:tcW w:w="9440" w:type="dxa"/>
            <w:vAlign w:val="bottom"/>
            <w:gridSpan w:val="8"/>
          </w:tcPr>
          <w:p>
            <w:pPr>
              <w:spacing w:after="0"/>
              <w:rPr>
                <w:sz w:val="20"/>
                <w:szCs w:val="20"/>
                <w:color w:val="auto"/>
              </w:rPr>
            </w:pPr>
            <w:r>
              <w:rPr>
                <w:rFonts w:ascii="Arial" w:cs="Arial" w:eastAsia="Arial" w:hAnsi="Arial"/>
                <w:sz w:val="14"/>
                <w:szCs w:val="14"/>
                <w:color w:val="404040"/>
              </w:rPr>
              <w:t xml:space="preserve">Compensation Plan in the </w:t>
            </w:r>
            <w:r>
              <w:rPr>
                <w:rFonts w:ascii="Arial" w:cs="Arial" w:eastAsia="Arial" w:hAnsi="Arial"/>
                <w:sz w:val="14"/>
                <w:szCs w:val="14"/>
                <w:i w:val="1"/>
                <w:iCs w:val="1"/>
                <w:color w:val="404040"/>
              </w:rPr>
              <w:t>Compensation Discussion and Analysis</w:t>
            </w:r>
            <w:r>
              <w:rPr>
                <w:rFonts w:ascii="Arial" w:cs="Arial" w:eastAsia="Arial" w:hAnsi="Arial"/>
                <w:sz w:val="14"/>
                <w:szCs w:val="14"/>
                <w:color w:val="404040"/>
              </w:rPr>
              <w:t xml:space="preserve"> section. The MD&amp;C Committee exercised discretion to increase the payout above</w:t>
            </w:r>
          </w:p>
        </w:tc>
      </w:tr>
      <w:tr>
        <w:trPr>
          <w:trHeight w:val="162"/>
        </w:trPr>
        <w:tc>
          <w:tcPr>
            <w:tcW w:w="240" w:type="dxa"/>
            <w:vAlign w:val="bottom"/>
          </w:tcPr>
          <w:p>
            <w:pPr>
              <w:spacing w:after="0"/>
              <w:rPr>
                <w:sz w:val="14"/>
                <w:szCs w:val="14"/>
                <w:color w:val="auto"/>
              </w:rPr>
            </w:pPr>
          </w:p>
        </w:tc>
        <w:tc>
          <w:tcPr>
            <w:tcW w:w="9440" w:type="dxa"/>
            <w:vAlign w:val="bottom"/>
            <w:gridSpan w:val="8"/>
          </w:tcPr>
          <w:p>
            <w:pPr>
              <w:spacing w:after="0"/>
              <w:rPr>
                <w:sz w:val="20"/>
                <w:szCs w:val="20"/>
                <w:color w:val="auto"/>
              </w:rPr>
            </w:pPr>
            <w:r>
              <w:rPr>
                <w:rFonts w:ascii="Arial" w:cs="Arial" w:eastAsia="Arial" w:hAnsi="Arial"/>
                <w:sz w:val="14"/>
                <w:szCs w:val="14"/>
                <w:color w:val="404040"/>
              </w:rPr>
              <w:t xml:space="preserve">the formula result for Messrs. Riney and Rodgers, as discussed in the </w:t>
            </w:r>
            <w:r>
              <w:rPr>
                <w:rFonts w:ascii="Arial" w:cs="Arial" w:eastAsia="Arial" w:hAnsi="Arial"/>
                <w:sz w:val="14"/>
                <w:szCs w:val="14"/>
                <w:i w:val="1"/>
                <w:iCs w:val="1"/>
                <w:color w:val="404040"/>
              </w:rPr>
              <w:t>Compensation Discussion and Analysis</w:t>
            </w:r>
            <w:r>
              <w:rPr>
                <w:rFonts w:ascii="Arial" w:cs="Arial" w:eastAsia="Arial" w:hAnsi="Arial"/>
                <w:sz w:val="14"/>
                <w:szCs w:val="14"/>
                <w:color w:val="404040"/>
              </w:rPr>
              <w:t xml:space="preserve"> section. The amount above the</w:t>
            </w:r>
          </w:p>
        </w:tc>
      </w:tr>
      <w:tr>
        <w:trPr>
          <w:trHeight w:val="190"/>
        </w:trPr>
        <w:tc>
          <w:tcPr>
            <w:tcW w:w="24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4"/>
                <w:szCs w:val="14"/>
                <w:color w:val="404040"/>
              </w:rPr>
              <w:t>formula-determined payout is reported in the Bonus column.</w:t>
            </w: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40" w:type="dxa"/>
            <w:vAlign w:val="bottom"/>
          </w:tcPr>
          <w:p>
            <w:pPr>
              <w:jc w:val="right"/>
              <w:spacing w:after="0"/>
              <w:rPr>
                <w:sz w:val="20"/>
                <w:szCs w:val="20"/>
                <w:color w:val="auto"/>
              </w:rPr>
            </w:pPr>
            <w:r>
              <w:rPr>
                <w:rFonts w:ascii="Arial" w:cs="Arial" w:eastAsia="Arial" w:hAnsi="Arial"/>
                <w:sz w:val="14"/>
                <w:szCs w:val="14"/>
                <w:color w:val="404040"/>
                <w:w w:val="93"/>
              </w:rPr>
              <w:t>(3)</w:t>
            </w:r>
          </w:p>
        </w:tc>
        <w:tc>
          <w:tcPr>
            <w:tcW w:w="8620" w:type="dxa"/>
            <w:vAlign w:val="bottom"/>
            <w:gridSpan w:val="6"/>
          </w:tcPr>
          <w:p>
            <w:pPr>
              <w:spacing w:after="0"/>
              <w:rPr>
                <w:sz w:val="20"/>
                <w:szCs w:val="20"/>
                <w:color w:val="auto"/>
              </w:rPr>
            </w:pPr>
            <w:r>
              <w:rPr>
                <w:rFonts w:ascii="Arial" w:cs="Arial" w:eastAsia="Arial" w:hAnsi="Arial"/>
                <w:sz w:val="14"/>
                <w:szCs w:val="14"/>
                <w:color w:val="404040"/>
              </w:rPr>
              <w:t>Earnings from the Non-Qualified Deferred Compensation Table are not included as they are not above-market or preferential earnings.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0" w:type="dxa"/>
            <w:vAlign w:val="bottom"/>
          </w:tcPr>
          <w:p>
            <w:pPr>
              <w:jc w:val="right"/>
              <w:spacing w:after="0"/>
              <w:rPr>
                <w:sz w:val="20"/>
                <w:szCs w:val="20"/>
                <w:color w:val="auto"/>
              </w:rPr>
            </w:pPr>
            <w:r>
              <w:rPr>
                <w:rFonts w:ascii="Arial" w:cs="Arial" w:eastAsia="Arial" w:hAnsi="Arial"/>
                <w:sz w:val="14"/>
                <w:szCs w:val="14"/>
                <w:color w:val="404040"/>
                <w:w w:val="93"/>
              </w:rPr>
              <w:t>(4)</w:t>
            </w:r>
          </w:p>
        </w:tc>
        <w:tc>
          <w:tcPr>
            <w:tcW w:w="7780" w:type="dxa"/>
            <w:vAlign w:val="bottom"/>
            <w:gridSpan w:val="5"/>
          </w:tcPr>
          <w:p>
            <w:pPr>
              <w:spacing w:after="0"/>
              <w:rPr>
                <w:sz w:val="20"/>
                <w:szCs w:val="20"/>
                <w:color w:val="auto"/>
              </w:rPr>
            </w:pPr>
            <w:r>
              <w:rPr>
                <w:rFonts w:ascii="Arial" w:cs="Arial" w:eastAsia="Arial" w:hAnsi="Arial"/>
                <w:sz w:val="14"/>
                <w:szCs w:val="14"/>
                <w:color w:val="404040"/>
              </w:rPr>
              <w:t>The following table provides additional information for all other compensation paid during the 2025 fiscal year:</w:t>
            </w: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03"/>
        </w:trPr>
        <w:tc>
          <w:tcPr>
            <w:tcW w:w="2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gridSpan w:val="2"/>
          </w:tcPr>
          <w:p>
            <w:pPr>
              <w:spacing w:after="0"/>
              <w:rPr>
                <w:sz w:val="8"/>
                <w:szCs w:val="8"/>
                <w:color w:val="auto"/>
              </w:rPr>
            </w:pPr>
          </w:p>
        </w:tc>
      </w:tr>
      <w:tr>
        <w:trPr>
          <w:trHeight w:val="155"/>
        </w:trPr>
        <w:tc>
          <w:tcPr>
            <w:tcW w:w="240" w:type="dxa"/>
            <w:vAlign w:val="bottom"/>
          </w:tcPr>
          <w:p>
            <w:pPr>
              <w:spacing w:after="0"/>
              <w:rPr>
                <w:sz w:val="13"/>
                <w:szCs w:val="13"/>
                <w:color w:val="auto"/>
              </w:rPr>
            </w:pPr>
          </w:p>
        </w:tc>
        <w:tc>
          <w:tcPr>
            <w:tcW w:w="4100" w:type="dxa"/>
            <w:vAlign w:val="bottom"/>
            <w:tcBorders>
              <w:top w:val="single" w:sz="8" w:color="auto"/>
              <w:bottom w:val="single" w:sz="8" w:color="auto"/>
            </w:tcBorders>
            <w:shd w:val="clear" w:color="auto" w:fill="F3F3F4"/>
          </w:tcPr>
          <w:p>
            <w:pPr>
              <w:spacing w:after="0"/>
              <w:rPr>
                <w:sz w:val="13"/>
                <w:szCs w:val="13"/>
                <w:color w:val="auto"/>
              </w:rPr>
            </w:pPr>
          </w:p>
        </w:tc>
        <w:tc>
          <w:tcPr>
            <w:tcW w:w="1240" w:type="dxa"/>
            <w:vAlign w:val="bottom"/>
            <w:tcBorders>
              <w:top w:val="single" w:sz="8" w:color="auto"/>
              <w:bottom w:val="single" w:sz="8" w:color="auto"/>
            </w:tcBorders>
            <w:shd w:val="clear" w:color="auto" w:fill="F3F3F4"/>
          </w:tcPr>
          <w:p>
            <w:pPr>
              <w:jc w:val="right"/>
              <w:ind w:right="68"/>
              <w:spacing w:after="0" w:line="155" w:lineRule="exact"/>
              <w:rPr>
                <w:sz w:val="20"/>
                <w:szCs w:val="20"/>
                <w:color w:val="auto"/>
              </w:rPr>
            </w:pPr>
            <w:r>
              <w:rPr>
                <w:rFonts w:ascii="Arial" w:cs="Arial" w:eastAsia="Arial" w:hAnsi="Arial"/>
                <w:sz w:val="14"/>
                <w:szCs w:val="14"/>
                <w:b w:val="1"/>
                <w:bCs w:val="1"/>
                <w:color w:val="auto"/>
              </w:rPr>
              <w:t>Christmann</w:t>
            </w:r>
          </w:p>
        </w:tc>
        <w:tc>
          <w:tcPr>
            <w:tcW w:w="760" w:type="dxa"/>
            <w:vAlign w:val="bottom"/>
            <w:tcBorders>
              <w:top w:val="single" w:sz="8" w:color="auto"/>
              <w:bottom w:val="single" w:sz="8" w:color="auto"/>
            </w:tcBorders>
            <w:shd w:val="clear" w:color="auto" w:fill="F3F3F4"/>
          </w:tcPr>
          <w:p>
            <w:pPr>
              <w:jc w:val="right"/>
              <w:ind w:right="28"/>
              <w:spacing w:after="0" w:line="155" w:lineRule="exact"/>
              <w:rPr>
                <w:sz w:val="20"/>
                <w:szCs w:val="20"/>
                <w:color w:val="auto"/>
              </w:rPr>
            </w:pPr>
            <w:r>
              <w:rPr>
                <w:rFonts w:ascii="Arial" w:cs="Arial" w:eastAsia="Arial" w:hAnsi="Arial"/>
                <w:sz w:val="14"/>
                <w:szCs w:val="14"/>
                <w:b w:val="1"/>
                <w:bCs w:val="1"/>
                <w:color w:val="auto"/>
              </w:rPr>
              <w:t>Riney</w:t>
            </w:r>
          </w:p>
        </w:tc>
        <w:tc>
          <w:tcPr>
            <w:tcW w:w="740" w:type="dxa"/>
            <w:vAlign w:val="bottom"/>
            <w:tcBorders>
              <w:top w:val="single" w:sz="8" w:color="auto"/>
              <w:bottom w:val="single" w:sz="8" w:color="auto"/>
            </w:tcBorders>
            <w:shd w:val="clear" w:color="auto" w:fill="F3F3F4"/>
          </w:tcPr>
          <w:p>
            <w:pPr>
              <w:jc w:val="right"/>
              <w:spacing w:after="0" w:line="155" w:lineRule="exact"/>
              <w:rPr>
                <w:sz w:val="20"/>
                <w:szCs w:val="20"/>
                <w:color w:val="auto"/>
              </w:rPr>
            </w:pPr>
            <w:r>
              <w:rPr>
                <w:rFonts w:ascii="Arial" w:cs="Arial" w:eastAsia="Arial" w:hAnsi="Arial"/>
                <w:sz w:val="14"/>
                <w:szCs w:val="14"/>
                <w:b w:val="1"/>
                <w:bCs w:val="1"/>
                <w:color w:val="auto"/>
              </w:rPr>
              <w:t>Rodgers</w:t>
            </w:r>
          </w:p>
        </w:tc>
        <w:tc>
          <w:tcPr>
            <w:tcW w:w="940" w:type="dxa"/>
            <w:vAlign w:val="bottom"/>
            <w:tcBorders>
              <w:top w:val="single" w:sz="8" w:color="auto"/>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Henderson</w:t>
            </w:r>
          </w:p>
        </w:tc>
        <w:tc>
          <w:tcPr>
            <w:tcW w:w="840" w:type="dxa"/>
            <w:vAlign w:val="bottom"/>
            <w:tcBorders>
              <w:top w:val="single" w:sz="8" w:color="auto"/>
              <w:bottom w:val="single" w:sz="8" w:color="auto"/>
            </w:tcBorders>
            <w:shd w:val="clear" w:color="auto" w:fill="F3F3F4"/>
          </w:tcPr>
          <w:p>
            <w:pPr>
              <w:jc w:val="right"/>
              <w:ind w:right="108"/>
              <w:spacing w:after="0" w:line="155" w:lineRule="exact"/>
              <w:rPr>
                <w:sz w:val="20"/>
                <w:szCs w:val="20"/>
                <w:color w:val="auto"/>
              </w:rPr>
            </w:pPr>
            <w:r>
              <w:rPr>
                <w:rFonts w:ascii="Arial" w:cs="Arial" w:eastAsia="Arial" w:hAnsi="Arial"/>
                <w:sz w:val="14"/>
                <w:szCs w:val="14"/>
                <w:b w:val="1"/>
                <w:bCs w:val="1"/>
                <w:color w:val="auto"/>
              </w:rPr>
              <w:t>Warnica</w:t>
            </w:r>
          </w:p>
        </w:tc>
        <w:tc>
          <w:tcPr>
            <w:tcW w:w="800" w:type="dxa"/>
            <w:vAlign w:val="bottom"/>
            <w:tcBorders>
              <w:top w:val="single" w:sz="8" w:color="auto"/>
              <w:bottom w:val="single" w:sz="8" w:color="auto"/>
            </w:tcBorders>
            <w:shd w:val="clear" w:color="auto" w:fill="F3F3F4"/>
          </w:tcPr>
          <w:p>
            <w:pPr>
              <w:jc w:val="right"/>
              <w:ind w:right="28"/>
              <w:spacing w:after="0" w:line="155" w:lineRule="exact"/>
              <w:rPr>
                <w:sz w:val="20"/>
                <w:szCs w:val="20"/>
                <w:color w:val="auto"/>
              </w:rPr>
            </w:pPr>
            <w:r>
              <w:rPr>
                <w:rFonts w:ascii="Arial" w:cs="Arial" w:eastAsia="Arial" w:hAnsi="Arial"/>
                <w:sz w:val="14"/>
                <w:szCs w:val="14"/>
                <w:b w:val="1"/>
                <w:bCs w:val="1"/>
                <w:color w:val="auto"/>
              </w:rPr>
              <w:t>Bretches</w:t>
            </w: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410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b w:val="1"/>
                <w:bCs w:val="1"/>
                <w:color w:val="auto"/>
              </w:rPr>
              <w:t>Company Contributions to Retirement Plans ($)</w:t>
            </w:r>
            <w:r>
              <w:rPr>
                <w:rFonts w:ascii="Arial" w:cs="Arial" w:eastAsia="Arial" w:hAnsi="Arial"/>
                <w:sz w:val="18"/>
                <w:szCs w:val="18"/>
                <w:b w:val="1"/>
                <w:bCs w:val="1"/>
                <w:color w:val="auto"/>
                <w:vertAlign w:val="superscript"/>
              </w:rPr>
              <w:t>(a)</w:t>
            </w:r>
          </w:p>
        </w:tc>
        <w:tc>
          <w:tcPr>
            <w:tcW w:w="1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46,500</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46,500</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44,500</w:t>
            </w: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46,500</w:t>
            </w:r>
          </w:p>
        </w:tc>
        <w:tc>
          <w:tcPr>
            <w:tcW w:w="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46,500</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28,000</w:t>
            </w:r>
          </w:p>
        </w:tc>
        <w:tc>
          <w:tcPr>
            <w:tcW w:w="20" w:type="dxa"/>
            <w:vAlign w:val="bottom"/>
          </w:tcPr>
          <w:p>
            <w:pPr>
              <w:spacing w:after="0"/>
              <w:rPr>
                <w:sz w:val="13"/>
                <w:szCs w:val="13"/>
                <w:color w:val="auto"/>
              </w:rPr>
            </w:pPr>
          </w:p>
        </w:tc>
      </w:tr>
      <w:tr>
        <w:trPr>
          <w:trHeight w:val="155"/>
        </w:trPr>
        <w:tc>
          <w:tcPr>
            <w:tcW w:w="240" w:type="dxa"/>
            <w:vAlign w:val="bottom"/>
          </w:tcPr>
          <w:p>
            <w:pPr>
              <w:spacing w:after="0"/>
              <w:rPr>
                <w:sz w:val="13"/>
                <w:szCs w:val="13"/>
                <w:color w:val="auto"/>
              </w:rPr>
            </w:pPr>
          </w:p>
        </w:tc>
        <w:tc>
          <w:tcPr>
            <w:tcW w:w="410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b w:val="1"/>
                <w:bCs w:val="1"/>
                <w:color w:val="auto"/>
              </w:rPr>
              <w:t>Company Contributions to Non-Qualified Plans ($)</w:t>
            </w:r>
            <w:r>
              <w:rPr>
                <w:rFonts w:ascii="Arial" w:cs="Arial" w:eastAsia="Arial" w:hAnsi="Arial"/>
                <w:sz w:val="18"/>
                <w:szCs w:val="18"/>
                <w:b w:val="1"/>
                <w:bCs w:val="1"/>
                <w:color w:val="auto"/>
                <w:vertAlign w:val="superscript"/>
              </w:rPr>
              <w:t>(a)</w:t>
            </w:r>
          </w:p>
        </w:tc>
        <w:tc>
          <w:tcPr>
            <w:tcW w:w="1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413,232</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244,308</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98,374</w:t>
            </w: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136,375</w:t>
            </w:r>
          </w:p>
        </w:tc>
        <w:tc>
          <w:tcPr>
            <w:tcW w:w="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38,460</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54,119</w:t>
            </w:r>
          </w:p>
        </w:tc>
        <w:tc>
          <w:tcPr>
            <w:tcW w:w="20" w:type="dxa"/>
            <w:vAlign w:val="bottom"/>
          </w:tcPr>
          <w:p>
            <w:pPr>
              <w:spacing w:after="0"/>
              <w:rPr>
                <w:sz w:val="13"/>
                <w:szCs w:val="13"/>
                <w:color w:val="auto"/>
              </w:rPr>
            </w:pPr>
          </w:p>
        </w:tc>
      </w:tr>
      <w:tr>
        <w:trPr>
          <w:trHeight w:val="155"/>
        </w:trPr>
        <w:tc>
          <w:tcPr>
            <w:tcW w:w="240" w:type="dxa"/>
            <w:vAlign w:val="bottom"/>
          </w:tcPr>
          <w:p>
            <w:pPr>
              <w:spacing w:after="0"/>
              <w:rPr>
                <w:sz w:val="13"/>
                <w:szCs w:val="13"/>
                <w:color w:val="auto"/>
              </w:rPr>
            </w:pPr>
          </w:p>
        </w:tc>
        <w:tc>
          <w:tcPr>
            <w:tcW w:w="410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b w:val="1"/>
                <w:bCs w:val="1"/>
                <w:color w:val="auto"/>
              </w:rPr>
              <w:t>Life Insurance Premiums ($)</w:t>
            </w:r>
            <w:r>
              <w:rPr>
                <w:rFonts w:ascii="Arial" w:cs="Arial" w:eastAsia="Arial" w:hAnsi="Arial"/>
                <w:sz w:val="18"/>
                <w:szCs w:val="18"/>
                <w:b w:val="1"/>
                <w:bCs w:val="1"/>
                <w:color w:val="auto"/>
                <w:vertAlign w:val="superscript"/>
              </w:rPr>
              <w:t>(b)</w:t>
            </w:r>
          </w:p>
        </w:tc>
        <w:tc>
          <w:tcPr>
            <w:tcW w:w="1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17,449</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10,437</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3,827</w:t>
            </w: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10,317</w:t>
            </w:r>
          </w:p>
        </w:tc>
        <w:tc>
          <w:tcPr>
            <w:tcW w:w="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9,851</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10,111</w:t>
            </w:r>
          </w:p>
        </w:tc>
        <w:tc>
          <w:tcPr>
            <w:tcW w:w="20" w:type="dxa"/>
            <w:vAlign w:val="bottom"/>
          </w:tcPr>
          <w:p>
            <w:pPr>
              <w:spacing w:after="0"/>
              <w:rPr>
                <w:sz w:val="13"/>
                <w:szCs w:val="13"/>
                <w:color w:val="auto"/>
              </w:rPr>
            </w:pPr>
          </w:p>
        </w:tc>
      </w:tr>
      <w:tr>
        <w:trPr>
          <w:trHeight w:val="155"/>
        </w:trPr>
        <w:tc>
          <w:tcPr>
            <w:tcW w:w="240" w:type="dxa"/>
            <w:vAlign w:val="bottom"/>
          </w:tcPr>
          <w:p>
            <w:pPr>
              <w:spacing w:after="0"/>
              <w:rPr>
                <w:sz w:val="13"/>
                <w:szCs w:val="13"/>
                <w:color w:val="auto"/>
              </w:rPr>
            </w:pPr>
          </w:p>
        </w:tc>
        <w:tc>
          <w:tcPr>
            <w:tcW w:w="410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b w:val="1"/>
                <w:bCs w:val="1"/>
                <w:color w:val="auto"/>
              </w:rPr>
              <w:t>Use of Company Property ($)</w:t>
            </w:r>
            <w:r>
              <w:rPr>
                <w:rFonts w:ascii="Arial" w:cs="Arial" w:eastAsia="Arial" w:hAnsi="Arial"/>
                <w:sz w:val="18"/>
                <w:szCs w:val="18"/>
                <w:b w:val="1"/>
                <w:bCs w:val="1"/>
                <w:color w:val="auto"/>
                <w:vertAlign w:val="superscript"/>
              </w:rPr>
              <w:t>(c)</w:t>
            </w:r>
          </w:p>
        </w:tc>
        <w:tc>
          <w:tcPr>
            <w:tcW w:w="1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18,213</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18,213</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5"/>
        </w:trPr>
        <w:tc>
          <w:tcPr>
            <w:tcW w:w="240" w:type="dxa"/>
            <w:vAlign w:val="bottom"/>
          </w:tcPr>
          <w:p>
            <w:pPr>
              <w:spacing w:after="0"/>
              <w:rPr>
                <w:sz w:val="13"/>
                <w:szCs w:val="13"/>
                <w:color w:val="auto"/>
              </w:rPr>
            </w:pPr>
          </w:p>
        </w:tc>
        <w:tc>
          <w:tcPr>
            <w:tcW w:w="410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b w:val="1"/>
                <w:bCs w:val="1"/>
                <w:color w:val="auto"/>
              </w:rPr>
              <w:t>Enhanced Long-Term Disability</w:t>
            </w:r>
            <w:r>
              <w:rPr>
                <w:rFonts w:ascii="Arial" w:cs="Arial" w:eastAsia="Arial" w:hAnsi="Arial"/>
                <w:sz w:val="18"/>
                <w:szCs w:val="18"/>
                <w:b w:val="1"/>
                <w:bCs w:val="1"/>
                <w:color w:val="auto"/>
                <w:vertAlign w:val="superscript"/>
              </w:rPr>
              <w:t>(d)</w:t>
            </w:r>
          </w:p>
        </w:tc>
        <w:tc>
          <w:tcPr>
            <w:tcW w:w="1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36,331</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21,001</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9,895</w:t>
            </w: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13,698</w:t>
            </w:r>
          </w:p>
        </w:tc>
        <w:tc>
          <w:tcPr>
            <w:tcW w:w="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17,785</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7,177</w:t>
            </w:r>
          </w:p>
        </w:tc>
        <w:tc>
          <w:tcPr>
            <w:tcW w:w="20" w:type="dxa"/>
            <w:vAlign w:val="bottom"/>
          </w:tcPr>
          <w:p>
            <w:pPr>
              <w:spacing w:after="0"/>
              <w:rPr>
                <w:sz w:val="13"/>
                <w:szCs w:val="13"/>
                <w:color w:val="auto"/>
              </w:rPr>
            </w:pPr>
          </w:p>
        </w:tc>
      </w:tr>
      <w:tr>
        <w:trPr>
          <w:trHeight w:val="156"/>
        </w:trPr>
        <w:tc>
          <w:tcPr>
            <w:tcW w:w="240" w:type="dxa"/>
            <w:vAlign w:val="bottom"/>
          </w:tcPr>
          <w:p>
            <w:pPr>
              <w:spacing w:after="0"/>
              <w:rPr>
                <w:sz w:val="13"/>
                <w:szCs w:val="13"/>
                <w:color w:val="auto"/>
              </w:rPr>
            </w:pPr>
          </w:p>
        </w:tc>
        <w:tc>
          <w:tcPr>
            <w:tcW w:w="410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b w:val="1"/>
                <w:bCs w:val="1"/>
                <w:color w:val="auto"/>
              </w:rPr>
              <w:t>Workplace Giving Program ($)</w:t>
            </w:r>
            <w:r>
              <w:rPr>
                <w:rFonts w:ascii="Arial" w:cs="Arial" w:eastAsia="Arial" w:hAnsi="Arial"/>
                <w:sz w:val="18"/>
                <w:szCs w:val="18"/>
                <w:b w:val="1"/>
                <w:bCs w:val="1"/>
                <w:color w:val="auto"/>
                <w:vertAlign w:val="superscript"/>
              </w:rPr>
              <w:t>(e)</w:t>
            </w:r>
          </w:p>
        </w:tc>
        <w:tc>
          <w:tcPr>
            <w:tcW w:w="1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1,000</w:t>
            </w:r>
          </w:p>
        </w:tc>
        <w:tc>
          <w:tcPr>
            <w:tcW w:w="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1,475</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10,000</w:t>
            </w:r>
          </w:p>
        </w:tc>
        <w:tc>
          <w:tcPr>
            <w:tcW w:w="20" w:type="dxa"/>
            <w:vAlign w:val="bottom"/>
          </w:tcPr>
          <w:p>
            <w:pPr>
              <w:spacing w:after="0"/>
              <w:rPr>
                <w:sz w:val="13"/>
                <w:szCs w:val="13"/>
                <w:color w:val="auto"/>
              </w:rPr>
            </w:pPr>
          </w:p>
        </w:tc>
      </w:tr>
      <w:tr>
        <w:trPr>
          <w:trHeight w:val="155"/>
        </w:trPr>
        <w:tc>
          <w:tcPr>
            <w:tcW w:w="240" w:type="dxa"/>
            <w:vAlign w:val="bottom"/>
          </w:tcPr>
          <w:p>
            <w:pPr>
              <w:spacing w:after="0"/>
              <w:rPr>
                <w:sz w:val="13"/>
                <w:szCs w:val="13"/>
                <w:color w:val="auto"/>
              </w:rPr>
            </w:pPr>
          </w:p>
        </w:tc>
        <w:tc>
          <w:tcPr>
            <w:tcW w:w="410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b w:val="1"/>
                <w:bCs w:val="1"/>
                <w:color w:val="auto"/>
              </w:rPr>
              <w:t>Termination Payments ($)</w:t>
            </w:r>
            <w:r>
              <w:rPr>
                <w:rFonts w:ascii="Arial" w:cs="Arial" w:eastAsia="Arial" w:hAnsi="Arial"/>
                <w:sz w:val="18"/>
                <w:szCs w:val="18"/>
                <w:b w:val="1"/>
                <w:bCs w:val="1"/>
                <w:color w:val="auto"/>
                <w:vertAlign w:val="superscript"/>
              </w:rPr>
              <w:t>(f)</w:t>
            </w:r>
          </w:p>
        </w:tc>
        <w:tc>
          <w:tcPr>
            <w:tcW w:w="1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1,468,125</w:t>
            </w:r>
          </w:p>
        </w:tc>
        <w:tc>
          <w:tcPr>
            <w:tcW w:w="20" w:type="dxa"/>
            <w:vAlign w:val="bottom"/>
          </w:tcPr>
          <w:p>
            <w:pPr>
              <w:spacing w:after="0"/>
              <w:rPr>
                <w:sz w:val="13"/>
                <w:szCs w:val="13"/>
                <w:color w:val="auto"/>
              </w:rPr>
            </w:pPr>
          </w:p>
        </w:tc>
      </w:tr>
    </w:tbl>
    <w:p>
      <w:pPr>
        <w:spacing w:after="0" w:line="126" w:lineRule="exact"/>
        <w:rPr>
          <w:sz w:val="20"/>
          <w:szCs w:val="20"/>
          <w:color w:val="auto"/>
        </w:rPr>
      </w:pPr>
    </w:p>
    <w:p>
      <w:pPr>
        <w:ind w:left="480" w:right="20" w:hanging="243"/>
        <w:spacing w:after="0" w:line="285" w:lineRule="auto"/>
        <w:tabs>
          <w:tab w:leader="none" w:pos="480" w:val="left"/>
        </w:tabs>
        <w:numPr>
          <w:ilvl w:val="0"/>
          <w:numId w:val="103"/>
        </w:numPr>
        <w:rPr>
          <w:rFonts w:ascii="Arial" w:cs="Arial" w:eastAsia="Arial" w:hAnsi="Arial"/>
          <w:sz w:val="14"/>
          <w:szCs w:val="14"/>
          <w:color w:val="404040"/>
        </w:rPr>
      </w:pPr>
      <w:r>
        <w:rPr>
          <w:rFonts w:ascii="Arial" w:cs="Arial" w:eastAsia="Arial" w:hAnsi="Arial"/>
          <w:sz w:val="14"/>
          <w:szCs w:val="14"/>
          <w:color w:val="404040"/>
        </w:rPr>
        <w:t>Officers participate in two qualified retirement plans: the Apache Corporation 401(k) Savings Plan provides a match up to the first 8% of base pay and incentive bonus, and the Apache Corporation Money Purchase Retirement Plan provides an annual 6% Company contribution. Additionally,</w:t>
      </w:r>
    </w:p>
    <w:p>
      <w:pPr>
        <w:spacing w:after="0" w:line="153"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20" w:right="1099" w:bottom="1440" w:gutter="0" w:footer="0" w:header="0"/>
        </w:sectPr>
      </w:pPr>
    </w:p>
    <w:bookmarkStart w:id="38" w:name="page39"/>
    <w:bookmarkEnd w:id="38"/>
    <w:p>
      <w:pPr>
        <w:ind w:left="1140" w:right="900"/>
        <w:spacing w:after="0" w:line="252" w:lineRule="auto"/>
        <w:rPr>
          <w:sz w:val="20"/>
          <w:szCs w:val="20"/>
          <w:color w:val="auto"/>
        </w:rPr>
      </w:pPr>
      <w:r>
        <w:rPr>
          <w:rFonts w:ascii="Arial" w:cs="Arial" w:eastAsia="Arial" w:hAnsi="Arial"/>
          <w:sz w:val="14"/>
          <w:szCs w:val="14"/>
          <w:color w:val="404040"/>
        </w:rPr>
        <w:t>officers can elect to participate in the Apache Corporation Non-Qualified Retirement/Savings Plan to defer beyond the limits in the Apache Corporation 401(k) Savings Plan and continue Company contributions that exceed the limits in the qualified plans. The APA Deferred Delivery Plan allows officers the ability to defer income in the form of deferred units from the vesting of RSUs under the Company’s 2016 Omnibus Compensation Plan. The contributions into both non-qualified plans are reported in the Non-Qualified Deferred Compensation Table. The Company does not have a defined benefit plan for U.S. employees.</w:t>
      </w:r>
    </w:p>
    <w:p>
      <w:pPr>
        <w:spacing w:after="0" w:line="19" w:lineRule="exact"/>
        <w:rPr>
          <w:sz w:val="20"/>
          <w:szCs w:val="20"/>
          <w:color w:val="auto"/>
        </w:rPr>
      </w:pPr>
    </w:p>
    <w:p>
      <w:pPr>
        <w:ind w:left="1140" w:right="680" w:hanging="243"/>
        <w:spacing w:after="0" w:line="263" w:lineRule="auto"/>
        <w:tabs>
          <w:tab w:leader="none" w:pos="1140" w:val="left"/>
        </w:tabs>
        <w:numPr>
          <w:ilvl w:val="1"/>
          <w:numId w:val="104"/>
        </w:numPr>
        <w:rPr>
          <w:rFonts w:ascii="Arial" w:cs="Arial" w:eastAsia="Arial" w:hAnsi="Arial"/>
          <w:sz w:val="14"/>
          <w:szCs w:val="14"/>
          <w:color w:val="404040"/>
        </w:rPr>
      </w:pPr>
      <w:r>
        <w:rPr>
          <w:rFonts w:ascii="Arial" w:cs="Arial" w:eastAsia="Arial" w:hAnsi="Arial"/>
          <w:sz w:val="14"/>
          <w:szCs w:val="14"/>
          <w:color w:val="404040"/>
        </w:rPr>
        <w:t>APA provides U.S. employees with two times their base salary under group term life insurance. Executives receive the first $50,000 of coverage under the same group term life insurance plan, and the remaining amount to bring them up to two times salary is provided in the form of universal life insurance policies.</w:t>
      </w:r>
    </w:p>
    <w:p>
      <w:pPr>
        <w:spacing w:after="0" w:line="10" w:lineRule="exact"/>
        <w:rPr>
          <w:rFonts w:ascii="Arial" w:cs="Arial" w:eastAsia="Arial" w:hAnsi="Arial"/>
          <w:sz w:val="14"/>
          <w:szCs w:val="14"/>
          <w:color w:val="404040"/>
        </w:rPr>
      </w:pPr>
    </w:p>
    <w:p>
      <w:pPr>
        <w:ind w:left="1140" w:right="680" w:hanging="243"/>
        <w:spacing w:after="0" w:line="245" w:lineRule="auto"/>
        <w:tabs>
          <w:tab w:leader="none" w:pos="1140" w:val="left"/>
        </w:tabs>
        <w:numPr>
          <w:ilvl w:val="1"/>
          <w:numId w:val="104"/>
        </w:numPr>
        <w:rPr>
          <w:rFonts w:ascii="Arial" w:cs="Arial" w:eastAsia="Arial" w:hAnsi="Arial"/>
          <w:sz w:val="14"/>
          <w:szCs w:val="14"/>
          <w:color w:val="404040"/>
        </w:rPr>
      </w:pPr>
      <w:r>
        <w:rPr>
          <w:rFonts w:ascii="Arial" w:cs="Arial" w:eastAsia="Arial" w:hAnsi="Arial"/>
          <w:sz w:val="14"/>
          <w:szCs w:val="14"/>
          <w:color w:val="404040"/>
        </w:rPr>
        <w:t>These amounts are for use of corporate aircraft. During this fiscal year, the Board required Mr. Christmann to use the Company’s aircraft for all air travel for security reasons and to facilitate efficient business travel, unless good business judgment required otherwise. Even though the Company considers these costs a necessary business expense rather than a perquisite, in line with SEC guidance, the table includes the amounts attributable to each NEO’s personal aircraft usage. Executives are not reimbursed for the taxes on the income attributable to the personal use of corporate aircraft. The methodology for the valuation of non-integral use of corporate aircraft for disclosure in the Summary Compensation Table, in compliance with SEC guidance, calculates the incremental cost to the Company for personal use of the aircraft based on the cost of fuel and oil per hour of flight; trip-related inspections, repairs, and maintenance; crew travel expenses; on-board catering; trip-related flight planning services; landing, parking, and hangar fees; supplies; passenger ground transportation; and other variable costs. Additionally, the value of trips attributable to philanthropic interests was included, even though they are seen as contributing to the goodwill of the Company. In addition, Standard Industry Fare Level tables, published by the Internal Revenue Service, are used to determine the amount of compensation income that is imputed to the executive for tax purposes for personal use of corporate aircraft.</w:t>
      </w:r>
    </w:p>
    <w:p>
      <w:pPr>
        <w:spacing w:after="0" w:line="28" w:lineRule="exact"/>
        <w:rPr>
          <w:rFonts w:ascii="Arial" w:cs="Arial" w:eastAsia="Arial" w:hAnsi="Arial"/>
          <w:sz w:val="14"/>
          <w:szCs w:val="14"/>
          <w:color w:val="404040"/>
        </w:rPr>
      </w:pPr>
    </w:p>
    <w:p>
      <w:pPr>
        <w:ind w:left="1140" w:right="860" w:hanging="243"/>
        <w:spacing w:after="0" w:line="281" w:lineRule="auto"/>
        <w:tabs>
          <w:tab w:leader="none" w:pos="1140" w:val="left"/>
        </w:tabs>
        <w:numPr>
          <w:ilvl w:val="1"/>
          <w:numId w:val="104"/>
        </w:numPr>
        <w:rPr>
          <w:rFonts w:ascii="Arial" w:cs="Arial" w:eastAsia="Arial" w:hAnsi="Arial"/>
          <w:sz w:val="14"/>
          <w:szCs w:val="14"/>
          <w:color w:val="404040"/>
        </w:rPr>
      </w:pPr>
      <w:r>
        <w:rPr>
          <w:rFonts w:ascii="Arial" w:cs="Arial" w:eastAsia="Arial" w:hAnsi="Arial"/>
          <w:sz w:val="14"/>
          <w:szCs w:val="14"/>
          <w:color w:val="404040"/>
        </w:rPr>
        <w:t>In addition to the benefits for which all employees are eligible, the Company also covers the full cost of enhanced long-term disability coverage for executive officers.</w:t>
      </w:r>
    </w:p>
    <w:p>
      <w:pPr>
        <w:spacing w:after="0" w:line="1" w:lineRule="exact"/>
        <w:rPr>
          <w:rFonts w:ascii="Arial" w:cs="Arial" w:eastAsia="Arial" w:hAnsi="Arial"/>
          <w:sz w:val="14"/>
          <w:szCs w:val="14"/>
          <w:color w:val="404040"/>
        </w:rPr>
      </w:pPr>
    </w:p>
    <w:p>
      <w:pPr>
        <w:jc w:val="both"/>
        <w:ind w:left="1140" w:right="720" w:hanging="243"/>
        <w:spacing w:after="0" w:line="248" w:lineRule="auto"/>
        <w:tabs>
          <w:tab w:leader="none" w:pos="1140" w:val="left"/>
        </w:tabs>
        <w:numPr>
          <w:ilvl w:val="1"/>
          <w:numId w:val="104"/>
        </w:numPr>
        <w:rPr>
          <w:rFonts w:ascii="Arial" w:cs="Arial" w:eastAsia="Arial" w:hAnsi="Arial"/>
          <w:sz w:val="14"/>
          <w:szCs w:val="14"/>
          <w:color w:val="404040"/>
        </w:rPr>
      </w:pPr>
      <w:r>
        <w:rPr>
          <w:rFonts w:ascii="Arial" w:cs="Arial" w:eastAsia="Arial" w:hAnsi="Arial"/>
          <w:sz w:val="14"/>
          <w:szCs w:val="14"/>
          <w:color w:val="404040"/>
        </w:rPr>
        <w:t>These amounts reflect payments made to qualified non-profit organizations under the Company’s Workplace Giving Program to match donations made by the officer. The administration of the Workplace Giving Program may result in reported amounts in excess of the annual matching limit, when a donation is made by an officer in one fiscal year, but the Company matching donation is not processed until the next fiscal year.</w:t>
      </w:r>
    </w:p>
    <w:p>
      <w:pPr>
        <w:ind w:left="1140"/>
        <w:spacing w:after="0"/>
        <w:rPr>
          <w:rFonts w:ascii="Arial" w:cs="Arial" w:eastAsia="Arial" w:hAnsi="Arial"/>
          <w:sz w:val="14"/>
          <w:szCs w:val="14"/>
          <w:color w:val="404040"/>
        </w:rPr>
      </w:pPr>
      <w:r>
        <w:rPr>
          <w:rFonts w:ascii="Arial" w:cs="Arial" w:eastAsia="Arial" w:hAnsi="Arial"/>
          <w:sz w:val="14"/>
          <w:szCs w:val="14"/>
          <w:color w:val="404040"/>
        </w:rPr>
        <w:t>Additional information about the Workplace Giving Program is provided in the Compensation Discussion and Analysis section above.</w:t>
      </w:r>
    </w:p>
    <w:p>
      <w:pPr>
        <w:spacing w:after="0" w:line="41" w:lineRule="exact"/>
        <w:rPr>
          <w:rFonts w:ascii="Arial" w:cs="Arial" w:eastAsia="Arial" w:hAnsi="Arial"/>
          <w:sz w:val="14"/>
          <w:szCs w:val="14"/>
          <w:color w:val="404040"/>
        </w:rPr>
      </w:pPr>
    </w:p>
    <w:p>
      <w:pPr>
        <w:ind w:left="1140" w:hanging="243"/>
        <w:spacing w:after="0"/>
        <w:tabs>
          <w:tab w:leader="none" w:pos="1140" w:val="left"/>
        </w:tabs>
        <w:numPr>
          <w:ilvl w:val="1"/>
          <w:numId w:val="104"/>
        </w:numPr>
        <w:rPr>
          <w:rFonts w:ascii="Arial" w:cs="Arial" w:eastAsia="Arial" w:hAnsi="Arial"/>
          <w:sz w:val="14"/>
          <w:szCs w:val="14"/>
          <w:color w:val="404040"/>
        </w:rPr>
      </w:pPr>
      <w:r>
        <w:rPr>
          <w:rFonts w:ascii="Arial" w:cs="Arial" w:eastAsia="Arial" w:hAnsi="Arial"/>
          <w:sz w:val="14"/>
          <w:szCs w:val="14"/>
          <w:color w:val="404040"/>
        </w:rPr>
        <w:t>These amounts reflect payments made under the Company’s Executive Termination Policy. See also footnote (7) below.</w:t>
      </w:r>
    </w:p>
    <w:p>
      <w:pPr>
        <w:spacing w:after="0" w:line="55" w:lineRule="exact"/>
        <w:rPr>
          <w:rFonts w:ascii="Arial" w:cs="Arial" w:eastAsia="Arial" w:hAnsi="Arial"/>
          <w:sz w:val="14"/>
          <w:szCs w:val="14"/>
          <w:color w:val="404040"/>
        </w:rPr>
      </w:pPr>
    </w:p>
    <w:p>
      <w:pPr>
        <w:ind w:left="900" w:right="700" w:hanging="236"/>
        <w:spacing w:after="0" w:line="281" w:lineRule="auto"/>
        <w:tabs>
          <w:tab w:leader="none" w:pos="900" w:val="left"/>
        </w:tabs>
        <w:numPr>
          <w:ilvl w:val="0"/>
          <w:numId w:val="105"/>
        </w:numPr>
        <w:rPr>
          <w:rFonts w:ascii="Arial" w:cs="Arial" w:eastAsia="Arial" w:hAnsi="Arial"/>
          <w:sz w:val="14"/>
          <w:szCs w:val="14"/>
          <w:color w:val="404040"/>
        </w:rPr>
      </w:pPr>
      <w:r>
        <w:rPr>
          <w:rFonts w:ascii="Arial" w:cs="Arial" w:eastAsia="Arial" w:hAnsi="Arial"/>
          <w:sz w:val="14"/>
          <w:szCs w:val="14"/>
          <w:color w:val="404040"/>
        </w:rPr>
        <w:t>Mr. Rodgers was not an NEO for 2023 or 2024. He was promoted to Executive Vice President and Chief Financial Officer effective on May 12, 2025. Mr. Riney held the role of Chief Financial Officer prior to such date.</w:t>
      </w:r>
    </w:p>
    <w:p>
      <w:pPr>
        <w:spacing w:after="0" w:line="1" w:lineRule="exact"/>
        <w:rPr>
          <w:rFonts w:ascii="Arial" w:cs="Arial" w:eastAsia="Arial" w:hAnsi="Arial"/>
          <w:sz w:val="14"/>
          <w:szCs w:val="14"/>
          <w:color w:val="404040"/>
        </w:rPr>
      </w:pPr>
    </w:p>
    <w:p>
      <w:pPr>
        <w:ind w:left="900" w:right="1040" w:hanging="236"/>
        <w:spacing w:after="0" w:line="281" w:lineRule="auto"/>
        <w:tabs>
          <w:tab w:leader="none" w:pos="900" w:val="left"/>
        </w:tabs>
        <w:numPr>
          <w:ilvl w:val="0"/>
          <w:numId w:val="105"/>
        </w:numPr>
        <w:rPr>
          <w:rFonts w:ascii="Arial" w:cs="Arial" w:eastAsia="Arial" w:hAnsi="Arial"/>
          <w:sz w:val="14"/>
          <w:szCs w:val="14"/>
          <w:color w:val="404040"/>
        </w:rPr>
      </w:pPr>
      <w:r>
        <w:rPr>
          <w:rFonts w:ascii="Arial" w:cs="Arial" w:eastAsia="Arial" w:hAnsi="Arial"/>
          <w:sz w:val="14"/>
          <w:szCs w:val="14"/>
          <w:color w:val="404040"/>
        </w:rPr>
        <w:t>Ms. Warnica joined the Company on January 13, 2025. The Bonus amount reflects a sign-on bonus, which is subject to clawback if she were to voluntarily cease her employment with the Company within two years from her date of hire.</w:t>
      </w:r>
    </w:p>
    <w:p>
      <w:pPr>
        <w:spacing w:after="0" w:line="1" w:lineRule="exact"/>
        <w:rPr>
          <w:rFonts w:ascii="Arial" w:cs="Arial" w:eastAsia="Arial" w:hAnsi="Arial"/>
          <w:sz w:val="14"/>
          <w:szCs w:val="14"/>
          <w:color w:val="404040"/>
        </w:rPr>
      </w:pPr>
    </w:p>
    <w:p>
      <w:pPr>
        <w:ind w:left="900" w:right="940" w:hanging="236"/>
        <w:spacing w:after="0" w:line="285" w:lineRule="auto"/>
        <w:tabs>
          <w:tab w:leader="none" w:pos="900" w:val="left"/>
        </w:tabs>
        <w:numPr>
          <w:ilvl w:val="0"/>
          <w:numId w:val="105"/>
        </w:numPr>
        <w:rPr>
          <w:rFonts w:ascii="Arial" w:cs="Arial" w:eastAsia="Arial" w:hAnsi="Arial"/>
          <w:sz w:val="14"/>
          <w:szCs w:val="14"/>
          <w:color w:val="404040"/>
        </w:rPr>
      </w:pPr>
      <w:r>
        <w:rPr>
          <w:rFonts w:ascii="Arial" w:cs="Arial" w:eastAsia="Arial" w:hAnsi="Arial"/>
          <w:sz w:val="14"/>
          <w:szCs w:val="14"/>
          <w:color w:val="404040"/>
        </w:rPr>
        <w:t xml:space="preserve">Mr. Bretches was terminated without cause effective June 4, 2025. Additional details are provided in the </w:t>
      </w:r>
      <w:r>
        <w:rPr>
          <w:rFonts w:ascii="Arial" w:cs="Arial" w:eastAsia="Arial" w:hAnsi="Arial"/>
          <w:sz w:val="14"/>
          <w:szCs w:val="14"/>
          <w:i w:val="1"/>
          <w:iCs w:val="1"/>
          <w:color w:val="404040"/>
        </w:rPr>
        <w:t>Potential Payments upon Termination or</w:t>
      </w:r>
      <w:r>
        <w:rPr>
          <w:rFonts w:ascii="Arial" w:cs="Arial" w:eastAsia="Arial" w:hAnsi="Arial"/>
          <w:sz w:val="14"/>
          <w:szCs w:val="14"/>
          <w:color w:val="404040"/>
        </w:rPr>
        <w:t xml:space="preserve"> </w:t>
      </w:r>
      <w:r>
        <w:rPr>
          <w:rFonts w:ascii="Arial" w:cs="Arial" w:eastAsia="Arial" w:hAnsi="Arial"/>
          <w:sz w:val="14"/>
          <w:szCs w:val="14"/>
          <w:i w:val="1"/>
          <w:iCs w:val="1"/>
          <w:color w:val="404040"/>
        </w:rPr>
        <w:t xml:space="preserve">Change in Control </w:t>
      </w:r>
      <w:r>
        <w:rPr>
          <w:rFonts w:ascii="Arial" w:cs="Arial" w:eastAsia="Arial" w:hAnsi="Arial"/>
          <w:sz w:val="14"/>
          <w:szCs w:val="14"/>
          <w:color w:val="404040"/>
        </w:rPr>
        <w:t>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33</w:t>
            </w:r>
          </w:p>
        </w:tc>
      </w:tr>
      <w:tr>
        <w:trPr>
          <w:trHeight w:val="878"/>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29" w:right="439" w:bottom="1440" w:gutter="0" w:footer="0" w:header="0"/>
        </w:sectPr>
      </w:pPr>
    </w:p>
    <w:bookmarkStart w:id="39" w:name="page40"/>
    <w:bookmarkEnd w:id="39"/>
    <w:p>
      <w:pPr>
        <w:spacing w:after="0"/>
        <w:rPr>
          <w:sz w:val="20"/>
          <w:szCs w:val="20"/>
          <w:color w:val="auto"/>
        </w:rPr>
      </w:pPr>
      <w:r>
        <w:rPr>
          <w:rFonts w:ascii="Arial" w:cs="Arial" w:eastAsia="Arial" w:hAnsi="Arial"/>
          <w:sz w:val="25"/>
          <w:szCs w:val="25"/>
          <w:b w:val="1"/>
          <w:bCs w:val="1"/>
          <w:i w:val="1"/>
          <w:iCs w:val="1"/>
          <w:color w:val="auto"/>
        </w:rPr>
        <w:t>Grants of Plan-Based Awards Table</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table below provides supplemental information relating to the Company’s annual incentive compensation plan and the Company’s grants of RSUs and cash-based awards during fiscal year 2025 to the NEOs. Also included, in accordance with SEC rules on disclosure of executive compensation, is information relating to the estimated grant date fair value of the grants. Neither the values reflected in the table nor the assumptions utilized in arriving at the values should be considered indicative of future stock performance.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080" w:type="dxa"/>
            <w:vAlign w:val="bottom"/>
            <w:tcBorders>
              <w:top w:val="single" w:sz="8" w:color="auto"/>
            </w:tcBorders>
            <w:shd w:val="clear" w:color="auto" w:fill="F3F3F4"/>
          </w:tcPr>
          <w:p>
            <w:pPr>
              <w:spacing w:after="0"/>
              <w:rPr>
                <w:sz w:val="10"/>
                <w:szCs w:val="10"/>
                <w:color w:val="auto"/>
              </w:rPr>
            </w:pPr>
          </w:p>
        </w:tc>
        <w:tc>
          <w:tcPr>
            <w:tcW w:w="660" w:type="dxa"/>
            <w:vAlign w:val="bottom"/>
            <w:tcBorders>
              <w:top w:val="single" w:sz="8" w:color="auto"/>
            </w:tcBorders>
            <w:shd w:val="clear" w:color="auto" w:fill="F3F3F4"/>
          </w:tcPr>
          <w:p>
            <w:pPr>
              <w:spacing w:after="0"/>
              <w:rPr>
                <w:sz w:val="10"/>
                <w:szCs w:val="10"/>
                <w:color w:val="auto"/>
              </w:rPr>
            </w:pPr>
          </w:p>
        </w:tc>
        <w:tc>
          <w:tcPr>
            <w:tcW w:w="2360" w:type="dxa"/>
            <w:vAlign w:val="bottom"/>
            <w:tcBorders>
              <w:top w:val="single" w:sz="8" w:color="auto"/>
            </w:tcBorders>
            <w:gridSpan w:val="3"/>
            <w:shd w:val="clear" w:color="auto" w:fill="F3F3F4"/>
          </w:tcPr>
          <w:p>
            <w:pPr>
              <w:jc w:val="right"/>
              <w:ind w:right="17"/>
              <w:spacing w:after="0" w:line="122" w:lineRule="exact"/>
              <w:rPr>
                <w:sz w:val="20"/>
                <w:szCs w:val="20"/>
                <w:color w:val="auto"/>
              </w:rPr>
            </w:pPr>
            <w:r>
              <w:rPr>
                <w:rFonts w:ascii="Arial" w:cs="Arial" w:eastAsia="Arial" w:hAnsi="Arial"/>
                <w:sz w:val="13"/>
                <w:szCs w:val="13"/>
                <w:b w:val="1"/>
                <w:bCs w:val="1"/>
                <w:color w:val="auto"/>
                <w:w w:val="96"/>
              </w:rPr>
              <w:t>Estimated Future Payouts Under Non-</w:t>
            </w:r>
          </w:p>
        </w:tc>
        <w:tc>
          <w:tcPr>
            <w:tcW w:w="2180" w:type="dxa"/>
            <w:vAlign w:val="bottom"/>
            <w:tcBorders>
              <w:top w:val="single" w:sz="8" w:color="auto"/>
            </w:tcBorders>
            <w:gridSpan w:val="3"/>
            <w:shd w:val="clear" w:color="auto" w:fill="F3F3F4"/>
          </w:tcPr>
          <w:p>
            <w:pPr>
              <w:ind w:left="80"/>
              <w:spacing w:after="0" w:line="122" w:lineRule="exact"/>
              <w:rPr>
                <w:sz w:val="20"/>
                <w:szCs w:val="20"/>
                <w:color w:val="auto"/>
              </w:rPr>
            </w:pPr>
            <w:r>
              <w:rPr>
                <w:rFonts w:ascii="Arial" w:cs="Arial" w:eastAsia="Arial" w:hAnsi="Arial"/>
                <w:sz w:val="13"/>
                <w:szCs w:val="13"/>
                <w:b w:val="1"/>
                <w:bCs w:val="1"/>
                <w:color w:val="auto"/>
              </w:rPr>
              <w:t>Estimated Future Payouts Under</w:t>
            </w:r>
          </w:p>
        </w:tc>
        <w:tc>
          <w:tcPr>
            <w:tcW w:w="60" w:type="dxa"/>
            <w:vAlign w:val="bottom"/>
            <w:tcBorders>
              <w:top w:val="single" w:sz="8" w:color="auto"/>
            </w:tcBorders>
            <w:shd w:val="clear" w:color="auto" w:fill="F3F3F4"/>
          </w:tcPr>
          <w:p>
            <w:pPr>
              <w:spacing w:after="0"/>
              <w:rPr>
                <w:sz w:val="10"/>
                <w:szCs w:val="10"/>
                <w:color w:val="auto"/>
              </w:rPr>
            </w:pPr>
          </w:p>
        </w:tc>
        <w:tc>
          <w:tcPr>
            <w:tcW w:w="640" w:type="dxa"/>
            <w:vAlign w:val="bottom"/>
            <w:tcBorders>
              <w:top w:val="single" w:sz="8" w:color="auto"/>
            </w:tcBorders>
            <w:shd w:val="clear" w:color="auto" w:fill="F3F3F4"/>
          </w:tcPr>
          <w:p>
            <w:pPr>
              <w:spacing w:after="0"/>
              <w:rPr>
                <w:sz w:val="10"/>
                <w:szCs w:val="10"/>
                <w:color w:val="auto"/>
              </w:rPr>
            </w:pPr>
          </w:p>
        </w:tc>
        <w:tc>
          <w:tcPr>
            <w:tcW w:w="780" w:type="dxa"/>
            <w:vAlign w:val="bottom"/>
            <w:tcBorders>
              <w:top w:val="single" w:sz="8" w:color="auto"/>
            </w:tcBorders>
            <w:shd w:val="clear" w:color="auto" w:fill="F3F3F4"/>
          </w:tcPr>
          <w:p>
            <w:pPr>
              <w:spacing w:after="0"/>
              <w:rPr>
                <w:sz w:val="10"/>
                <w:szCs w:val="10"/>
                <w:color w:val="auto"/>
              </w:rPr>
            </w:pPr>
          </w:p>
        </w:tc>
        <w:tc>
          <w:tcPr>
            <w:tcW w:w="840" w:type="dxa"/>
            <w:vAlign w:val="bottom"/>
            <w:tcBorders>
              <w:top w:val="single" w:sz="8" w:color="auto"/>
            </w:tcBorders>
            <w:shd w:val="clear" w:color="auto" w:fill="F3F3F4"/>
          </w:tcPr>
          <w:p>
            <w:pPr>
              <w:spacing w:after="0"/>
              <w:rPr>
                <w:sz w:val="10"/>
                <w:szCs w:val="10"/>
                <w:color w:val="auto"/>
              </w:rPr>
            </w:pPr>
          </w:p>
        </w:tc>
        <w:tc>
          <w:tcPr>
            <w:tcW w:w="1120" w:type="dxa"/>
            <w:vAlign w:val="bottom"/>
            <w:tcBorders>
              <w:top w:val="single" w:sz="8" w:color="auto"/>
            </w:tcBorders>
            <w:shd w:val="clear" w:color="auto" w:fill="F3F3F4"/>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080" w:type="dxa"/>
            <w:vAlign w:val="bottom"/>
            <w:tcBorders>
              <w:bottom w:val="single" w:sz="8" w:color="F3F3F4"/>
            </w:tcBorders>
            <w:shd w:val="clear" w:color="auto" w:fill="F3F3F4"/>
          </w:tcPr>
          <w:p>
            <w:pPr>
              <w:spacing w:after="0"/>
              <w:rPr>
                <w:sz w:val="14"/>
                <w:szCs w:val="14"/>
                <w:color w:val="auto"/>
              </w:rPr>
            </w:pPr>
          </w:p>
        </w:tc>
        <w:tc>
          <w:tcPr>
            <w:tcW w:w="660" w:type="dxa"/>
            <w:vAlign w:val="bottom"/>
            <w:tcBorders>
              <w:bottom w:val="single" w:sz="8" w:color="F3F3F4"/>
            </w:tcBorders>
            <w:shd w:val="clear" w:color="auto" w:fill="F3F3F4"/>
          </w:tcPr>
          <w:p>
            <w:pPr>
              <w:spacing w:after="0"/>
              <w:rPr>
                <w:sz w:val="14"/>
                <w:szCs w:val="14"/>
                <w:color w:val="auto"/>
              </w:rPr>
            </w:pPr>
          </w:p>
        </w:tc>
        <w:tc>
          <w:tcPr>
            <w:tcW w:w="2360" w:type="dxa"/>
            <w:vAlign w:val="bottom"/>
            <w:tcBorders>
              <w:bottom w:val="single" w:sz="8" w:color="auto"/>
            </w:tcBorders>
            <w:gridSpan w:val="3"/>
            <w:shd w:val="clear" w:color="auto" w:fill="F3F3F4"/>
          </w:tcPr>
          <w:p>
            <w:pPr>
              <w:jc w:val="right"/>
              <w:ind w:right="177"/>
              <w:spacing w:after="0" w:line="162" w:lineRule="exact"/>
              <w:rPr>
                <w:sz w:val="20"/>
                <w:szCs w:val="20"/>
                <w:color w:val="auto"/>
              </w:rPr>
            </w:pPr>
            <w:r>
              <w:rPr>
                <w:rFonts w:ascii="Arial" w:cs="Arial" w:eastAsia="Arial" w:hAnsi="Arial"/>
                <w:sz w:val="13"/>
                <w:szCs w:val="13"/>
                <w:b w:val="1"/>
                <w:bCs w:val="1"/>
                <w:color w:val="auto"/>
              </w:rPr>
              <w:t>Equity Incentive Plan Awards</w:t>
            </w:r>
            <w:r>
              <w:rPr>
                <w:rFonts w:ascii="Arial" w:cs="Arial" w:eastAsia="Arial" w:hAnsi="Arial"/>
                <w:sz w:val="16"/>
                <w:szCs w:val="16"/>
                <w:color w:val="auto"/>
                <w:vertAlign w:val="superscript"/>
              </w:rPr>
              <w:t>(1)(3)</w:t>
            </w:r>
          </w:p>
        </w:tc>
        <w:tc>
          <w:tcPr>
            <w:tcW w:w="2180" w:type="dxa"/>
            <w:vAlign w:val="bottom"/>
            <w:tcBorders>
              <w:bottom w:val="single" w:sz="8" w:color="auto"/>
            </w:tcBorders>
            <w:gridSpan w:val="3"/>
            <w:shd w:val="clear" w:color="auto" w:fill="F3F3F4"/>
          </w:tcPr>
          <w:p>
            <w:pPr>
              <w:ind w:left="100"/>
              <w:spacing w:after="0" w:line="162" w:lineRule="exact"/>
              <w:rPr>
                <w:sz w:val="20"/>
                <w:szCs w:val="20"/>
                <w:color w:val="auto"/>
              </w:rPr>
            </w:pPr>
            <w:r>
              <w:rPr>
                <w:rFonts w:ascii="Arial" w:cs="Arial" w:eastAsia="Arial" w:hAnsi="Arial"/>
                <w:sz w:val="13"/>
                <w:szCs w:val="13"/>
                <w:b w:val="1"/>
                <w:bCs w:val="1"/>
                <w:color w:val="auto"/>
                <w:w w:val="99"/>
              </w:rPr>
              <w:t>Equity Incentive Plan Awards</w:t>
            </w:r>
            <w:r>
              <w:rPr>
                <w:rFonts w:ascii="Arial" w:cs="Arial" w:eastAsia="Arial" w:hAnsi="Arial"/>
                <w:sz w:val="16"/>
                <w:szCs w:val="16"/>
                <w:color w:val="auto"/>
                <w:w w:val="99"/>
                <w:vertAlign w:val="superscript"/>
              </w:rPr>
              <w:t>(2)(3)</w:t>
            </w:r>
          </w:p>
        </w:tc>
        <w:tc>
          <w:tcPr>
            <w:tcW w:w="60" w:type="dxa"/>
            <w:vAlign w:val="bottom"/>
            <w:tcBorders>
              <w:bottom w:val="single" w:sz="8" w:color="auto"/>
            </w:tcBorders>
            <w:shd w:val="clear" w:color="auto" w:fill="F3F3F4"/>
          </w:tcPr>
          <w:p>
            <w:pPr>
              <w:spacing w:after="0"/>
              <w:rPr>
                <w:sz w:val="14"/>
                <w:szCs w:val="14"/>
                <w:color w:val="auto"/>
              </w:rPr>
            </w:pPr>
          </w:p>
        </w:tc>
        <w:tc>
          <w:tcPr>
            <w:tcW w:w="640" w:type="dxa"/>
            <w:vAlign w:val="bottom"/>
            <w:tcBorders>
              <w:bottom w:val="single" w:sz="8" w:color="F3F3F4"/>
            </w:tcBorders>
            <w:vMerge w:val="restart"/>
            <w:shd w:val="clear" w:color="auto" w:fill="F3F3F4"/>
          </w:tcPr>
          <w:p>
            <w:pPr>
              <w:jc w:val="center"/>
              <w:ind w:right="18"/>
              <w:spacing w:after="0"/>
              <w:rPr>
                <w:sz w:val="20"/>
                <w:szCs w:val="20"/>
                <w:color w:val="auto"/>
              </w:rPr>
            </w:pPr>
            <w:r>
              <w:rPr>
                <w:rFonts w:ascii="Arial" w:cs="Arial" w:eastAsia="Arial" w:hAnsi="Arial"/>
                <w:sz w:val="13"/>
                <w:szCs w:val="13"/>
                <w:b w:val="1"/>
                <w:bCs w:val="1"/>
                <w:color w:val="auto"/>
                <w:w w:val="94"/>
              </w:rPr>
              <w:t>All Other</w:t>
            </w:r>
          </w:p>
        </w:tc>
        <w:tc>
          <w:tcPr>
            <w:tcW w:w="780" w:type="dxa"/>
            <w:vAlign w:val="bottom"/>
            <w:tcBorders>
              <w:bottom w:val="single" w:sz="8" w:color="F3F3F4"/>
            </w:tcBorders>
            <w:shd w:val="clear" w:color="auto" w:fill="F3F3F4"/>
          </w:tcPr>
          <w:p>
            <w:pPr>
              <w:spacing w:after="0"/>
              <w:rPr>
                <w:sz w:val="14"/>
                <w:szCs w:val="14"/>
                <w:color w:val="auto"/>
              </w:rPr>
            </w:pPr>
          </w:p>
        </w:tc>
        <w:tc>
          <w:tcPr>
            <w:tcW w:w="840" w:type="dxa"/>
            <w:vAlign w:val="bottom"/>
            <w:tcBorders>
              <w:bottom w:val="single" w:sz="8" w:color="F3F3F4"/>
            </w:tcBorders>
            <w:shd w:val="clear" w:color="auto" w:fill="F3F3F4"/>
          </w:tcPr>
          <w:p>
            <w:pPr>
              <w:spacing w:after="0"/>
              <w:rPr>
                <w:sz w:val="14"/>
                <w:szCs w:val="14"/>
                <w:color w:val="auto"/>
              </w:rPr>
            </w:pPr>
          </w:p>
        </w:tc>
        <w:tc>
          <w:tcPr>
            <w:tcW w:w="1120" w:type="dxa"/>
            <w:vAlign w:val="bottom"/>
            <w:tcBorders>
              <w:bottom w:val="single" w:sz="8" w:color="F3F3F4"/>
            </w:tcBorders>
            <w:shd w:val="clear" w:color="auto" w:fill="F3F3F4"/>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080" w:type="dxa"/>
            <w:vAlign w:val="bottom"/>
            <w:shd w:val="clear" w:color="auto" w:fill="F3F3F4"/>
          </w:tcPr>
          <w:p>
            <w:pPr>
              <w:spacing w:after="0"/>
              <w:rPr>
                <w:sz w:val="9"/>
                <w:szCs w:val="9"/>
                <w:color w:val="auto"/>
              </w:rPr>
            </w:pPr>
          </w:p>
        </w:tc>
        <w:tc>
          <w:tcPr>
            <w:tcW w:w="660" w:type="dxa"/>
            <w:vAlign w:val="bottom"/>
            <w:shd w:val="clear" w:color="auto" w:fill="F3F3F4"/>
          </w:tcPr>
          <w:p>
            <w:pPr>
              <w:spacing w:after="0"/>
              <w:rPr>
                <w:sz w:val="9"/>
                <w:szCs w:val="9"/>
                <w:color w:val="auto"/>
              </w:rPr>
            </w:pPr>
          </w:p>
        </w:tc>
        <w:tc>
          <w:tcPr>
            <w:tcW w:w="840" w:type="dxa"/>
            <w:vAlign w:val="bottom"/>
            <w:shd w:val="clear" w:color="auto" w:fill="F3F3F4"/>
          </w:tcPr>
          <w:p>
            <w:pPr>
              <w:spacing w:after="0"/>
              <w:rPr>
                <w:sz w:val="9"/>
                <w:szCs w:val="9"/>
                <w:color w:val="auto"/>
              </w:rPr>
            </w:pPr>
          </w:p>
        </w:tc>
        <w:tc>
          <w:tcPr>
            <w:tcW w:w="780" w:type="dxa"/>
            <w:vAlign w:val="bottom"/>
            <w:shd w:val="clear" w:color="auto" w:fill="F3F3F4"/>
          </w:tcPr>
          <w:p>
            <w:pPr>
              <w:spacing w:after="0"/>
              <w:rPr>
                <w:sz w:val="9"/>
                <w:szCs w:val="9"/>
                <w:color w:val="auto"/>
              </w:rPr>
            </w:pPr>
          </w:p>
        </w:tc>
        <w:tc>
          <w:tcPr>
            <w:tcW w:w="740" w:type="dxa"/>
            <w:vAlign w:val="bottom"/>
            <w:shd w:val="clear" w:color="auto" w:fill="F3F3F4"/>
          </w:tcPr>
          <w:p>
            <w:pPr>
              <w:spacing w:after="0"/>
              <w:rPr>
                <w:sz w:val="9"/>
                <w:szCs w:val="9"/>
                <w:color w:val="auto"/>
              </w:rPr>
            </w:pPr>
          </w:p>
        </w:tc>
        <w:tc>
          <w:tcPr>
            <w:tcW w:w="780" w:type="dxa"/>
            <w:vAlign w:val="bottom"/>
            <w:shd w:val="clear" w:color="auto" w:fill="F3F3F4"/>
          </w:tcPr>
          <w:p>
            <w:pPr>
              <w:spacing w:after="0"/>
              <w:rPr>
                <w:sz w:val="9"/>
                <w:szCs w:val="9"/>
                <w:color w:val="auto"/>
              </w:rPr>
            </w:pPr>
          </w:p>
        </w:tc>
        <w:tc>
          <w:tcPr>
            <w:tcW w:w="680" w:type="dxa"/>
            <w:vAlign w:val="bottom"/>
            <w:shd w:val="clear" w:color="auto" w:fill="F3F3F4"/>
          </w:tcPr>
          <w:p>
            <w:pPr>
              <w:spacing w:after="0"/>
              <w:rPr>
                <w:sz w:val="9"/>
                <w:szCs w:val="9"/>
                <w:color w:val="auto"/>
              </w:rPr>
            </w:pPr>
          </w:p>
        </w:tc>
        <w:tc>
          <w:tcPr>
            <w:tcW w:w="720" w:type="dxa"/>
            <w:vAlign w:val="bottom"/>
            <w:shd w:val="clear" w:color="auto" w:fill="F3F3F4"/>
          </w:tcPr>
          <w:p>
            <w:pPr>
              <w:spacing w:after="0"/>
              <w:rPr>
                <w:sz w:val="9"/>
                <w:szCs w:val="9"/>
                <w:color w:val="auto"/>
              </w:rPr>
            </w:pPr>
          </w:p>
        </w:tc>
        <w:tc>
          <w:tcPr>
            <w:tcW w:w="60" w:type="dxa"/>
            <w:vAlign w:val="bottom"/>
            <w:shd w:val="clear" w:color="auto" w:fill="F3F3F4"/>
          </w:tcPr>
          <w:p>
            <w:pPr>
              <w:spacing w:after="0"/>
              <w:rPr>
                <w:sz w:val="9"/>
                <w:szCs w:val="9"/>
                <w:color w:val="auto"/>
              </w:rPr>
            </w:pPr>
          </w:p>
        </w:tc>
        <w:tc>
          <w:tcPr>
            <w:tcW w:w="640" w:type="dxa"/>
            <w:vAlign w:val="bottom"/>
            <w:vMerge w:val="continue"/>
            <w:shd w:val="clear" w:color="auto" w:fill="F3F3F4"/>
          </w:tcPr>
          <w:p>
            <w:pPr>
              <w:spacing w:after="0"/>
              <w:rPr>
                <w:sz w:val="9"/>
                <w:szCs w:val="9"/>
                <w:color w:val="auto"/>
              </w:rPr>
            </w:pPr>
          </w:p>
        </w:tc>
        <w:tc>
          <w:tcPr>
            <w:tcW w:w="780" w:type="dxa"/>
            <w:vAlign w:val="bottom"/>
            <w:vMerge w:val="restart"/>
            <w:shd w:val="clear" w:color="auto" w:fill="F3F3F4"/>
          </w:tcPr>
          <w:p>
            <w:pPr>
              <w:jc w:val="right"/>
              <w:ind w:right="38"/>
              <w:spacing w:after="0"/>
              <w:rPr>
                <w:sz w:val="20"/>
                <w:szCs w:val="20"/>
                <w:color w:val="auto"/>
              </w:rPr>
            </w:pPr>
            <w:r>
              <w:rPr>
                <w:rFonts w:ascii="Arial" w:cs="Arial" w:eastAsia="Arial" w:hAnsi="Arial"/>
                <w:sz w:val="13"/>
                <w:szCs w:val="13"/>
                <w:b w:val="1"/>
                <w:bCs w:val="1"/>
                <w:color w:val="auto"/>
              </w:rPr>
              <w:t>All Other</w:t>
            </w:r>
          </w:p>
        </w:tc>
        <w:tc>
          <w:tcPr>
            <w:tcW w:w="840" w:type="dxa"/>
            <w:vAlign w:val="bottom"/>
            <w:shd w:val="clear" w:color="auto" w:fill="F3F3F4"/>
          </w:tcPr>
          <w:p>
            <w:pPr>
              <w:spacing w:after="0"/>
              <w:rPr>
                <w:sz w:val="9"/>
                <w:szCs w:val="9"/>
                <w:color w:val="auto"/>
              </w:rPr>
            </w:pPr>
          </w:p>
        </w:tc>
        <w:tc>
          <w:tcPr>
            <w:tcW w:w="1120" w:type="dxa"/>
            <w:vAlign w:val="bottom"/>
            <w:shd w:val="clear" w:color="auto" w:fill="F3F3F4"/>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shd w:val="clear" w:color="auto" w:fill="F3F3F4"/>
          </w:tcPr>
          <w:p>
            <w:pPr>
              <w:spacing w:after="0"/>
              <w:rPr>
                <w:sz w:val="10"/>
                <w:szCs w:val="10"/>
                <w:color w:val="auto"/>
              </w:rPr>
            </w:pPr>
          </w:p>
        </w:tc>
        <w:tc>
          <w:tcPr>
            <w:tcW w:w="660" w:type="dxa"/>
            <w:vAlign w:val="bottom"/>
            <w:shd w:val="clear" w:color="auto" w:fill="F3F3F4"/>
          </w:tcPr>
          <w:p>
            <w:pPr>
              <w:spacing w:after="0"/>
              <w:rPr>
                <w:sz w:val="10"/>
                <w:szCs w:val="10"/>
                <w:color w:val="auto"/>
              </w:rPr>
            </w:pPr>
          </w:p>
        </w:tc>
        <w:tc>
          <w:tcPr>
            <w:tcW w:w="840" w:type="dxa"/>
            <w:vAlign w:val="bottom"/>
            <w:shd w:val="clear" w:color="auto" w:fill="F3F3F4"/>
          </w:tcPr>
          <w:p>
            <w:pPr>
              <w:spacing w:after="0"/>
              <w:rPr>
                <w:sz w:val="10"/>
                <w:szCs w:val="10"/>
                <w:color w:val="auto"/>
              </w:rPr>
            </w:pPr>
          </w:p>
        </w:tc>
        <w:tc>
          <w:tcPr>
            <w:tcW w:w="780" w:type="dxa"/>
            <w:vAlign w:val="bottom"/>
            <w:shd w:val="clear" w:color="auto" w:fill="F3F3F4"/>
          </w:tcPr>
          <w:p>
            <w:pPr>
              <w:spacing w:after="0"/>
              <w:rPr>
                <w:sz w:val="10"/>
                <w:szCs w:val="10"/>
                <w:color w:val="auto"/>
              </w:rPr>
            </w:pPr>
          </w:p>
        </w:tc>
        <w:tc>
          <w:tcPr>
            <w:tcW w:w="740" w:type="dxa"/>
            <w:vAlign w:val="bottom"/>
            <w:shd w:val="clear" w:color="auto" w:fill="F3F3F4"/>
          </w:tcPr>
          <w:p>
            <w:pPr>
              <w:spacing w:after="0"/>
              <w:rPr>
                <w:sz w:val="10"/>
                <w:szCs w:val="10"/>
                <w:color w:val="auto"/>
              </w:rPr>
            </w:pPr>
          </w:p>
        </w:tc>
        <w:tc>
          <w:tcPr>
            <w:tcW w:w="780" w:type="dxa"/>
            <w:vAlign w:val="bottom"/>
            <w:shd w:val="clear" w:color="auto" w:fill="F3F3F4"/>
          </w:tcPr>
          <w:p>
            <w:pPr>
              <w:spacing w:after="0"/>
              <w:rPr>
                <w:sz w:val="10"/>
                <w:szCs w:val="10"/>
                <w:color w:val="auto"/>
              </w:rPr>
            </w:pPr>
          </w:p>
        </w:tc>
        <w:tc>
          <w:tcPr>
            <w:tcW w:w="680" w:type="dxa"/>
            <w:vAlign w:val="bottom"/>
            <w:shd w:val="clear" w:color="auto" w:fill="F3F3F4"/>
          </w:tcPr>
          <w:p>
            <w:pPr>
              <w:spacing w:after="0"/>
              <w:rPr>
                <w:sz w:val="10"/>
                <w:szCs w:val="10"/>
                <w:color w:val="auto"/>
              </w:rPr>
            </w:pPr>
          </w:p>
        </w:tc>
        <w:tc>
          <w:tcPr>
            <w:tcW w:w="720" w:type="dxa"/>
            <w:vAlign w:val="bottom"/>
            <w:shd w:val="clear" w:color="auto" w:fill="F3F3F4"/>
          </w:tcPr>
          <w:p>
            <w:pPr>
              <w:spacing w:after="0"/>
              <w:rPr>
                <w:sz w:val="10"/>
                <w:szCs w:val="10"/>
                <w:color w:val="auto"/>
              </w:rPr>
            </w:pPr>
          </w:p>
        </w:tc>
        <w:tc>
          <w:tcPr>
            <w:tcW w:w="60" w:type="dxa"/>
            <w:vAlign w:val="bottom"/>
            <w:shd w:val="clear" w:color="auto" w:fill="F3F3F4"/>
          </w:tcPr>
          <w:p>
            <w:pPr>
              <w:spacing w:after="0"/>
              <w:rPr>
                <w:sz w:val="10"/>
                <w:szCs w:val="10"/>
                <w:color w:val="auto"/>
              </w:rPr>
            </w:pPr>
          </w:p>
        </w:tc>
        <w:tc>
          <w:tcPr>
            <w:tcW w:w="640" w:type="dxa"/>
            <w:vAlign w:val="bottom"/>
            <w:shd w:val="clear" w:color="auto" w:fill="F3F3F4"/>
          </w:tcPr>
          <w:p>
            <w:pPr>
              <w:jc w:val="right"/>
              <w:ind w:right="38"/>
              <w:spacing w:after="0" w:line="126" w:lineRule="exact"/>
              <w:rPr>
                <w:sz w:val="20"/>
                <w:szCs w:val="20"/>
                <w:color w:val="auto"/>
              </w:rPr>
            </w:pPr>
            <w:r>
              <w:rPr>
                <w:rFonts w:ascii="Arial" w:cs="Arial" w:eastAsia="Arial" w:hAnsi="Arial"/>
                <w:sz w:val="13"/>
                <w:szCs w:val="13"/>
                <w:b w:val="1"/>
                <w:bCs w:val="1"/>
                <w:color w:val="auto"/>
              </w:rPr>
              <w:t>Stock</w:t>
            </w:r>
          </w:p>
        </w:tc>
        <w:tc>
          <w:tcPr>
            <w:tcW w:w="780" w:type="dxa"/>
            <w:vAlign w:val="bottom"/>
            <w:vMerge w:val="continue"/>
            <w:shd w:val="clear" w:color="auto" w:fill="F3F3F4"/>
          </w:tcPr>
          <w:p>
            <w:pPr>
              <w:spacing w:after="0"/>
              <w:rPr>
                <w:sz w:val="10"/>
                <w:szCs w:val="10"/>
                <w:color w:val="auto"/>
              </w:rPr>
            </w:pPr>
          </w:p>
        </w:tc>
        <w:tc>
          <w:tcPr>
            <w:tcW w:w="840" w:type="dxa"/>
            <w:vAlign w:val="bottom"/>
            <w:shd w:val="clear" w:color="auto" w:fill="F3F3F4"/>
          </w:tcPr>
          <w:p>
            <w:pPr>
              <w:spacing w:after="0"/>
              <w:rPr>
                <w:sz w:val="10"/>
                <w:szCs w:val="10"/>
                <w:color w:val="auto"/>
              </w:rPr>
            </w:pPr>
          </w:p>
        </w:tc>
        <w:tc>
          <w:tcPr>
            <w:tcW w:w="1120" w:type="dxa"/>
            <w:vAlign w:val="bottom"/>
            <w:shd w:val="clear" w:color="auto" w:fill="F3F3F4"/>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F3F3F4"/>
          </w:tcPr>
          <w:p>
            <w:pPr>
              <w:spacing w:after="0"/>
              <w:rPr>
                <w:sz w:val="11"/>
                <w:szCs w:val="11"/>
                <w:color w:val="auto"/>
              </w:rPr>
            </w:pPr>
          </w:p>
        </w:tc>
        <w:tc>
          <w:tcPr>
            <w:tcW w:w="660" w:type="dxa"/>
            <w:vAlign w:val="bottom"/>
            <w:shd w:val="clear" w:color="auto" w:fill="F3F3F4"/>
          </w:tcPr>
          <w:p>
            <w:pPr>
              <w:spacing w:after="0"/>
              <w:rPr>
                <w:sz w:val="11"/>
                <w:szCs w:val="11"/>
                <w:color w:val="auto"/>
              </w:rPr>
            </w:pPr>
          </w:p>
        </w:tc>
        <w:tc>
          <w:tcPr>
            <w:tcW w:w="840" w:type="dxa"/>
            <w:vAlign w:val="bottom"/>
            <w:shd w:val="clear" w:color="auto" w:fill="F3F3F4"/>
          </w:tcPr>
          <w:p>
            <w:pPr>
              <w:spacing w:after="0"/>
              <w:rPr>
                <w:sz w:val="11"/>
                <w:szCs w:val="11"/>
                <w:color w:val="auto"/>
              </w:rPr>
            </w:pPr>
          </w:p>
        </w:tc>
        <w:tc>
          <w:tcPr>
            <w:tcW w:w="780" w:type="dxa"/>
            <w:vAlign w:val="bottom"/>
            <w:shd w:val="clear" w:color="auto" w:fill="F3F3F4"/>
          </w:tcPr>
          <w:p>
            <w:pPr>
              <w:spacing w:after="0"/>
              <w:rPr>
                <w:sz w:val="11"/>
                <w:szCs w:val="11"/>
                <w:color w:val="auto"/>
              </w:rPr>
            </w:pPr>
          </w:p>
        </w:tc>
        <w:tc>
          <w:tcPr>
            <w:tcW w:w="740" w:type="dxa"/>
            <w:vAlign w:val="bottom"/>
            <w:shd w:val="clear" w:color="auto" w:fill="F3F3F4"/>
          </w:tcPr>
          <w:p>
            <w:pPr>
              <w:spacing w:after="0"/>
              <w:rPr>
                <w:sz w:val="11"/>
                <w:szCs w:val="11"/>
                <w:color w:val="auto"/>
              </w:rPr>
            </w:pPr>
          </w:p>
        </w:tc>
        <w:tc>
          <w:tcPr>
            <w:tcW w:w="780" w:type="dxa"/>
            <w:vAlign w:val="bottom"/>
            <w:shd w:val="clear" w:color="auto" w:fill="F3F3F4"/>
          </w:tcPr>
          <w:p>
            <w:pPr>
              <w:spacing w:after="0"/>
              <w:rPr>
                <w:sz w:val="11"/>
                <w:szCs w:val="11"/>
                <w:color w:val="auto"/>
              </w:rPr>
            </w:pPr>
          </w:p>
        </w:tc>
        <w:tc>
          <w:tcPr>
            <w:tcW w:w="680" w:type="dxa"/>
            <w:vAlign w:val="bottom"/>
            <w:shd w:val="clear" w:color="auto" w:fill="F3F3F4"/>
          </w:tcPr>
          <w:p>
            <w:pPr>
              <w:spacing w:after="0"/>
              <w:rPr>
                <w:sz w:val="11"/>
                <w:szCs w:val="11"/>
                <w:color w:val="auto"/>
              </w:rPr>
            </w:pPr>
          </w:p>
        </w:tc>
        <w:tc>
          <w:tcPr>
            <w:tcW w:w="720" w:type="dxa"/>
            <w:vAlign w:val="bottom"/>
            <w:shd w:val="clear" w:color="auto" w:fill="F3F3F4"/>
          </w:tcPr>
          <w:p>
            <w:pPr>
              <w:spacing w:after="0"/>
              <w:rPr>
                <w:sz w:val="11"/>
                <w:szCs w:val="11"/>
                <w:color w:val="auto"/>
              </w:rPr>
            </w:pPr>
          </w:p>
        </w:tc>
        <w:tc>
          <w:tcPr>
            <w:tcW w:w="60" w:type="dxa"/>
            <w:vAlign w:val="bottom"/>
            <w:shd w:val="clear" w:color="auto" w:fill="F3F3F4"/>
          </w:tcPr>
          <w:p>
            <w:pPr>
              <w:spacing w:after="0"/>
              <w:rPr>
                <w:sz w:val="11"/>
                <w:szCs w:val="11"/>
                <w:color w:val="auto"/>
              </w:rPr>
            </w:pPr>
          </w:p>
        </w:tc>
        <w:tc>
          <w:tcPr>
            <w:tcW w:w="640" w:type="dxa"/>
            <w:vAlign w:val="bottom"/>
            <w:shd w:val="clear" w:color="auto" w:fill="F3F3F4"/>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780" w:type="dxa"/>
            <w:vAlign w:val="bottom"/>
            <w:shd w:val="clear" w:color="auto" w:fill="F3F3F4"/>
          </w:tcPr>
          <w:p>
            <w:pPr>
              <w:jc w:val="right"/>
              <w:ind w:right="38"/>
              <w:spacing w:after="0" w:line="135" w:lineRule="exact"/>
              <w:rPr>
                <w:sz w:val="20"/>
                <w:szCs w:val="20"/>
                <w:color w:val="auto"/>
              </w:rPr>
            </w:pPr>
            <w:r>
              <w:rPr>
                <w:rFonts w:ascii="Arial" w:cs="Arial" w:eastAsia="Arial" w:hAnsi="Arial"/>
                <w:sz w:val="13"/>
                <w:szCs w:val="13"/>
                <w:b w:val="1"/>
                <w:bCs w:val="1"/>
                <w:color w:val="auto"/>
              </w:rPr>
              <w:t>Option</w:t>
            </w:r>
          </w:p>
        </w:tc>
        <w:tc>
          <w:tcPr>
            <w:tcW w:w="840" w:type="dxa"/>
            <w:vAlign w:val="bottom"/>
            <w:shd w:val="clear" w:color="auto" w:fill="F3F3F4"/>
          </w:tcPr>
          <w:p>
            <w:pPr>
              <w:spacing w:after="0"/>
              <w:rPr>
                <w:sz w:val="11"/>
                <w:szCs w:val="11"/>
                <w:color w:val="auto"/>
              </w:rPr>
            </w:pPr>
          </w:p>
        </w:tc>
        <w:tc>
          <w:tcPr>
            <w:tcW w:w="112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F3F3F4"/>
          </w:tcPr>
          <w:p>
            <w:pPr>
              <w:spacing w:after="0"/>
              <w:rPr>
                <w:sz w:val="11"/>
                <w:szCs w:val="11"/>
                <w:color w:val="auto"/>
              </w:rPr>
            </w:pPr>
          </w:p>
        </w:tc>
        <w:tc>
          <w:tcPr>
            <w:tcW w:w="660" w:type="dxa"/>
            <w:vAlign w:val="bottom"/>
            <w:shd w:val="clear" w:color="auto" w:fill="F3F3F4"/>
          </w:tcPr>
          <w:p>
            <w:pPr>
              <w:spacing w:after="0"/>
              <w:rPr>
                <w:sz w:val="11"/>
                <w:szCs w:val="11"/>
                <w:color w:val="auto"/>
              </w:rPr>
            </w:pPr>
          </w:p>
        </w:tc>
        <w:tc>
          <w:tcPr>
            <w:tcW w:w="840" w:type="dxa"/>
            <w:vAlign w:val="bottom"/>
            <w:shd w:val="clear" w:color="auto" w:fill="F3F3F4"/>
          </w:tcPr>
          <w:p>
            <w:pPr>
              <w:spacing w:after="0"/>
              <w:rPr>
                <w:sz w:val="11"/>
                <w:szCs w:val="11"/>
                <w:color w:val="auto"/>
              </w:rPr>
            </w:pPr>
          </w:p>
        </w:tc>
        <w:tc>
          <w:tcPr>
            <w:tcW w:w="780" w:type="dxa"/>
            <w:vAlign w:val="bottom"/>
            <w:shd w:val="clear" w:color="auto" w:fill="F3F3F4"/>
          </w:tcPr>
          <w:p>
            <w:pPr>
              <w:spacing w:after="0"/>
              <w:rPr>
                <w:sz w:val="11"/>
                <w:szCs w:val="11"/>
                <w:color w:val="auto"/>
              </w:rPr>
            </w:pPr>
          </w:p>
        </w:tc>
        <w:tc>
          <w:tcPr>
            <w:tcW w:w="740" w:type="dxa"/>
            <w:vAlign w:val="bottom"/>
            <w:shd w:val="clear" w:color="auto" w:fill="F3F3F4"/>
          </w:tcPr>
          <w:p>
            <w:pPr>
              <w:spacing w:after="0"/>
              <w:rPr>
                <w:sz w:val="11"/>
                <w:szCs w:val="11"/>
                <w:color w:val="auto"/>
              </w:rPr>
            </w:pPr>
          </w:p>
        </w:tc>
        <w:tc>
          <w:tcPr>
            <w:tcW w:w="780" w:type="dxa"/>
            <w:vAlign w:val="bottom"/>
            <w:shd w:val="clear" w:color="auto" w:fill="F3F3F4"/>
          </w:tcPr>
          <w:p>
            <w:pPr>
              <w:spacing w:after="0"/>
              <w:rPr>
                <w:sz w:val="11"/>
                <w:szCs w:val="11"/>
                <w:color w:val="auto"/>
              </w:rPr>
            </w:pPr>
          </w:p>
        </w:tc>
        <w:tc>
          <w:tcPr>
            <w:tcW w:w="680" w:type="dxa"/>
            <w:vAlign w:val="bottom"/>
            <w:shd w:val="clear" w:color="auto" w:fill="F3F3F4"/>
          </w:tcPr>
          <w:p>
            <w:pPr>
              <w:spacing w:after="0"/>
              <w:rPr>
                <w:sz w:val="11"/>
                <w:szCs w:val="11"/>
                <w:color w:val="auto"/>
              </w:rPr>
            </w:pPr>
          </w:p>
        </w:tc>
        <w:tc>
          <w:tcPr>
            <w:tcW w:w="720" w:type="dxa"/>
            <w:vAlign w:val="bottom"/>
            <w:shd w:val="clear" w:color="auto" w:fill="F3F3F4"/>
          </w:tcPr>
          <w:p>
            <w:pPr>
              <w:spacing w:after="0"/>
              <w:rPr>
                <w:sz w:val="11"/>
                <w:szCs w:val="11"/>
                <w:color w:val="auto"/>
              </w:rPr>
            </w:pPr>
          </w:p>
        </w:tc>
        <w:tc>
          <w:tcPr>
            <w:tcW w:w="60" w:type="dxa"/>
            <w:vAlign w:val="bottom"/>
            <w:shd w:val="clear" w:color="auto" w:fill="F3F3F4"/>
          </w:tcPr>
          <w:p>
            <w:pPr>
              <w:spacing w:after="0"/>
              <w:rPr>
                <w:sz w:val="11"/>
                <w:szCs w:val="11"/>
                <w:color w:val="auto"/>
              </w:rPr>
            </w:pPr>
          </w:p>
        </w:tc>
        <w:tc>
          <w:tcPr>
            <w:tcW w:w="640" w:type="dxa"/>
            <w:vAlign w:val="bottom"/>
            <w:shd w:val="clear" w:color="auto" w:fill="F3F3F4"/>
          </w:tcPr>
          <w:p>
            <w:pPr>
              <w:jc w:val="center"/>
              <w:spacing w:after="0" w:line="135" w:lineRule="exact"/>
              <w:rPr>
                <w:sz w:val="20"/>
                <w:szCs w:val="20"/>
                <w:color w:val="auto"/>
              </w:rPr>
            </w:pPr>
            <w:r>
              <w:rPr>
                <w:rFonts w:ascii="Arial" w:cs="Arial" w:eastAsia="Arial" w:hAnsi="Arial"/>
                <w:sz w:val="13"/>
                <w:szCs w:val="13"/>
                <w:b w:val="1"/>
                <w:bCs w:val="1"/>
                <w:color w:val="auto"/>
                <w:w w:val="97"/>
              </w:rPr>
              <w:t>Number</w:t>
            </w:r>
          </w:p>
        </w:tc>
        <w:tc>
          <w:tcPr>
            <w:tcW w:w="780" w:type="dxa"/>
            <w:vAlign w:val="bottom"/>
            <w:shd w:val="clear" w:color="auto" w:fill="F3F3F4"/>
          </w:tcPr>
          <w:p>
            <w:pPr>
              <w:jc w:val="right"/>
              <w:ind w:right="38"/>
              <w:spacing w:after="0" w:line="135" w:lineRule="exact"/>
              <w:rPr>
                <w:sz w:val="20"/>
                <w:szCs w:val="20"/>
                <w:color w:val="auto"/>
              </w:rPr>
            </w:pPr>
            <w:r>
              <w:rPr>
                <w:rFonts w:ascii="Arial" w:cs="Arial" w:eastAsia="Arial" w:hAnsi="Arial"/>
                <w:sz w:val="13"/>
                <w:szCs w:val="13"/>
                <w:b w:val="1"/>
                <w:bCs w:val="1"/>
                <w:color w:val="auto"/>
              </w:rPr>
              <w:t>Awards:</w:t>
            </w:r>
          </w:p>
        </w:tc>
        <w:tc>
          <w:tcPr>
            <w:tcW w:w="840" w:type="dxa"/>
            <w:vAlign w:val="bottom"/>
            <w:vMerge w:val="restart"/>
            <w:shd w:val="clear" w:color="auto" w:fill="F3F3F4"/>
          </w:tcPr>
          <w:p>
            <w:pPr>
              <w:jc w:val="right"/>
              <w:ind w:right="37"/>
              <w:spacing w:after="0"/>
              <w:rPr>
                <w:sz w:val="20"/>
                <w:szCs w:val="20"/>
                <w:color w:val="auto"/>
              </w:rPr>
            </w:pPr>
            <w:r>
              <w:rPr>
                <w:rFonts w:ascii="Arial" w:cs="Arial" w:eastAsia="Arial" w:hAnsi="Arial"/>
                <w:sz w:val="13"/>
                <w:szCs w:val="13"/>
                <w:b w:val="1"/>
                <w:bCs w:val="1"/>
                <w:color w:val="auto"/>
              </w:rPr>
              <w:t>Exercise or</w:t>
            </w:r>
          </w:p>
        </w:tc>
        <w:tc>
          <w:tcPr>
            <w:tcW w:w="1120" w:type="dxa"/>
            <w:vAlign w:val="bottom"/>
            <w:vMerge w:val="restart"/>
            <w:shd w:val="clear" w:color="auto" w:fill="F3F3F4"/>
          </w:tcPr>
          <w:p>
            <w:pPr>
              <w:jc w:val="right"/>
              <w:ind w:right="97"/>
              <w:spacing w:after="0"/>
              <w:rPr>
                <w:sz w:val="20"/>
                <w:szCs w:val="20"/>
                <w:color w:val="auto"/>
              </w:rPr>
            </w:pPr>
            <w:r>
              <w:rPr>
                <w:rFonts w:ascii="Arial" w:cs="Arial" w:eastAsia="Arial" w:hAnsi="Arial"/>
                <w:sz w:val="13"/>
                <w:szCs w:val="13"/>
                <w:b w:val="1"/>
                <w:bCs w:val="1"/>
                <w:color w:val="auto"/>
              </w:rPr>
              <w:t>Grant Date Fair</w:t>
            </w:r>
          </w:p>
        </w:tc>
        <w:tc>
          <w:tcPr>
            <w:tcW w:w="0" w:type="dxa"/>
            <w:vAlign w:val="bottom"/>
          </w:tcPr>
          <w:p>
            <w:pPr>
              <w:spacing w:after="0"/>
              <w:rPr>
                <w:sz w:val="1"/>
                <w:szCs w:val="1"/>
                <w:color w:val="auto"/>
              </w:rPr>
            </w:pPr>
          </w:p>
        </w:tc>
      </w:tr>
      <w:tr>
        <w:trPr>
          <w:trHeight w:val="135"/>
        </w:trPr>
        <w:tc>
          <w:tcPr>
            <w:tcW w:w="1080" w:type="dxa"/>
            <w:vAlign w:val="bottom"/>
            <w:shd w:val="clear" w:color="auto" w:fill="F3F3F4"/>
          </w:tcPr>
          <w:p>
            <w:pPr>
              <w:spacing w:after="0"/>
              <w:rPr>
                <w:sz w:val="11"/>
                <w:szCs w:val="11"/>
                <w:color w:val="auto"/>
              </w:rPr>
            </w:pPr>
          </w:p>
        </w:tc>
        <w:tc>
          <w:tcPr>
            <w:tcW w:w="660" w:type="dxa"/>
            <w:vAlign w:val="bottom"/>
            <w:shd w:val="clear" w:color="auto" w:fill="F3F3F4"/>
          </w:tcPr>
          <w:p>
            <w:pPr>
              <w:spacing w:after="0"/>
              <w:rPr>
                <w:sz w:val="11"/>
                <w:szCs w:val="11"/>
                <w:color w:val="auto"/>
              </w:rPr>
            </w:pPr>
          </w:p>
        </w:tc>
        <w:tc>
          <w:tcPr>
            <w:tcW w:w="840" w:type="dxa"/>
            <w:vAlign w:val="bottom"/>
            <w:shd w:val="clear" w:color="auto" w:fill="F3F3F4"/>
          </w:tcPr>
          <w:p>
            <w:pPr>
              <w:spacing w:after="0"/>
              <w:rPr>
                <w:sz w:val="11"/>
                <w:szCs w:val="11"/>
                <w:color w:val="auto"/>
              </w:rPr>
            </w:pPr>
          </w:p>
        </w:tc>
        <w:tc>
          <w:tcPr>
            <w:tcW w:w="780" w:type="dxa"/>
            <w:vAlign w:val="bottom"/>
            <w:shd w:val="clear" w:color="auto" w:fill="F3F3F4"/>
          </w:tcPr>
          <w:p>
            <w:pPr>
              <w:spacing w:after="0"/>
              <w:rPr>
                <w:sz w:val="11"/>
                <w:szCs w:val="11"/>
                <w:color w:val="auto"/>
              </w:rPr>
            </w:pPr>
          </w:p>
        </w:tc>
        <w:tc>
          <w:tcPr>
            <w:tcW w:w="740" w:type="dxa"/>
            <w:vAlign w:val="bottom"/>
            <w:shd w:val="clear" w:color="auto" w:fill="F3F3F4"/>
          </w:tcPr>
          <w:p>
            <w:pPr>
              <w:spacing w:after="0"/>
              <w:rPr>
                <w:sz w:val="11"/>
                <w:szCs w:val="11"/>
                <w:color w:val="auto"/>
              </w:rPr>
            </w:pPr>
          </w:p>
        </w:tc>
        <w:tc>
          <w:tcPr>
            <w:tcW w:w="780" w:type="dxa"/>
            <w:vAlign w:val="bottom"/>
            <w:shd w:val="clear" w:color="auto" w:fill="F3F3F4"/>
          </w:tcPr>
          <w:p>
            <w:pPr>
              <w:spacing w:after="0"/>
              <w:rPr>
                <w:sz w:val="11"/>
                <w:szCs w:val="11"/>
                <w:color w:val="auto"/>
              </w:rPr>
            </w:pPr>
          </w:p>
        </w:tc>
        <w:tc>
          <w:tcPr>
            <w:tcW w:w="680" w:type="dxa"/>
            <w:vAlign w:val="bottom"/>
            <w:shd w:val="clear" w:color="auto" w:fill="F3F3F4"/>
          </w:tcPr>
          <w:p>
            <w:pPr>
              <w:spacing w:after="0"/>
              <w:rPr>
                <w:sz w:val="11"/>
                <w:szCs w:val="11"/>
                <w:color w:val="auto"/>
              </w:rPr>
            </w:pPr>
          </w:p>
        </w:tc>
        <w:tc>
          <w:tcPr>
            <w:tcW w:w="720" w:type="dxa"/>
            <w:vAlign w:val="bottom"/>
            <w:shd w:val="clear" w:color="auto" w:fill="F3F3F4"/>
          </w:tcPr>
          <w:p>
            <w:pPr>
              <w:spacing w:after="0"/>
              <w:rPr>
                <w:sz w:val="11"/>
                <w:szCs w:val="11"/>
                <w:color w:val="auto"/>
              </w:rPr>
            </w:pPr>
          </w:p>
        </w:tc>
        <w:tc>
          <w:tcPr>
            <w:tcW w:w="700" w:type="dxa"/>
            <w:vAlign w:val="bottom"/>
            <w:gridSpan w:val="2"/>
            <w:shd w:val="clear" w:color="auto" w:fill="F3F3F4"/>
          </w:tcPr>
          <w:p>
            <w:pPr>
              <w:jc w:val="center"/>
              <w:spacing w:after="0" w:line="135" w:lineRule="exact"/>
              <w:rPr>
                <w:sz w:val="20"/>
                <w:szCs w:val="20"/>
                <w:color w:val="auto"/>
              </w:rPr>
            </w:pPr>
            <w:r>
              <w:rPr>
                <w:rFonts w:ascii="Arial" w:cs="Arial" w:eastAsia="Arial" w:hAnsi="Arial"/>
                <w:sz w:val="13"/>
                <w:szCs w:val="13"/>
                <w:b w:val="1"/>
                <w:bCs w:val="1"/>
                <w:color w:val="auto"/>
                <w:w w:val="94"/>
              </w:rPr>
              <w:t>of Shares</w:t>
            </w:r>
          </w:p>
        </w:tc>
        <w:tc>
          <w:tcPr>
            <w:tcW w:w="780" w:type="dxa"/>
            <w:vAlign w:val="bottom"/>
            <w:shd w:val="clear" w:color="auto" w:fill="F3F3F4"/>
          </w:tcPr>
          <w:p>
            <w:pPr>
              <w:jc w:val="right"/>
              <w:ind w:right="38"/>
              <w:spacing w:after="0" w:line="135" w:lineRule="exact"/>
              <w:rPr>
                <w:sz w:val="20"/>
                <w:szCs w:val="20"/>
                <w:color w:val="auto"/>
              </w:rPr>
            </w:pPr>
            <w:r>
              <w:rPr>
                <w:rFonts w:ascii="Arial" w:cs="Arial" w:eastAsia="Arial" w:hAnsi="Arial"/>
                <w:sz w:val="13"/>
                <w:szCs w:val="13"/>
                <w:b w:val="1"/>
                <w:bCs w:val="1"/>
                <w:color w:val="auto"/>
              </w:rPr>
              <w:t>Number of</w:t>
            </w:r>
          </w:p>
        </w:tc>
        <w:tc>
          <w:tcPr>
            <w:tcW w:w="840" w:type="dxa"/>
            <w:vAlign w:val="bottom"/>
            <w:vMerge w:val="continue"/>
            <w:shd w:val="clear" w:color="auto" w:fill="F3F3F4"/>
          </w:tcPr>
          <w:p>
            <w:pPr>
              <w:spacing w:after="0"/>
              <w:rPr>
                <w:sz w:val="11"/>
                <w:szCs w:val="11"/>
                <w:color w:val="auto"/>
              </w:rPr>
            </w:pPr>
          </w:p>
        </w:tc>
        <w:tc>
          <w:tcPr>
            <w:tcW w:w="1120" w:type="dxa"/>
            <w:vAlign w:val="bottom"/>
            <w:vMerge w:val="continue"/>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080" w:type="dxa"/>
            <w:vAlign w:val="bottom"/>
            <w:shd w:val="clear" w:color="auto" w:fill="F3F3F4"/>
          </w:tcPr>
          <w:p>
            <w:pPr>
              <w:spacing w:after="0"/>
              <w:rPr>
                <w:sz w:val="10"/>
                <w:szCs w:val="10"/>
                <w:color w:val="auto"/>
              </w:rPr>
            </w:pPr>
          </w:p>
        </w:tc>
        <w:tc>
          <w:tcPr>
            <w:tcW w:w="660" w:type="dxa"/>
            <w:vAlign w:val="bottom"/>
            <w:shd w:val="clear" w:color="auto" w:fill="F3F3F4"/>
          </w:tcPr>
          <w:p>
            <w:pPr>
              <w:spacing w:after="0"/>
              <w:rPr>
                <w:sz w:val="10"/>
                <w:szCs w:val="10"/>
                <w:color w:val="auto"/>
              </w:rPr>
            </w:pPr>
          </w:p>
        </w:tc>
        <w:tc>
          <w:tcPr>
            <w:tcW w:w="840" w:type="dxa"/>
            <w:vAlign w:val="bottom"/>
            <w:shd w:val="clear" w:color="auto" w:fill="F3F3F4"/>
          </w:tcPr>
          <w:p>
            <w:pPr>
              <w:spacing w:after="0"/>
              <w:rPr>
                <w:sz w:val="10"/>
                <w:szCs w:val="10"/>
                <w:color w:val="auto"/>
              </w:rPr>
            </w:pPr>
          </w:p>
        </w:tc>
        <w:tc>
          <w:tcPr>
            <w:tcW w:w="780" w:type="dxa"/>
            <w:vAlign w:val="bottom"/>
            <w:shd w:val="clear" w:color="auto" w:fill="F3F3F4"/>
          </w:tcPr>
          <w:p>
            <w:pPr>
              <w:spacing w:after="0"/>
              <w:rPr>
                <w:sz w:val="10"/>
                <w:szCs w:val="10"/>
                <w:color w:val="auto"/>
              </w:rPr>
            </w:pPr>
          </w:p>
        </w:tc>
        <w:tc>
          <w:tcPr>
            <w:tcW w:w="740" w:type="dxa"/>
            <w:vAlign w:val="bottom"/>
            <w:shd w:val="clear" w:color="auto" w:fill="F3F3F4"/>
          </w:tcPr>
          <w:p>
            <w:pPr>
              <w:spacing w:after="0"/>
              <w:rPr>
                <w:sz w:val="10"/>
                <w:szCs w:val="10"/>
                <w:color w:val="auto"/>
              </w:rPr>
            </w:pPr>
          </w:p>
        </w:tc>
        <w:tc>
          <w:tcPr>
            <w:tcW w:w="780" w:type="dxa"/>
            <w:vAlign w:val="bottom"/>
            <w:shd w:val="clear" w:color="auto" w:fill="F3F3F4"/>
          </w:tcPr>
          <w:p>
            <w:pPr>
              <w:spacing w:after="0"/>
              <w:rPr>
                <w:sz w:val="10"/>
                <w:szCs w:val="10"/>
                <w:color w:val="auto"/>
              </w:rPr>
            </w:pPr>
          </w:p>
        </w:tc>
        <w:tc>
          <w:tcPr>
            <w:tcW w:w="680" w:type="dxa"/>
            <w:vAlign w:val="bottom"/>
            <w:shd w:val="clear" w:color="auto" w:fill="F3F3F4"/>
          </w:tcPr>
          <w:p>
            <w:pPr>
              <w:spacing w:after="0"/>
              <w:rPr>
                <w:sz w:val="10"/>
                <w:szCs w:val="10"/>
                <w:color w:val="auto"/>
              </w:rPr>
            </w:pPr>
          </w:p>
        </w:tc>
        <w:tc>
          <w:tcPr>
            <w:tcW w:w="720" w:type="dxa"/>
            <w:vAlign w:val="bottom"/>
            <w:shd w:val="clear" w:color="auto" w:fill="F3F3F4"/>
          </w:tcPr>
          <w:p>
            <w:pPr>
              <w:spacing w:after="0"/>
              <w:rPr>
                <w:sz w:val="10"/>
                <w:szCs w:val="10"/>
                <w:color w:val="auto"/>
              </w:rPr>
            </w:pPr>
          </w:p>
        </w:tc>
        <w:tc>
          <w:tcPr>
            <w:tcW w:w="60" w:type="dxa"/>
            <w:vAlign w:val="bottom"/>
            <w:shd w:val="clear" w:color="auto" w:fill="F3F3F4"/>
          </w:tcPr>
          <w:p>
            <w:pPr>
              <w:spacing w:after="0"/>
              <w:rPr>
                <w:sz w:val="10"/>
                <w:szCs w:val="10"/>
                <w:color w:val="auto"/>
              </w:rPr>
            </w:pPr>
          </w:p>
        </w:tc>
        <w:tc>
          <w:tcPr>
            <w:tcW w:w="640" w:type="dxa"/>
            <w:vAlign w:val="bottom"/>
            <w:shd w:val="clear" w:color="auto" w:fill="F3F3F4"/>
          </w:tcPr>
          <w:p>
            <w:pPr>
              <w:jc w:val="center"/>
              <w:spacing w:after="0" w:line="116" w:lineRule="exact"/>
              <w:rPr>
                <w:sz w:val="20"/>
                <w:szCs w:val="20"/>
                <w:color w:val="auto"/>
              </w:rPr>
            </w:pPr>
            <w:r>
              <w:rPr>
                <w:rFonts w:ascii="Arial" w:cs="Arial" w:eastAsia="Arial" w:hAnsi="Arial"/>
                <w:sz w:val="13"/>
                <w:szCs w:val="13"/>
                <w:b w:val="1"/>
                <w:bCs w:val="1"/>
                <w:color w:val="auto"/>
                <w:w w:val="97"/>
              </w:rPr>
              <w:t>of Stock</w:t>
            </w:r>
          </w:p>
        </w:tc>
        <w:tc>
          <w:tcPr>
            <w:tcW w:w="780" w:type="dxa"/>
            <w:vAlign w:val="bottom"/>
            <w:shd w:val="clear" w:color="auto" w:fill="F3F3F4"/>
          </w:tcPr>
          <w:p>
            <w:pPr>
              <w:jc w:val="right"/>
              <w:ind w:right="38"/>
              <w:spacing w:after="0" w:line="116" w:lineRule="exact"/>
              <w:rPr>
                <w:sz w:val="20"/>
                <w:szCs w:val="20"/>
                <w:color w:val="auto"/>
              </w:rPr>
            </w:pPr>
            <w:r>
              <w:rPr>
                <w:rFonts w:ascii="Arial" w:cs="Arial" w:eastAsia="Arial" w:hAnsi="Arial"/>
                <w:sz w:val="13"/>
                <w:szCs w:val="13"/>
                <w:b w:val="1"/>
                <w:bCs w:val="1"/>
                <w:color w:val="auto"/>
              </w:rPr>
              <w:t>Securities</w:t>
            </w:r>
          </w:p>
        </w:tc>
        <w:tc>
          <w:tcPr>
            <w:tcW w:w="840" w:type="dxa"/>
            <w:vAlign w:val="bottom"/>
            <w:shd w:val="clear" w:color="auto" w:fill="F3F3F4"/>
          </w:tcPr>
          <w:p>
            <w:pPr>
              <w:jc w:val="right"/>
              <w:ind w:right="37"/>
              <w:spacing w:after="0" w:line="116" w:lineRule="exact"/>
              <w:rPr>
                <w:sz w:val="20"/>
                <w:szCs w:val="20"/>
                <w:color w:val="auto"/>
              </w:rPr>
            </w:pPr>
            <w:r>
              <w:rPr>
                <w:rFonts w:ascii="Arial" w:cs="Arial" w:eastAsia="Arial" w:hAnsi="Arial"/>
                <w:sz w:val="13"/>
                <w:szCs w:val="13"/>
                <w:b w:val="1"/>
                <w:bCs w:val="1"/>
                <w:color w:val="auto"/>
              </w:rPr>
              <w:t>Base Price</w:t>
            </w:r>
          </w:p>
        </w:tc>
        <w:tc>
          <w:tcPr>
            <w:tcW w:w="1120" w:type="dxa"/>
            <w:vAlign w:val="bottom"/>
            <w:shd w:val="clear" w:color="auto" w:fill="F3F3F4"/>
          </w:tcPr>
          <w:p>
            <w:pPr>
              <w:jc w:val="right"/>
              <w:ind w:right="97"/>
              <w:spacing w:after="0" w:line="116" w:lineRule="exact"/>
              <w:rPr>
                <w:sz w:val="20"/>
                <w:szCs w:val="20"/>
                <w:color w:val="auto"/>
              </w:rPr>
            </w:pPr>
            <w:r>
              <w:rPr>
                <w:rFonts w:ascii="Arial" w:cs="Arial" w:eastAsia="Arial" w:hAnsi="Arial"/>
                <w:sz w:val="13"/>
                <w:szCs w:val="13"/>
                <w:b w:val="1"/>
                <w:bCs w:val="1"/>
                <w:color w:val="auto"/>
              </w:rPr>
              <w:t>Value of Stock</w:t>
            </w:r>
          </w:p>
        </w:tc>
        <w:tc>
          <w:tcPr>
            <w:tcW w:w="0" w:type="dxa"/>
            <w:vAlign w:val="bottom"/>
          </w:tcPr>
          <w:p>
            <w:pPr>
              <w:spacing w:after="0"/>
              <w:rPr>
                <w:sz w:val="1"/>
                <w:szCs w:val="1"/>
                <w:color w:val="auto"/>
              </w:rPr>
            </w:pPr>
          </w:p>
        </w:tc>
      </w:tr>
      <w:tr>
        <w:trPr>
          <w:trHeight w:val="114"/>
        </w:trPr>
        <w:tc>
          <w:tcPr>
            <w:tcW w:w="1080" w:type="dxa"/>
            <w:vAlign w:val="bottom"/>
            <w:shd w:val="clear" w:color="auto" w:fill="F3F3F4"/>
          </w:tcPr>
          <w:p>
            <w:pPr>
              <w:spacing w:after="0"/>
              <w:rPr>
                <w:sz w:val="9"/>
                <w:szCs w:val="9"/>
                <w:color w:val="auto"/>
              </w:rPr>
            </w:pPr>
          </w:p>
        </w:tc>
        <w:tc>
          <w:tcPr>
            <w:tcW w:w="660" w:type="dxa"/>
            <w:vAlign w:val="bottom"/>
            <w:shd w:val="clear" w:color="auto" w:fill="F3F3F4"/>
          </w:tcPr>
          <w:p>
            <w:pPr>
              <w:spacing w:after="0"/>
              <w:rPr>
                <w:sz w:val="9"/>
                <w:szCs w:val="9"/>
                <w:color w:val="auto"/>
              </w:rPr>
            </w:pPr>
          </w:p>
        </w:tc>
        <w:tc>
          <w:tcPr>
            <w:tcW w:w="840" w:type="dxa"/>
            <w:vAlign w:val="bottom"/>
            <w:shd w:val="clear" w:color="auto" w:fill="F3F3F4"/>
          </w:tcPr>
          <w:p>
            <w:pPr>
              <w:spacing w:after="0"/>
              <w:rPr>
                <w:sz w:val="9"/>
                <w:szCs w:val="9"/>
                <w:color w:val="auto"/>
              </w:rPr>
            </w:pPr>
          </w:p>
        </w:tc>
        <w:tc>
          <w:tcPr>
            <w:tcW w:w="780" w:type="dxa"/>
            <w:vAlign w:val="bottom"/>
            <w:shd w:val="clear" w:color="auto" w:fill="F3F3F4"/>
          </w:tcPr>
          <w:p>
            <w:pPr>
              <w:spacing w:after="0"/>
              <w:rPr>
                <w:sz w:val="9"/>
                <w:szCs w:val="9"/>
                <w:color w:val="auto"/>
              </w:rPr>
            </w:pPr>
          </w:p>
        </w:tc>
        <w:tc>
          <w:tcPr>
            <w:tcW w:w="740" w:type="dxa"/>
            <w:vAlign w:val="bottom"/>
            <w:shd w:val="clear" w:color="auto" w:fill="F3F3F4"/>
          </w:tcPr>
          <w:p>
            <w:pPr>
              <w:spacing w:after="0"/>
              <w:rPr>
                <w:sz w:val="9"/>
                <w:szCs w:val="9"/>
                <w:color w:val="auto"/>
              </w:rPr>
            </w:pPr>
          </w:p>
        </w:tc>
        <w:tc>
          <w:tcPr>
            <w:tcW w:w="780" w:type="dxa"/>
            <w:vAlign w:val="bottom"/>
            <w:shd w:val="clear" w:color="auto" w:fill="F3F3F4"/>
          </w:tcPr>
          <w:p>
            <w:pPr>
              <w:spacing w:after="0"/>
              <w:rPr>
                <w:sz w:val="9"/>
                <w:szCs w:val="9"/>
                <w:color w:val="auto"/>
              </w:rPr>
            </w:pPr>
          </w:p>
        </w:tc>
        <w:tc>
          <w:tcPr>
            <w:tcW w:w="680" w:type="dxa"/>
            <w:vAlign w:val="bottom"/>
            <w:shd w:val="clear" w:color="auto" w:fill="F3F3F4"/>
          </w:tcPr>
          <w:p>
            <w:pPr>
              <w:spacing w:after="0"/>
              <w:rPr>
                <w:sz w:val="9"/>
                <w:szCs w:val="9"/>
                <w:color w:val="auto"/>
              </w:rPr>
            </w:pPr>
          </w:p>
        </w:tc>
        <w:tc>
          <w:tcPr>
            <w:tcW w:w="720" w:type="dxa"/>
            <w:vAlign w:val="bottom"/>
            <w:shd w:val="clear" w:color="auto" w:fill="F3F3F4"/>
          </w:tcPr>
          <w:p>
            <w:pPr>
              <w:spacing w:after="0"/>
              <w:rPr>
                <w:sz w:val="9"/>
                <w:szCs w:val="9"/>
                <w:color w:val="auto"/>
              </w:rPr>
            </w:pPr>
          </w:p>
        </w:tc>
        <w:tc>
          <w:tcPr>
            <w:tcW w:w="700" w:type="dxa"/>
            <w:vAlign w:val="bottom"/>
            <w:gridSpan w:val="2"/>
            <w:shd w:val="clear" w:color="auto" w:fill="F3F3F4"/>
          </w:tcPr>
          <w:p>
            <w:pPr>
              <w:jc w:val="right"/>
              <w:spacing w:after="0"/>
              <w:rPr>
                <w:sz w:val="20"/>
                <w:szCs w:val="20"/>
                <w:color w:val="auto"/>
              </w:rPr>
            </w:pPr>
            <w:r>
              <w:rPr>
                <w:rFonts w:ascii="Arial" w:cs="Arial" w:eastAsia="Arial" w:hAnsi="Arial"/>
                <w:sz w:val="8"/>
                <w:szCs w:val="8"/>
                <w:color w:val="auto"/>
              </w:rPr>
              <w:t>(4)</w:t>
            </w:r>
          </w:p>
        </w:tc>
        <w:tc>
          <w:tcPr>
            <w:tcW w:w="780" w:type="dxa"/>
            <w:vAlign w:val="bottom"/>
            <w:shd w:val="clear" w:color="auto" w:fill="F3F3F4"/>
          </w:tcPr>
          <w:p>
            <w:pPr>
              <w:jc w:val="right"/>
              <w:ind w:right="18"/>
              <w:spacing w:after="0" w:line="114" w:lineRule="exact"/>
              <w:rPr>
                <w:sz w:val="20"/>
                <w:szCs w:val="20"/>
                <w:color w:val="auto"/>
              </w:rPr>
            </w:pPr>
            <w:r>
              <w:rPr>
                <w:rFonts w:ascii="Arial" w:cs="Arial" w:eastAsia="Arial" w:hAnsi="Arial"/>
                <w:sz w:val="13"/>
                <w:szCs w:val="13"/>
                <w:b w:val="1"/>
                <w:bCs w:val="1"/>
                <w:color w:val="auto"/>
              </w:rPr>
              <w:t>Underlying</w:t>
            </w:r>
          </w:p>
        </w:tc>
        <w:tc>
          <w:tcPr>
            <w:tcW w:w="840" w:type="dxa"/>
            <w:vAlign w:val="bottom"/>
            <w:shd w:val="clear" w:color="auto" w:fill="F3F3F4"/>
          </w:tcPr>
          <w:p>
            <w:pPr>
              <w:jc w:val="right"/>
              <w:ind w:right="37"/>
              <w:spacing w:after="0" w:line="114" w:lineRule="exact"/>
              <w:rPr>
                <w:sz w:val="20"/>
                <w:szCs w:val="20"/>
                <w:color w:val="auto"/>
              </w:rPr>
            </w:pPr>
            <w:r>
              <w:rPr>
                <w:rFonts w:ascii="Arial" w:cs="Arial" w:eastAsia="Arial" w:hAnsi="Arial"/>
                <w:sz w:val="13"/>
                <w:szCs w:val="13"/>
                <w:b w:val="1"/>
                <w:bCs w:val="1"/>
                <w:color w:val="auto"/>
              </w:rPr>
              <w:t>of Option</w:t>
            </w:r>
          </w:p>
        </w:tc>
        <w:tc>
          <w:tcPr>
            <w:tcW w:w="1120" w:type="dxa"/>
            <w:vAlign w:val="bottom"/>
            <w:shd w:val="clear" w:color="auto" w:fill="F3F3F4"/>
          </w:tcPr>
          <w:p>
            <w:pPr>
              <w:jc w:val="right"/>
              <w:ind w:right="97"/>
              <w:spacing w:after="0" w:line="114" w:lineRule="exact"/>
              <w:rPr>
                <w:sz w:val="20"/>
                <w:szCs w:val="20"/>
                <w:color w:val="auto"/>
              </w:rPr>
            </w:pPr>
            <w:r>
              <w:rPr>
                <w:rFonts w:ascii="Arial" w:cs="Arial" w:eastAsia="Arial" w:hAnsi="Arial"/>
                <w:sz w:val="13"/>
                <w:szCs w:val="13"/>
                <w:b w:val="1"/>
                <w:bCs w:val="1"/>
                <w:color w:val="auto"/>
              </w:rPr>
              <w:t>and Option</w:t>
            </w:r>
          </w:p>
        </w:tc>
        <w:tc>
          <w:tcPr>
            <w:tcW w:w="0" w:type="dxa"/>
            <w:vAlign w:val="bottom"/>
          </w:tcPr>
          <w:p>
            <w:pPr>
              <w:spacing w:after="0"/>
              <w:rPr>
                <w:sz w:val="1"/>
                <w:szCs w:val="1"/>
                <w:color w:val="auto"/>
              </w:rPr>
            </w:pPr>
          </w:p>
        </w:tc>
      </w:tr>
      <w:tr>
        <w:trPr>
          <w:trHeight w:val="81"/>
        </w:trPr>
        <w:tc>
          <w:tcPr>
            <w:tcW w:w="1080" w:type="dxa"/>
            <w:vAlign w:val="bottom"/>
            <w:vMerge w:val="restart"/>
            <w:shd w:val="clear" w:color="auto" w:fill="F3F3F4"/>
          </w:tcPr>
          <w:p>
            <w:pPr>
              <w:spacing w:after="0" w:line="144" w:lineRule="exact"/>
              <w:rPr>
                <w:sz w:val="20"/>
                <w:szCs w:val="20"/>
                <w:color w:val="auto"/>
              </w:rPr>
            </w:pPr>
            <w:r>
              <w:rPr>
                <w:rFonts w:ascii="Arial" w:cs="Arial" w:eastAsia="Arial" w:hAnsi="Arial"/>
                <w:sz w:val="13"/>
                <w:szCs w:val="13"/>
                <w:b w:val="1"/>
                <w:bCs w:val="1"/>
                <w:color w:val="auto"/>
              </w:rPr>
              <w:t>Name/</w:t>
            </w:r>
          </w:p>
        </w:tc>
        <w:tc>
          <w:tcPr>
            <w:tcW w:w="660" w:type="dxa"/>
            <w:vAlign w:val="bottom"/>
            <w:shd w:val="clear" w:color="auto" w:fill="F3F3F4"/>
          </w:tcPr>
          <w:p>
            <w:pPr>
              <w:spacing w:after="0"/>
              <w:rPr>
                <w:sz w:val="7"/>
                <w:szCs w:val="7"/>
                <w:color w:val="auto"/>
              </w:rPr>
            </w:pPr>
          </w:p>
        </w:tc>
        <w:tc>
          <w:tcPr>
            <w:tcW w:w="840" w:type="dxa"/>
            <w:vAlign w:val="bottom"/>
            <w:vMerge w:val="restart"/>
            <w:shd w:val="clear" w:color="auto" w:fill="F3F3F4"/>
          </w:tcPr>
          <w:p>
            <w:pPr>
              <w:jc w:val="right"/>
              <w:ind w:right="77"/>
              <w:spacing w:after="0" w:line="144" w:lineRule="exact"/>
              <w:rPr>
                <w:sz w:val="20"/>
                <w:szCs w:val="20"/>
                <w:color w:val="auto"/>
              </w:rPr>
            </w:pPr>
            <w:r>
              <w:rPr>
                <w:rFonts w:ascii="Arial" w:cs="Arial" w:eastAsia="Arial" w:hAnsi="Arial"/>
                <w:sz w:val="13"/>
                <w:szCs w:val="13"/>
                <w:b w:val="1"/>
                <w:bCs w:val="1"/>
                <w:color w:val="auto"/>
              </w:rPr>
              <w:t>Threshold</w:t>
            </w:r>
          </w:p>
        </w:tc>
        <w:tc>
          <w:tcPr>
            <w:tcW w:w="780" w:type="dxa"/>
            <w:vAlign w:val="bottom"/>
            <w:vMerge w:val="restart"/>
            <w:shd w:val="clear" w:color="auto" w:fill="F3F3F4"/>
          </w:tcPr>
          <w:p>
            <w:pPr>
              <w:jc w:val="right"/>
              <w:ind w:right="77"/>
              <w:spacing w:after="0" w:line="144" w:lineRule="exact"/>
              <w:rPr>
                <w:sz w:val="20"/>
                <w:szCs w:val="20"/>
                <w:color w:val="auto"/>
              </w:rPr>
            </w:pPr>
            <w:r>
              <w:rPr>
                <w:rFonts w:ascii="Arial" w:cs="Arial" w:eastAsia="Arial" w:hAnsi="Arial"/>
                <w:sz w:val="13"/>
                <w:szCs w:val="13"/>
                <w:b w:val="1"/>
                <w:bCs w:val="1"/>
                <w:color w:val="auto"/>
              </w:rPr>
              <w:t>Target</w:t>
            </w:r>
          </w:p>
        </w:tc>
        <w:tc>
          <w:tcPr>
            <w:tcW w:w="740" w:type="dxa"/>
            <w:vAlign w:val="bottom"/>
            <w:vMerge w:val="restart"/>
            <w:shd w:val="clear" w:color="auto" w:fill="F3F3F4"/>
          </w:tcPr>
          <w:p>
            <w:pPr>
              <w:jc w:val="right"/>
              <w:ind w:right="17"/>
              <w:spacing w:after="0" w:line="144" w:lineRule="exact"/>
              <w:rPr>
                <w:sz w:val="20"/>
                <w:szCs w:val="20"/>
                <w:color w:val="auto"/>
              </w:rPr>
            </w:pPr>
            <w:r>
              <w:rPr>
                <w:rFonts w:ascii="Arial" w:cs="Arial" w:eastAsia="Arial" w:hAnsi="Arial"/>
                <w:sz w:val="13"/>
                <w:szCs w:val="13"/>
                <w:b w:val="1"/>
                <w:bCs w:val="1"/>
                <w:color w:val="auto"/>
              </w:rPr>
              <w:t>Maximum</w:t>
            </w:r>
          </w:p>
        </w:tc>
        <w:tc>
          <w:tcPr>
            <w:tcW w:w="780" w:type="dxa"/>
            <w:vAlign w:val="bottom"/>
            <w:vMerge w:val="restart"/>
            <w:shd w:val="clear" w:color="auto" w:fill="F3F3F4"/>
          </w:tcPr>
          <w:p>
            <w:pPr>
              <w:ind w:left="60"/>
              <w:spacing w:after="0" w:line="144" w:lineRule="exact"/>
              <w:rPr>
                <w:sz w:val="20"/>
                <w:szCs w:val="20"/>
                <w:color w:val="auto"/>
              </w:rPr>
            </w:pPr>
            <w:r>
              <w:rPr>
                <w:rFonts w:ascii="Arial" w:cs="Arial" w:eastAsia="Arial" w:hAnsi="Arial"/>
                <w:sz w:val="13"/>
                <w:szCs w:val="13"/>
                <w:b w:val="1"/>
                <w:bCs w:val="1"/>
                <w:color w:val="auto"/>
              </w:rPr>
              <w:t>Threshold</w:t>
            </w:r>
          </w:p>
        </w:tc>
        <w:tc>
          <w:tcPr>
            <w:tcW w:w="680" w:type="dxa"/>
            <w:vAlign w:val="bottom"/>
            <w:vMerge w:val="restart"/>
            <w:shd w:val="clear" w:color="auto" w:fill="F3F3F4"/>
          </w:tcPr>
          <w:p>
            <w:pPr>
              <w:jc w:val="right"/>
              <w:ind w:right="37"/>
              <w:spacing w:after="0" w:line="144" w:lineRule="exact"/>
              <w:rPr>
                <w:sz w:val="20"/>
                <w:szCs w:val="20"/>
                <w:color w:val="auto"/>
              </w:rPr>
            </w:pPr>
            <w:r>
              <w:rPr>
                <w:rFonts w:ascii="Arial" w:cs="Arial" w:eastAsia="Arial" w:hAnsi="Arial"/>
                <w:sz w:val="13"/>
                <w:szCs w:val="13"/>
                <w:b w:val="1"/>
                <w:bCs w:val="1"/>
                <w:color w:val="auto"/>
              </w:rPr>
              <w:t>Target</w:t>
            </w:r>
          </w:p>
        </w:tc>
        <w:tc>
          <w:tcPr>
            <w:tcW w:w="720" w:type="dxa"/>
            <w:vAlign w:val="bottom"/>
            <w:vMerge w:val="restart"/>
            <w:shd w:val="clear" w:color="auto" w:fill="F3F3F4"/>
          </w:tcPr>
          <w:p>
            <w:pPr>
              <w:jc w:val="right"/>
              <w:spacing w:after="0" w:line="144" w:lineRule="exact"/>
              <w:rPr>
                <w:sz w:val="20"/>
                <w:szCs w:val="20"/>
                <w:color w:val="auto"/>
              </w:rPr>
            </w:pPr>
            <w:r>
              <w:rPr>
                <w:rFonts w:ascii="Arial" w:cs="Arial" w:eastAsia="Arial" w:hAnsi="Arial"/>
                <w:sz w:val="13"/>
                <w:szCs w:val="13"/>
                <w:b w:val="1"/>
                <w:bCs w:val="1"/>
                <w:color w:val="auto"/>
              </w:rPr>
              <w:t>Maximum</w:t>
            </w:r>
          </w:p>
        </w:tc>
        <w:tc>
          <w:tcPr>
            <w:tcW w:w="60" w:type="dxa"/>
            <w:vAlign w:val="bottom"/>
            <w:shd w:val="clear" w:color="auto" w:fill="F3F3F4"/>
          </w:tcPr>
          <w:p>
            <w:pPr>
              <w:spacing w:after="0"/>
              <w:rPr>
                <w:sz w:val="7"/>
                <w:szCs w:val="7"/>
                <w:color w:val="auto"/>
              </w:rPr>
            </w:pPr>
          </w:p>
        </w:tc>
        <w:tc>
          <w:tcPr>
            <w:tcW w:w="640" w:type="dxa"/>
            <w:vAlign w:val="bottom"/>
            <w:shd w:val="clear" w:color="auto" w:fill="F3F3F4"/>
          </w:tcPr>
          <w:p>
            <w:pPr>
              <w:jc w:val="center"/>
              <w:spacing w:after="0" w:line="81" w:lineRule="exact"/>
              <w:rPr>
                <w:sz w:val="20"/>
                <w:szCs w:val="20"/>
                <w:color w:val="auto"/>
              </w:rPr>
            </w:pPr>
            <w:r>
              <w:rPr>
                <w:rFonts w:ascii="Arial" w:cs="Arial" w:eastAsia="Arial" w:hAnsi="Arial"/>
                <w:sz w:val="7"/>
                <w:szCs w:val="7"/>
                <w:b w:val="1"/>
                <w:bCs w:val="1"/>
                <w:color w:val="auto"/>
              </w:rPr>
              <w:t>or Units</w:t>
            </w:r>
            <w:r>
              <w:rPr>
                <w:rFonts w:ascii="Arial" w:cs="Arial" w:eastAsia="Arial" w:hAnsi="Arial"/>
                <w:sz w:val="9"/>
                <w:szCs w:val="9"/>
                <w:color w:val="auto"/>
                <w:vertAlign w:val="subscript"/>
              </w:rPr>
              <w:t>(5)</w:t>
            </w:r>
          </w:p>
        </w:tc>
        <w:tc>
          <w:tcPr>
            <w:tcW w:w="780" w:type="dxa"/>
            <w:vAlign w:val="bottom"/>
            <w:shd w:val="clear" w:color="auto" w:fill="F3F3F4"/>
          </w:tcPr>
          <w:p>
            <w:pPr>
              <w:jc w:val="right"/>
              <w:spacing w:after="0" w:line="81" w:lineRule="exact"/>
              <w:rPr>
                <w:sz w:val="20"/>
                <w:szCs w:val="20"/>
                <w:color w:val="auto"/>
              </w:rPr>
            </w:pPr>
            <w:r>
              <w:rPr>
                <w:rFonts w:ascii="Arial" w:cs="Arial" w:eastAsia="Arial" w:hAnsi="Arial"/>
                <w:sz w:val="8"/>
                <w:szCs w:val="8"/>
                <w:color w:val="auto"/>
              </w:rPr>
              <w:t>(6)</w:t>
            </w:r>
          </w:p>
        </w:tc>
        <w:tc>
          <w:tcPr>
            <w:tcW w:w="840" w:type="dxa"/>
            <w:vAlign w:val="bottom"/>
            <w:vMerge w:val="restart"/>
            <w:shd w:val="clear" w:color="auto" w:fill="F3F3F4"/>
          </w:tcPr>
          <w:p>
            <w:pPr>
              <w:jc w:val="right"/>
              <w:spacing w:after="0" w:line="144" w:lineRule="exact"/>
              <w:rPr>
                <w:sz w:val="20"/>
                <w:szCs w:val="20"/>
                <w:color w:val="auto"/>
              </w:rPr>
            </w:pPr>
            <w:r>
              <w:rPr>
                <w:rFonts w:ascii="Arial" w:cs="Arial" w:eastAsia="Arial" w:hAnsi="Arial"/>
                <w:sz w:val="13"/>
                <w:szCs w:val="13"/>
                <w:b w:val="1"/>
                <w:bCs w:val="1"/>
                <w:color w:val="auto"/>
              </w:rPr>
              <w:t>Awards</w:t>
            </w:r>
          </w:p>
        </w:tc>
        <w:tc>
          <w:tcPr>
            <w:tcW w:w="1120" w:type="dxa"/>
            <w:vAlign w:val="bottom"/>
            <w:vMerge w:val="restart"/>
            <w:shd w:val="clear" w:color="auto" w:fill="F3F3F4"/>
          </w:tcPr>
          <w:p>
            <w:pPr>
              <w:jc w:val="right"/>
              <w:ind w:right="57"/>
              <w:spacing w:after="0" w:line="144"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63"/>
        </w:trPr>
        <w:tc>
          <w:tcPr>
            <w:tcW w:w="1080" w:type="dxa"/>
            <w:vAlign w:val="bottom"/>
            <w:vMerge w:val="continue"/>
            <w:shd w:val="clear" w:color="auto" w:fill="F3F3F4"/>
          </w:tcPr>
          <w:p>
            <w:pPr>
              <w:spacing w:after="0"/>
              <w:rPr>
                <w:sz w:val="5"/>
                <w:szCs w:val="5"/>
                <w:color w:val="auto"/>
              </w:rPr>
            </w:pPr>
          </w:p>
        </w:tc>
        <w:tc>
          <w:tcPr>
            <w:tcW w:w="660" w:type="dxa"/>
            <w:vAlign w:val="bottom"/>
            <w:vMerge w:val="restart"/>
            <w:shd w:val="clear" w:color="auto" w:fill="F3F3F4"/>
          </w:tcPr>
          <w:p>
            <w:pPr>
              <w:jc w:val="right"/>
              <w:spacing w:after="0"/>
              <w:rPr>
                <w:sz w:val="20"/>
                <w:szCs w:val="20"/>
                <w:color w:val="auto"/>
              </w:rPr>
            </w:pPr>
            <w:r>
              <w:rPr>
                <w:rFonts w:ascii="Arial" w:cs="Arial" w:eastAsia="Arial" w:hAnsi="Arial"/>
                <w:sz w:val="13"/>
                <w:szCs w:val="13"/>
                <w:b w:val="1"/>
                <w:bCs w:val="1"/>
                <w:color w:val="auto"/>
                <w:w w:val="93"/>
              </w:rPr>
              <w:t>Grant Date</w:t>
            </w:r>
          </w:p>
        </w:tc>
        <w:tc>
          <w:tcPr>
            <w:tcW w:w="840" w:type="dxa"/>
            <w:vAlign w:val="bottom"/>
            <w:vMerge w:val="continue"/>
            <w:shd w:val="clear" w:color="auto" w:fill="F3F3F4"/>
          </w:tcPr>
          <w:p>
            <w:pPr>
              <w:spacing w:after="0"/>
              <w:rPr>
                <w:sz w:val="5"/>
                <w:szCs w:val="5"/>
                <w:color w:val="auto"/>
              </w:rPr>
            </w:pPr>
          </w:p>
        </w:tc>
        <w:tc>
          <w:tcPr>
            <w:tcW w:w="780" w:type="dxa"/>
            <w:vAlign w:val="bottom"/>
            <w:vMerge w:val="continue"/>
            <w:shd w:val="clear" w:color="auto" w:fill="F3F3F4"/>
          </w:tcPr>
          <w:p>
            <w:pPr>
              <w:spacing w:after="0"/>
              <w:rPr>
                <w:sz w:val="5"/>
                <w:szCs w:val="5"/>
                <w:color w:val="auto"/>
              </w:rPr>
            </w:pPr>
          </w:p>
        </w:tc>
        <w:tc>
          <w:tcPr>
            <w:tcW w:w="740" w:type="dxa"/>
            <w:vAlign w:val="bottom"/>
            <w:vMerge w:val="continue"/>
            <w:shd w:val="clear" w:color="auto" w:fill="F3F3F4"/>
          </w:tcPr>
          <w:p>
            <w:pPr>
              <w:spacing w:after="0"/>
              <w:rPr>
                <w:sz w:val="5"/>
                <w:szCs w:val="5"/>
                <w:color w:val="auto"/>
              </w:rPr>
            </w:pPr>
          </w:p>
        </w:tc>
        <w:tc>
          <w:tcPr>
            <w:tcW w:w="780" w:type="dxa"/>
            <w:vAlign w:val="bottom"/>
            <w:vMerge w:val="continue"/>
            <w:shd w:val="clear" w:color="auto" w:fill="F3F3F4"/>
          </w:tcPr>
          <w:p>
            <w:pPr>
              <w:spacing w:after="0"/>
              <w:rPr>
                <w:sz w:val="5"/>
                <w:szCs w:val="5"/>
                <w:color w:val="auto"/>
              </w:rPr>
            </w:pPr>
          </w:p>
        </w:tc>
        <w:tc>
          <w:tcPr>
            <w:tcW w:w="680" w:type="dxa"/>
            <w:vAlign w:val="bottom"/>
            <w:vMerge w:val="continue"/>
            <w:shd w:val="clear" w:color="auto" w:fill="F3F3F4"/>
          </w:tcPr>
          <w:p>
            <w:pPr>
              <w:spacing w:after="0"/>
              <w:rPr>
                <w:sz w:val="5"/>
                <w:szCs w:val="5"/>
                <w:color w:val="auto"/>
              </w:rPr>
            </w:pPr>
          </w:p>
        </w:tc>
        <w:tc>
          <w:tcPr>
            <w:tcW w:w="720" w:type="dxa"/>
            <w:vAlign w:val="bottom"/>
            <w:vMerge w:val="continue"/>
            <w:shd w:val="clear" w:color="auto" w:fill="F3F3F4"/>
          </w:tcPr>
          <w:p>
            <w:pPr>
              <w:spacing w:after="0"/>
              <w:rPr>
                <w:sz w:val="5"/>
                <w:szCs w:val="5"/>
                <w:color w:val="auto"/>
              </w:rPr>
            </w:pPr>
          </w:p>
        </w:tc>
        <w:tc>
          <w:tcPr>
            <w:tcW w:w="700" w:type="dxa"/>
            <w:vAlign w:val="bottom"/>
            <w:gridSpan w:val="2"/>
            <w:vMerge w:val="restart"/>
            <w:shd w:val="clear" w:color="auto" w:fill="F3F3F4"/>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F3F3F4"/>
          </w:tcPr>
          <w:p>
            <w:pPr>
              <w:jc w:val="right"/>
              <w:ind w:right="98"/>
              <w:spacing w:after="0" w:line="63" w:lineRule="exact"/>
              <w:rPr>
                <w:sz w:val="20"/>
                <w:szCs w:val="20"/>
                <w:color w:val="auto"/>
              </w:rPr>
            </w:pPr>
            <w:r>
              <w:rPr>
                <w:rFonts w:ascii="Arial" w:cs="Arial" w:eastAsia="Arial" w:hAnsi="Arial"/>
                <w:sz w:val="7"/>
                <w:szCs w:val="7"/>
                <w:b w:val="1"/>
                <w:bCs w:val="1"/>
                <w:color w:val="auto"/>
              </w:rPr>
              <w:t>Options</w:t>
            </w:r>
          </w:p>
        </w:tc>
        <w:tc>
          <w:tcPr>
            <w:tcW w:w="840" w:type="dxa"/>
            <w:vAlign w:val="bottom"/>
            <w:vMerge w:val="continue"/>
            <w:shd w:val="clear" w:color="auto" w:fill="F3F3F4"/>
          </w:tcPr>
          <w:p>
            <w:pPr>
              <w:spacing w:after="0"/>
              <w:rPr>
                <w:sz w:val="5"/>
                <w:szCs w:val="5"/>
                <w:color w:val="auto"/>
              </w:rPr>
            </w:pPr>
          </w:p>
        </w:tc>
        <w:tc>
          <w:tcPr>
            <w:tcW w:w="1120" w:type="dxa"/>
            <w:vAlign w:val="bottom"/>
            <w:vMerge w:val="continue"/>
            <w:shd w:val="clear" w:color="auto" w:fill="F3F3F4"/>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08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3"/>
                <w:szCs w:val="13"/>
                <w:b w:val="1"/>
                <w:bCs w:val="1"/>
                <w:color w:val="auto"/>
              </w:rPr>
              <w:t>Grant Type*</w:t>
            </w:r>
          </w:p>
        </w:tc>
        <w:tc>
          <w:tcPr>
            <w:tcW w:w="660" w:type="dxa"/>
            <w:vAlign w:val="bottom"/>
            <w:tcBorders>
              <w:bottom w:val="single" w:sz="8" w:color="auto"/>
            </w:tcBorders>
            <w:vMerge w:val="continue"/>
            <w:shd w:val="clear" w:color="auto" w:fill="F3F3F4"/>
          </w:tcPr>
          <w:p>
            <w:pPr>
              <w:spacing w:after="0"/>
              <w:rPr>
                <w:sz w:val="13"/>
                <w:szCs w:val="13"/>
                <w:color w:val="auto"/>
              </w:rPr>
            </w:pPr>
          </w:p>
        </w:tc>
        <w:tc>
          <w:tcPr>
            <w:tcW w:w="840" w:type="dxa"/>
            <w:vAlign w:val="bottom"/>
            <w:tcBorders>
              <w:bottom w:val="single" w:sz="8" w:color="auto"/>
            </w:tcBorders>
            <w:shd w:val="clear" w:color="auto" w:fill="F3F3F4"/>
          </w:tcPr>
          <w:p>
            <w:pPr>
              <w:jc w:val="right"/>
              <w:ind w:right="77"/>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F3F3F4"/>
          </w:tcPr>
          <w:p>
            <w:pPr>
              <w:jc w:val="right"/>
              <w:ind w:right="37"/>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F3F3F4"/>
          </w:tcPr>
          <w:p>
            <w:pPr>
              <w:jc w:val="right"/>
              <w:ind w:right="17"/>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F3F3F4"/>
          </w:tcPr>
          <w:p>
            <w:pPr>
              <w:jc w:val="right"/>
              <w:ind w:right="3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shd w:val="clear" w:color="auto" w:fill="F3F3F4"/>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gridSpan w:val="2"/>
            <w:vMerge w:val="continue"/>
            <w:shd w:val="clear" w:color="auto" w:fill="F3F3F4"/>
          </w:tcPr>
          <w:p>
            <w:pPr>
              <w:spacing w:after="0"/>
              <w:rPr>
                <w:sz w:val="13"/>
                <w:szCs w:val="13"/>
                <w:color w:val="auto"/>
              </w:rPr>
            </w:pPr>
          </w:p>
        </w:tc>
        <w:tc>
          <w:tcPr>
            <w:tcW w:w="78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($/Sh)</w:t>
            </w:r>
          </w:p>
        </w:tc>
        <w:tc>
          <w:tcPr>
            <w:tcW w:w="1120" w:type="dxa"/>
            <w:vAlign w:val="bottom"/>
            <w:tcBorders>
              <w:bottom w:val="single" w:sz="8" w:color="auto"/>
            </w:tcBorders>
            <w:shd w:val="clear" w:color="auto" w:fill="F3F3F4"/>
          </w:tcPr>
          <w:p>
            <w:pPr>
              <w:jc w:val="right"/>
              <w:ind w:right="5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1080" w:type="dxa"/>
            <w:vAlign w:val="bottom"/>
            <w:tcBorders>
              <w:bottom w:val="single" w:sz="8" w:color="auto"/>
            </w:tcBorders>
            <w:shd w:val="clear" w:color="auto" w:fill="F3F3F4"/>
          </w:tcPr>
          <w:p>
            <w:pPr>
              <w:spacing w:after="0" w:line="129" w:lineRule="exact"/>
              <w:rPr>
                <w:sz w:val="20"/>
                <w:szCs w:val="20"/>
                <w:color w:val="auto"/>
              </w:rPr>
            </w:pPr>
            <w:r>
              <w:rPr>
                <w:rFonts w:ascii="Arial" w:cs="Arial" w:eastAsia="Arial" w:hAnsi="Arial"/>
                <w:sz w:val="13"/>
                <w:szCs w:val="13"/>
                <w:b w:val="1"/>
                <w:bCs w:val="1"/>
                <w:color w:val="auto"/>
                <w:w w:val="87"/>
              </w:rPr>
              <w:t>John J. Christmann</w:t>
            </w:r>
          </w:p>
        </w:tc>
        <w:tc>
          <w:tcPr>
            <w:tcW w:w="660" w:type="dxa"/>
            <w:vAlign w:val="bottom"/>
            <w:tcBorders>
              <w:bottom w:val="single" w:sz="8" w:color="auto"/>
            </w:tcBorders>
            <w:shd w:val="clear" w:color="auto" w:fill="F3F3F4"/>
          </w:tcPr>
          <w:p>
            <w:pPr>
              <w:jc w:val="right"/>
              <w:ind w:right="337"/>
              <w:spacing w:after="0" w:line="129" w:lineRule="exact"/>
              <w:rPr>
                <w:sz w:val="20"/>
                <w:szCs w:val="20"/>
                <w:color w:val="auto"/>
              </w:rPr>
            </w:pPr>
            <w:r>
              <w:rPr>
                <w:rFonts w:ascii="Arial" w:cs="Arial" w:eastAsia="Arial" w:hAnsi="Arial"/>
                <w:sz w:val="13"/>
                <w:szCs w:val="13"/>
                <w:b w:val="1"/>
                <w:bCs w:val="1"/>
                <w:color w:val="auto"/>
              </w:rPr>
              <w:t>IV</w:t>
            </w:r>
          </w:p>
        </w:tc>
        <w:tc>
          <w:tcPr>
            <w:tcW w:w="8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7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680" w:type="dxa"/>
            <w:vAlign w:val="bottom"/>
            <w:tcBorders>
              <w:bottom w:val="single" w:sz="8" w:color="auto"/>
            </w:tcBorders>
            <w:shd w:val="clear" w:color="auto" w:fill="F3F3F4"/>
          </w:tcPr>
          <w:p>
            <w:pPr>
              <w:spacing w:after="0"/>
              <w:rPr>
                <w:sz w:val="11"/>
                <w:szCs w:val="11"/>
                <w:color w:val="auto"/>
              </w:rPr>
            </w:pPr>
          </w:p>
        </w:tc>
        <w:tc>
          <w:tcPr>
            <w:tcW w:w="720" w:type="dxa"/>
            <w:vAlign w:val="bottom"/>
            <w:tcBorders>
              <w:bottom w:val="single" w:sz="8" w:color="auto"/>
            </w:tcBorders>
            <w:shd w:val="clear" w:color="auto" w:fill="F3F3F4"/>
          </w:tcPr>
          <w:p>
            <w:pPr>
              <w:spacing w:after="0"/>
              <w:rPr>
                <w:sz w:val="11"/>
                <w:szCs w:val="11"/>
                <w:color w:val="auto"/>
              </w:rPr>
            </w:pPr>
          </w:p>
        </w:tc>
        <w:tc>
          <w:tcPr>
            <w:tcW w:w="60" w:type="dxa"/>
            <w:vAlign w:val="bottom"/>
            <w:tcBorders>
              <w:bottom w:val="single" w:sz="8" w:color="auto"/>
            </w:tcBorders>
            <w:shd w:val="clear" w:color="auto" w:fill="F3F3F4"/>
          </w:tcPr>
          <w:p>
            <w:pPr>
              <w:spacing w:after="0"/>
              <w:rPr>
                <w:sz w:val="11"/>
                <w:szCs w:val="11"/>
                <w:color w:val="auto"/>
              </w:rPr>
            </w:pPr>
          </w:p>
        </w:tc>
        <w:tc>
          <w:tcPr>
            <w:tcW w:w="6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840" w:type="dxa"/>
            <w:vAlign w:val="bottom"/>
            <w:tcBorders>
              <w:bottom w:val="single" w:sz="8" w:color="auto"/>
            </w:tcBorders>
            <w:shd w:val="clear" w:color="auto" w:fill="F3F3F4"/>
          </w:tcPr>
          <w:p>
            <w:pPr>
              <w:spacing w:after="0"/>
              <w:rPr>
                <w:sz w:val="11"/>
                <w:szCs w:val="11"/>
                <w:color w:val="auto"/>
              </w:rPr>
            </w:pPr>
          </w:p>
        </w:tc>
        <w:tc>
          <w:tcPr>
            <w:tcW w:w="1120" w:type="dxa"/>
            <w:vAlign w:val="bottom"/>
            <w:tcBorders>
              <w:bottom w:val="single" w:sz="8" w:color="auto"/>
            </w:tcBorders>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Annual</w:t>
            </w:r>
          </w:p>
        </w:tc>
        <w:tc>
          <w:tcPr>
            <w:tcW w:w="6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910,000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1,820,000</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3,640,000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TSR</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28,855</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144,273</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288,546</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3,416,385</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CROIC</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1,138,800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2,277,600</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4,555,200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Stock RSU</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80,152</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1,897,999</w:t>
            </w:r>
          </w:p>
        </w:tc>
        <w:tc>
          <w:tcPr>
            <w:tcW w:w="0" w:type="dxa"/>
            <w:vAlign w:val="bottom"/>
          </w:tcPr>
          <w:p>
            <w:pPr>
              <w:spacing w:after="0"/>
              <w:rPr>
                <w:sz w:val="1"/>
                <w:szCs w:val="1"/>
                <w:color w:val="auto"/>
              </w:rPr>
            </w:pPr>
          </w:p>
        </w:tc>
      </w:tr>
      <w:tr>
        <w:trPr>
          <w:trHeight w:val="129"/>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Options</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199,579</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23.68</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1,897,996</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shd w:val="clear" w:color="auto" w:fill="F3F3F4"/>
          </w:tcPr>
          <w:p>
            <w:pPr>
              <w:spacing w:after="0" w:line="129" w:lineRule="exact"/>
              <w:rPr>
                <w:sz w:val="20"/>
                <w:szCs w:val="20"/>
                <w:color w:val="auto"/>
              </w:rPr>
            </w:pPr>
            <w:r>
              <w:rPr>
                <w:rFonts w:ascii="Arial" w:cs="Arial" w:eastAsia="Arial" w:hAnsi="Arial"/>
                <w:sz w:val="13"/>
                <w:szCs w:val="13"/>
                <w:b w:val="1"/>
                <w:bCs w:val="1"/>
                <w:color w:val="auto"/>
              </w:rPr>
              <w:t>Stephen J. Riney</w:t>
            </w:r>
          </w:p>
        </w:tc>
        <w:tc>
          <w:tcPr>
            <w:tcW w:w="660" w:type="dxa"/>
            <w:vAlign w:val="bottom"/>
            <w:tcBorders>
              <w:bottom w:val="single" w:sz="8" w:color="auto"/>
            </w:tcBorders>
            <w:shd w:val="clear" w:color="auto" w:fill="F3F3F4"/>
          </w:tcPr>
          <w:p>
            <w:pPr>
              <w:spacing w:after="0"/>
              <w:rPr>
                <w:sz w:val="11"/>
                <w:szCs w:val="11"/>
                <w:color w:val="auto"/>
              </w:rPr>
            </w:pPr>
          </w:p>
        </w:tc>
        <w:tc>
          <w:tcPr>
            <w:tcW w:w="8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7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680" w:type="dxa"/>
            <w:vAlign w:val="bottom"/>
            <w:tcBorders>
              <w:bottom w:val="single" w:sz="8" w:color="auto"/>
            </w:tcBorders>
            <w:shd w:val="clear" w:color="auto" w:fill="F3F3F4"/>
          </w:tcPr>
          <w:p>
            <w:pPr>
              <w:spacing w:after="0"/>
              <w:rPr>
                <w:sz w:val="11"/>
                <w:szCs w:val="11"/>
                <w:color w:val="auto"/>
              </w:rPr>
            </w:pPr>
          </w:p>
        </w:tc>
        <w:tc>
          <w:tcPr>
            <w:tcW w:w="720" w:type="dxa"/>
            <w:vAlign w:val="bottom"/>
            <w:tcBorders>
              <w:bottom w:val="single" w:sz="8" w:color="auto"/>
            </w:tcBorders>
            <w:shd w:val="clear" w:color="auto" w:fill="F3F3F4"/>
          </w:tcPr>
          <w:p>
            <w:pPr>
              <w:spacing w:after="0"/>
              <w:rPr>
                <w:sz w:val="11"/>
                <w:szCs w:val="11"/>
                <w:color w:val="auto"/>
              </w:rPr>
            </w:pPr>
          </w:p>
        </w:tc>
        <w:tc>
          <w:tcPr>
            <w:tcW w:w="60" w:type="dxa"/>
            <w:vAlign w:val="bottom"/>
            <w:tcBorders>
              <w:bottom w:val="single" w:sz="8" w:color="auto"/>
            </w:tcBorders>
            <w:shd w:val="clear" w:color="auto" w:fill="F3F3F4"/>
          </w:tcPr>
          <w:p>
            <w:pPr>
              <w:spacing w:after="0"/>
              <w:rPr>
                <w:sz w:val="11"/>
                <w:szCs w:val="11"/>
                <w:color w:val="auto"/>
              </w:rPr>
            </w:pPr>
          </w:p>
        </w:tc>
        <w:tc>
          <w:tcPr>
            <w:tcW w:w="6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840" w:type="dxa"/>
            <w:vAlign w:val="bottom"/>
            <w:tcBorders>
              <w:bottom w:val="single" w:sz="8" w:color="auto"/>
            </w:tcBorders>
            <w:shd w:val="clear" w:color="auto" w:fill="F3F3F4"/>
          </w:tcPr>
          <w:p>
            <w:pPr>
              <w:spacing w:after="0"/>
              <w:rPr>
                <w:sz w:val="11"/>
                <w:szCs w:val="11"/>
                <w:color w:val="auto"/>
              </w:rPr>
            </w:pPr>
          </w:p>
        </w:tc>
        <w:tc>
          <w:tcPr>
            <w:tcW w:w="1120" w:type="dxa"/>
            <w:vAlign w:val="bottom"/>
            <w:tcBorders>
              <w:bottom w:val="single" w:sz="8" w:color="auto"/>
            </w:tcBorders>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Annual</w:t>
            </w:r>
          </w:p>
        </w:tc>
        <w:tc>
          <w:tcPr>
            <w:tcW w:w="6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540,000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1,080,000</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2,160,000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TSR</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16,419</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82,094</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164,188</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1,943,986</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CROIC</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648,000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1,296,000</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2,592,000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Stock RSU</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45,608</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1,079,997</w:t>
            </w:r>
          </w:p>
        </w:tc>
        <w:tc>
          <w:tcPr>
            <w:tcW w:w="0" w:type="dxa"/>
            <w:vAlign w:val="bottom"/>
          </w:tcPr>
          <w:p>
            <w:pPr>
              <w:spacing w:after="0"/>
              <w:rPr>
                <w:sz w:val="1"/>
                <w:szCs w:val="1"/>
                <w:color w:val="auto"/>
              </w:rPr>
            </w:pPr>
          </w:p>
        </w:tc>
      </w:tr>
      <w:tr>
        <w:trPr>
          <w:trHeight w:val="129"/>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Options</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113,564</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23.68</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1,079,994</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shd w:val="clear" w:color="auto" w:fill="F3F3F4"/>
          </w:tcPr>
          <w:p>
            <w:pPr>
              <w:spacing w:after="0" w:line="129" w:lineRule="exact"/>
              <w:rPr>
                <w:sz w:val="20"/>
                <w:szCs w:val="20"/>
                <w:color w:val="auto"/>
              </w:rPr>
            </w:pPr>
            <w:r>
              <w:rPr>
                <w:rFonts w:ascii="Arial" w:cs="Arial" w:eastAsia="Arial" w:hAnsi="Arial"/>
                <w:sz w:val="13"/>
                <w:szCs w:val="13"/>
                <w:b w:val="1"/>
                <w:bCs w:val="1"/>
                <w:color w:val="auto"/>
              </w:rPr>
              <w:t>Ben C. Rodgers</w:t>
            </w:r>
          </w:p>
        </w:tc>
        <w:tc>
          <w:tcPr>
            <w:tcW w:w="660" w:type="dxa"/>
            <w:vAlign w:val="bottom"/>
            <w:tcBorders>
              <w:bottom w:val="single" w:sz="8" w:color="auto"/>
            </w:tcBorders>
            <w:shd w:val="clear" w:color="auto" w:fill="F3F3F4"/>
          </w:tcPr>
          <w:p>
            <w:pPr>
              <w:spacing w:after="0"/>
              <w:rPr>
                <w:sz w:val="11"/>
                <w:szCs w:val="11"/>
                <w:color w:val="auto"/>
              </w:rPr>
            </w:pPr>
          </w:p>
        </w:tc>
        <w:tc>
          <w:tcPr>
            <w:tcW w:w="8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7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680" w:type="dxa"/>
            <w:vAlign w:val="bottom"/>
            <w:tcBorders>
              <w:bottom w:val="single" w:sz="8" w:color="auto"/>
            </w:tcBorders>
            <w:shd w:val="clear" w:color="auto" w:fill="F3F3F4"/>
          </w:tcPr>
          <w:p>
            <w:pPr>
              <w:spacing w:after="0"/>
              <w:rPr>
                <w:sz w:val="11"/>
                <w:szCs w:val="11"/>
                <w:color w:val="auto"/>
              </w:rPr>
            </w:pPr>
          </w:p>
        </w:tc>
        <w:tc>
          <w:tcPr>
            <w:tcW w:w="720" w:type="dxa"/>
            <w:vAlign w:val="bottom"/>
            <w:tcBorders>
              <w:bottom w:val="single" w:sz="8" w:color="auto"/>
            </w:tcBorders>
            <w:shd w:val="clear" w:color="auto" w:fill="F3F3F4"/>
          </w:tcPr>
          <w:p>
            <w:pPr>
              <w:spacing w:after="0"/>
              <w:rPr>
                <w:sz w:val="11"/>
                <w:szCs w:val="11"/>
                <w:color w:val="auto"/>
              </w:rPr>
            </w:pPr>
          </w:p>
        </w:tc>
        <w:tc>
          <w:tcPr>
            <w:tcW w:w="60" w:type="dxa"/>
            <w:vAlign w:val="bottom"/>
            <w:tcBorders>
              <w:bottom w:val="single" w:sz="8" w:color="auto"/>
            </w:tcBorders>
            <w:shd w:val="clear" w:color="auto" w:fill="F3F3F4"/>
          </w:tcPr>
          <w:p>
            <w:pPr>
              <w:spacing w:after="0"/>
              <w:rPr>
                <w:sz w:val="11"/>
                <w:szCs w:val="11"/>
                <w:color w:val="auto"/>
              </w:rPr>
            </w:pPr>
          </w:p>
        </w:tc>
        <w:tc>
          <w:tcPr>
            <w:tcW w:w="6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840" w:type="dxa"/>
            <w:vAlign w:val="bottom"/>
            <w:tcBorders>
              <w:bottom w:val="single" w:sz="8" w:color="auto"/>
            </w:tcBorders>
            <w:shd w:val="clear" w:color="auto" w:fill="F3F3F4"/>
          </w:tcPr>
          <w:p>
            <w:pPr>
              <w:spacing w:after="0"/>
              <w:rPr>
                <w:sz w:val="11"/>
                <w:szCs w:val="11"/>
                <w:color w:val="auto"/>
              </w:rPr>
            </w:pPr>
          </w:p>
        </w:tc>
        <w:tc>
          <w:tcPr>
            <w:tcW w:w="1120" w:type="dxa"/>
            <w:vAlign w:val="bottom"/>
            <w:tcBorders>
              <w:bottom w:val="single" w:sz="8" w:color="auto"/>
            </w:tcBorders>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Annual</w:t>
            </w:r>
          </w:p>
        </w:tc>
        <w:tc>
          <w:tcPr>
            <w:tcW w:w="6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290,116</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580,232</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1,160,464</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TSR</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4,561</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22,803</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45,606</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539,975</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CROIC</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180,000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360,000</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720,000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Stock RSU</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12,668</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299,978</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Options</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31,545</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23.68</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299,993</w:t>
            </w:r>
          </w:p>
        </w:tc>
        <w:tc>
          <w:tcPr>
            <w:tcW w:w="0" w:type="dxa"/>
            <w:vAlign w:val="bottom"/>
          </w:tcPr>
          <w:p>
            <w:pPr>
              <w:spacing w:after="0"/>
              <w:rPr>
                <w:sz w:val="1"/>
                <w:szCs w:val="1"/>
                <w:color w:val="auto"/>
              </w:rPr>
            </w:pPr>
          </w:p>
        </w:tc>
      </w:tr>
      <w:tr>
        <w:trPr>
          <w:trHeight w:val="128"/>
        </w:trPr>
        <w:tc>
          <w:tcPr>
            <w:tcW w:w="1740" w:type="dxa"/>
            <w:vAlign w:val="bottom"/>
            <w:tcBorders>
              <w:bottom w:val="single" w:sz="8" w:color="auto"/>
            </w:tcBorders>
            <w:gridSpan w:val="2"/>
            <w:shd w:val="clear" w:color="auto" w:fill="F3F3F4"/>
          </w:tcPr>
          <w:p>
            <w:pPr>
              <w:spacing w:after="0" w:line="129" w:lineRule="exact"/>
              <w:rPr>
                <w:sz w:val="20"/>
                <w:szCs w:val="20"/>
                <w:color w:val="auto"/>
              </w:rPr>
            </w:pPr>
            <w:r>
              <w:rPr>
                <w:rFonts w:ascii="Arial" w:cs="Arial" w:eastAsia="Arial" w:hAnsi="Arial"/>
                <w:sz w:val="13"/>
                <w:szCs w:val="13"/>
                <w:b w:val="1"/>
                <w:bCs w:val="1"/>
                <w:color w:val="auto"/>
              </w:rPr>
              <w:t>Tracey K. Henderson</w:t>
            </w:r>
          </w:p>
        </w:tc>
        <w:tc>
          <w:tcPr>
            <w:tcW w:w="8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7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680" w:type="dxa"/>
            <w:vAlign w:val="bottom"/>
            <w:tcBorders>
              <w:bottom w:val="single" w:sz="8" w:color="auto"/>
            </w:tcBorders>
            <w:shd w:val="clear" w:color="auto" w:fill="F3F3F4"/>
          </w:tcPr>
          <w:p>
            <w:pPr>
              <w:spacing w:after="0"/>
              <w:rPr>
                <w:sz w:val="11"/>
                <w:szCs w:val="11"/>
                <w:color w:val="auto"/>
              </w:rPr>
            </w:pPr>
          </w:p>
        </w:tc>
        <w:tc>
          <w:tcPr>
            <w:tcW w:w="720" w:type="dxa"/>
            <w:vAlign w:val="bottom"/>
            <w:tcBorders>
              <w:bottom w:val="single" w:sz="8" w:color="auto"/>
            </w:tcBorders>
            <w:shd w:val="clear" w:color="auto" w:fill="F3F3F4"/>
          </w:tcPr>
          <w:p>
            <w:pPr>
              <w:spacing w:after="0"/>
              <w:rPr>
                <w:sz w:val="11"/>
                <w:szCs w:val="11"/>
                <w:color w:val="auto"/>
              </w:rPr>
            </w:pPr>
          </w:p>
        </w:tc>
        <w:tc>
          <w:tcPr>
            <w:tcW w:w="60" w:type="dxa"/>
            <w:vAlign w:val="bottom"/>
            <w:tcBorders>
              <w:bottom w:val="single" w:sz="8" w:color="auto"/>
            </w:tcBorders>
            <w:shd w:val="clear" w:color="auto" w:fill="F3F3F4"/>
          </w:tcPr>
          <w:p>
            <w:pPr>
              <w:spacing w:after="0"/>
              <w:rPr>
                <w:sz w:val="11"/>
                <w:szCs w:val="11"/>
                <w:color w:val="auto"/>
              </w:rPr>
            </w:pPr>
          </w:p>
        </w:tc>
        <w:tc>
          <w:tcPr>
            <w:tcW w:w="6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840" w:type="dxa"/>
            <w:vAlign w:val="bottom"/>
            <w:tcBorders>
              <w:bottom w:val="single" w:sz="8" w:color="auto"/>
            </w:tcBorders>
            <w:shd w:val="clear" w:color="auto" w:fill="F3F3F4"/>
          </w:tcPr>
          <w:p>
            <w:pPr>
              <w:spacing w:after="0"/>
              <w:rPr>
                <w:sz w:val="11"/>
                <w:szCs w:val="11"/>
                <w:color w:val="auto"/>
              </w:rPr>
            </w:pPr>
          </w:p>
        </w:tc>
        <w:tc>
          <w:tcPr>
            <w:tcW w:w="1120" w:type="dxa"/>
            <w:vAlign w:val="bottom"/>
            <w:tcBorders>
              <w:bottom w:val="single" w:sz="8" w:color="auto"/>
            </w:tcBorders>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Annual</w:t>
            </w:r>
          </w:p>
        </w:tc>
        <w:tc>
          <w:tcPr>
            <w:tcW w:w="6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312,500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625,000</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1,250,000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TSR</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6,651</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33,255</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66,510</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787,478</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CROIC</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262,500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525,000</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1,050,000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Stock RSU</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18,475</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437,488</w:t>
            </w:r>
          </w:p>
        </w:tc>
        <w:tc>
          <w:tcPr>
            <w:tcW w:w="0" w:type="dxa"/>
            <w:vAlign w:val="bottom"/>
          </w:tcPr>
          <w:p>
            <w:pPr>
              <w:spacing w:after="0"/>
              <w:rPr>
                <w:sz w:val="1"/>
                <w:szCs w:val="1"/>
                <w:color w:val="auto"/>
              </w:rPr>
            </w:pPr>
          </w:p>
        </w:tc>
      </w:tr>
      <w:tr>
        <w:trPr>
          <w:trHeight w:val="129"/>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Options</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46,004</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23.68</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437,498</w:t>
            </w:r>
          </w:p>
        </w:tc>
        <w:tc>
          <w:tcPr>
            <w:tcW w:w="0" w:type="dxa"/>
            <w:vAlign w:val="bottom"/>
          </w:tcPr>
          <w:p>
            <w:pPr>
              <w:spacing w:after="0"/>
              <w:rPr>
                <w:sz w:val="1"/>
                <w:szCs w:val="1"/>
                <w:color w:val="auto"/>
              </w:rPr>
            </w:pPr>
          </w:p>
        </w:tc>
      </w:tr>
      <w:tr>
        <w:trPr>
          <w:trHeight w:val="128"/>
        </w:trPr>
        <w:tc>
          <w:tcPr>
            <w:tcW w:w="1740" w:type="dxa"/>
            <w:vAlign w:val="bottom"/>
            <w:tcBorders>
              <w:bottom w:val="single" w:sz="8" w:color="auto"/>
            </w:tcBorders>
            <w:gridSpan w:val="2"/>
            <w:shd w:val="clear" w:color="auto" w:fill="F3F3F4"/>
          </w:tcPr>
          <w:p>
            <w:pPr>
              <w:spacing w:after="0" w:line="129" w:lineRule="exact"/>
              <w:rPr>
                <w:sz w:val="20"/>
                <w:szCs w:val="20"/>
                <w:color w:val="auto"/>
              </w:rPr>
            </w:pPr>
            <w:r>
              <w:rPr>
                <w:rFonts w:ascii="Arial" w:cs="Arial" w:eastAsia="Arial" w:hAnsi="Arial"/>
                <w:sz w:val="13"/>
                <w:szCs w:val="13"/>
                <w:b w:val="1"/>
                <w:bCs w:val="1"/>
                <w:color w:val="auto"/>
              </w:rPr>
              <w:t>Kimberly O. Warnica</w:t>
            </w:r>
          </w:p>
        </w:tc>
        <w:tc>
          <w:tcPr>
            <w:tcW w:w="8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7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680" w:type="dxa"/>
            <w:vAlign w:val="bottom"/>
            <w:tcBorders>
              <w:bottom w:val="single" w:sz="8" w:color="auto"/>
            </w:tcBorders>
            <w:shd w:val="clear" w:color="auto" w:fill="F3F3F4"/>
          </w:tcPr>
          <w:p>
            <w:pPr>
              <w:spacing w:after="0"/>
              <w:rPr>
                <w:sz w:val="11"/>
                <w:szCs w:val="11"/>
                <w:color w:val="auto"/>
              </w:rPr>
            </w:pPr>
          </w:p>
        </w:tc>
        <w:tc>
          <w:tcPr>
            <w:tcW w:w="720" w:type="dxa"/>
            <w:vAlign w:val="bottom"/>
            <w:tcBorders>
              <w:bottom w:val="single" w:sz="8" w:color="auto"/>
            </w:tcBorders>
            <w:shd w:val="clear" w:color="auto" w:fill="F3F3F4"/>
          </w:tcPr>
          <w:p>
            <w:pPr>
              <w:spacing w:after="0"/>
              <w:rPr>
                <w:sz w:val="11"/>
                <w:szCs w:val="11"/>
                <w:color w:val="auto"/>
              </w:rPr>
            </w:pPr>
          </w:p>
        </w:tc>
        <w:tc>
          <w:tcPr>
            <w:tcW w:w="60" w:type="dxa"/>
            <w:vAlign w:val="bottom"/>
            <w:tcBorders>
              <w:bottom w:val="single" w:sz="8" w:color="auto"/>
            </w:tcBorders>
            <w:shd w:val="clear" w:color="auto" w:fill="F3F3F4"/>
          </w:tcPr>
          <w:p>
            <w:pPr>
              <w:spacing w:after="0"/>
              <w:rPr>
                <w:sz w:val="11"/>
                <w:szCs w:val="11"/>
                <w:color w:val="auto"/>
              </w:rPr>
            </w:pPr>
          </w:p>
        </w:tc>
        <w:tc>
          <w:tcPr>
            <w:tcW w:w="6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840" w:type="dxa"/>
            <w:vAlign w:val="bottom"/>
            <w:tcBorders>
              <w:bottom w:val="single" w:sz="8" w:color="auto"/>
            </w:tcBorders>
            <w:shd w:val="clear" w:color="auto" w:fill="F3F3F4"/>
          </w:tcPr>
          <w:p>
            <w:pPr>
              <w:spacing w:after="0"/>
              <w:rPr>
                <w:sz w:val="11"/>
                <w:szCs w:val="11"/>
                <w:color w:val="auto"/>
              </w:rPr>
            </w:pPr>
          </w:p>
        </w:tc>
        <w:tc>
          <w:tcPr>
            <w:tcW w:w="1120" w:type="dxa"/>
            <w:vAlign w:val="bottom"/>
            <w:tcBorders>
              <w:bottom w:val="single" w:sz="8" w:color="auto"/>
            </w:tcBorders>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Annual</w:t>
            </w:r>
          </w:p>
        </w:tc>
        <w:tc>
          <w:tcPr>
            <w:tcW w:w="6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303,430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606,859</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1,213,717</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TSR</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01/13/2025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6,460</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32,301</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64,602</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764,888</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CROIC</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01/13/2025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262,500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525,000</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1,050,000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Stock RSU</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01/13/2025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17,945</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437,499</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Options</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01/13/2025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46,004</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24.38</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437,498</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shd w:val="clear" w:color="auto" w:fill="F3F3F4"/>
          </w:tcPr>
          <w:p>
            <w:pPr>
              <w:spacing w:after="0" w:line="129" w:lineRule="exact"/>
              <w:rPr>
                <w:sz w:val="20"/>
                <w:szCs w:val="20"/>
                <w:color w:val="auto"/>
              </w:rPr>
            </w:pPr>
            <w:r>
              <w:rPr>
                <w:rFonts w:ascii="Arial" w:cs="Arial" w:eastAsia="Arial" w:hAnsi="Arial"/>
                <w:sz w:val="13"/>
                <w:szCs w:val="13"/>
                <w:b w:val="1"/>
                <w:bCs w:val="1"/>
                <w:color w:val="auto"/>
              </w:rPr>
              <w:t>D. Clay Bretches</w:t>
            </w:r>
          </w:p>
        </w:tc>
        <w:tc>
          <w:tcPr>
            <w:tcW w:w="660" w:type="dxa"/>
            <w:vAlign w:val="bottom"/>
            <w:tcBorders>
              <w:bottom w:val="single" w:sz="8" w:color="auto"/>
            </w:tcBorders>
            <w:shd w:val="clear" w:color="auto" w:fill="F3F3F4"/>
          </w:tcPr>
          <w:p>
            <w:pPr>
              <w:spacing w:after="0"/>
              <w:rPr>
                <w:sz w:val="11"/>
                <w:szCs w:val="11"/>
                <w:color w:val="auto"/>
              </w:rPr>
            </w:pPr>
          </w:p>
        </w:tc>
        <w:tc>
          <w:tcPr>
            <w:tcW w:w="8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7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680" w:type="dxa"/>
            <w:vAlign w:val="bottom"/>
            <w:tcBorders>
              <w:bottom w:val="single" w:sz="8" w:color="auto"/>
            </w:tcBorders>
            <w:shd w:val="clear" w:color="auto" w:fill="F3F3F4"/>
          </w:tcPr>
          <w:p>
            <w:pPr>
              <w:spacing w:after="0"/>
              <w:rPr>
                <w:sz w:val="11"/>
                <w:szCs w:val="11"/>
                <w:color w:val="auto"/>
              </w:rPr>
            </w:pPr>
          </w:p>
        </w:tc>
        <w:tc>
          <w:tcPr>
            <w:tcW w:w="720" w:type="dxa"/>
            <w:vAlign w:val="bottom"/>
            <w:tcBorders>
              <w:bottom w:val="single" w:sz="8" w:color="auto"/>
            </w:tcBorders>
            <w:shd w:val="clear" w:color="auto" w:fill="F3F3F4"/>
          </w:tcPr>
          <w:p>
            <w:pPr>
              <w:spacing w:after="0"/>
              <w:rPr>
                <w:sz w:val="11"/>
                <w:szCs w:val="11"/>
                <w:color w:val="auto"/>
              </w:rPr>
            </w:pPr>
          </w:p>
        </w:tc>
        <w:tc>
          <w:tcPr>
            <w:tcW w:w="60" w:type="dxa"/>
            <w:vAlign w:val="bottom"/>
            <w:tcBorders>
              <w:bottom w:val="single" w:sz="8" w:color="auto"/>
            </w:tcBorders>
            <w:shd w:val="clear" w:color="auto" w:fill="F3F3F4"/>
          </w:tcPr>
          <w:p>
            <w:pPr>
              <w:spacing w:after="0"/>
              <w:rPr>
                <w:sz w:val="11"/>
                <w:szCs w:val="11"/>
                <w:color w:val="auto"/>
              </w:rPr>
            </w:pPr>
          </w:p>
        </w:tc>
        <w:tc>
          <w:tcPr>
            <w:tcW w:w="640" w:type="dxa"/>
            <w:vAlign w:val="bottom"/>
            <w:tcBorders>
              <w:bottom w:val="single" w:sz="8" w:color="auto"/>
            </w:tcBorders>
            <w:shd w:val="clear" w:color="auto" w:fill="F3F3F4"/>
          </w:tcPr>
          <w:p>
            <w:pPr>
              <w:spacing w:after="0"/>
              <w:rPr>
                <w:sz w:val="11"/>
                <w:szCs w:val="11"/>
                <w:color w:val="auto"/>
              </w:rPr>
            </w:pPr>
          </w:p>
        </w:tc>
        <w:tc>
          <w:tcPr>
            <w:tcW w:w="780" w:type="dxa"/>
            <w:vAlign w:val="bottom"/>
            <w:tcBorders>
              <w:bottom w:val="single" w:sz="8" w:color="auto"/>
            </w:tcBorders>
            <w:shd w:val="clear" w:color="auto" w:fill="F3F3F4"/>
          </w:tcPr>
          <w:p>
            <w:pPr>
              <w:spacing w:after="0"/>
              <w:rPr>
                <w:sz w:val="11"/>
                <w:szCs w:val="11"/>
                <w:color w:val="auto"/>
              </w:rPr>
            </w:pPr>
          </w:p>
        </w:tc>
        <w:tc>
          <w:tcPr>
            <w:tcW w:w="840" w:type="dxa"/>
            <w:vAlign w:val="bottom"/>
            <w:tcBorders>
              <w:bottom w:val="single" w:sz="8" w:color="auto"/>
            </w:tcBorders>
            <w:shd w:val="clear" w:color="auto" w:fill="F3F3F4"/>
          </w:tcPr>
          <w:p>
            <w:pPr>
              <w:spacing w:after="0"/>
              <w:rPr>
                <w:sz w:val="11"/>
                <w:szCs w:val="11"/>
                <w:color w:val="auto"/>
              </w:rPr>
            </w:pPr>
          </w:p>
        </w:tc>
        <w:tc>
          <w:tcPr>
            <w:tcW w:w="1120" w:type="dxa"/>
            <w:vAlign w:val="bottom"/>
            <w:tcBorders>
              <w:bottom w:val="single" w:sz="8" w:color="auto"/>
            </w:tcBorders>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Annual</w:t>
            </w:r>
          </w:p>
        </w:tc>
        <w:tc>
          <w:tcPr>
            <w:tcW w:w="6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337,500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675,000</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1,350,000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TSR</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8,209</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41,047</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82,094</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971,993</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CROIC</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324,000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648,000</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1,296,000</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Stock RSU</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22,804</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539,999</w:t>
            </w:r>
          </w:p>
        </w:tc>
        <w:tc>
          <w:tcPr>
            <w:tcW w:w="0" w:type="dxa"/>
            <w:vAlign w:val="bottom"/>
          </w:tcPr>
          <w:p>
            <w:pPr>
              <w:spacing w:after="0"/>
              <w:rPr>
                <w:sz w:val="1"/>
                <w:szCs w:val="1"/>
                <w:color w:val="auto"/>
              </w:rPr>
            </w:pPr>
          </w:p>
        </w:tc>
      </w:tr>
      <w:tr>
        <w:trPr>
          <w:trHeight w:val="128"/>
        </w:trPr>
        <w:tc>
          <w:tcPr>
            <w:tcW w:w="10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Options</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01/09/2025</w:t>
            </w:r>
          </w:p>
        </w:tc>
        <w:tc>
          <w:tcPr>
            <w:tcW w:w="84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56,782</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23.68</w:t>
            </w:r>
          </w:p>
        </w:tc>
        <w:tc>
          <w:tcPr>
            <w:tcW w:w="112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539,997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-4156710</wp:posOffset>
            </wp:positionV>
            <wp:extent cx="3771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5" w:lineRule="exact"/>
        <w:rPr>
          <w:sz w:val="20"/>
          <w:szCs w:val="20"/>
          <w:color w:val="auto"/>
        </w:rPr>
      </w:pPr>
    </w:p>
    <w:p>
      <w:pPr>
        <w:ind w:left="240" w:right="60" w:hanging="236"/>
        <w:spacing w:after="0" w:line="281" w:lineRule="auto"/>
        <w:tabs>
          <w:tab w:leader="none" w:pos="327" w:val="left"/>
        </w:tabs>
        <w:numPr>
          <w:ilvl w:val="0"/>
          <w:numId w:val="106"/>
        </w:numPr>
        <w:rPr>
          <w:rFonts w:ascii="Arial" w:cs="Arial" w:eastAsia="Arial" w:hAnsi="Arial"/>
          <w:sz w:val="14"/>
          <w:szCs w:val="14"/>
          <w:color w:val="404040"/>
        </w:rPr>
      </w:pPr>
      <w:r>
        <w:rPr>
          <w:rFonts w:ascii="Arial" w:cs="Arial" w:eastAsia="Arial" w:hAnsi="Arial"/>
          <w:sz w:val="14"/>
          <w:szCs w:val="14"/>
          <w:color w:val="404040"/>
        </w:rPr>
        <w:t>Annual = Annual incentive award; TSR = TSR component of performance-based cash-settled RSUs; CROIC = CROIC component of performance-based cash awards; Stock RSU = Stock-based RSUs; and Options = Non-qualified stock options.</w:t>
      </w:r>
    </w:p>
    <w:p>
      <w:pPr>
        <w:spacing w:after="0" w:line="1" w:lineRule="exact"/>
        <w:rPr>
          <w:sz w:val="20"/>
          <w:szCs w:val="20"/>
          <w:color w:val="auto"/>
        </w:rPr>
      </w:pPr>
    </w:p>
    <w:p>
      <w:pPr>
        <w:ind w:left="240" w:right="220" w:hanging="236"/>
        <w:spacing w:after="0" w:line="252" w:lineRule="auto"/>
        <w:tabs>
          <w:tab w:leader="none" w:pos="240" w:val="left"/>
        </w:tabs>
        <w:numPr>
          <w:ilvl w:val="0"/>
          <w:numId w:val="107"/>
        </w:numPr>
        <w:rPr>
          <w:rFonts w:ascii="Arial" w:cs="Arial" w:eastAsia="Arial" w:hAnsi="Arial"/>
          <w:sz w:val="14"/>
          <w:szCs w:val="14"/>
          <w:color w:val="404040"/>
        </w:rPr>
      </w:pPr>
      <w:r>
        <w:rPr>
          <w:rFonts w:ascii="Arial" w:cs="Arial" w:eastAsia="Arial" w:hAnsi="Arial"/>
          <w:sz w:val="14"/>
          <w:szCs w:val="14"/>
          <w:b w:val="1"/>
          <w:bCs w:val="1"/>
          <w:color w:val="404040"/>
        </w:rPr>
        <w:t>(a) Annual</w:t>
      </w:r>
      <w:r>
        <w:rPr>
          <w:rFonts w:ascii="Arial" w:cs="Arial" w:eastAsia="Arial" w:hAnsi="Arial"/>
          <w:sz w:val="14"/>
          <w:szCs w:val="14"/>
          <w:color w:val="404040"/>
        </w:rPr>
        <w:t>: For the Annual grant type, the amounts reflect estimated possible payouts under the Company’s annual incentive compensation plan.</w:t>
      </w:r>
      <w:r>
        <w:rPr>
          <w:rFonts w:ascii="Arial" w:cs="Arial" w:eastAsia="Arial" w:hAnsi="Arial"/>
          <w:sz w:val="14"/>
          <w:szCs w:val="14"/>
          <w:b w:val="1"/>
          <w:bCs w:val="1"/>
          <w:color w:val="404040"/>
        </w:rPr>
        <w:t xml:space="preserve"> </w:t>
      </w:r>
      <w:r>
        <w:rPr>
          <w:rFonts w:ascii="Arial" w:cs="Arial" w:eastAsia="Arial" w:hAnsi="Arial"/>
          <w:sz w:val="14"/>
          <w:szCs w:val="14"/>
          <w:color w:val="404040"/>
        </w:rPr>
        <w:t>The estimated amounts are calculated based on the applicable annual bonus target and base salary earnings for each NEO in effect for the 2025 measurement period. The threshold payout under the plan is 50% of target, and the maximum payout under the plan is 200% of target. Actual incentive bonus awards granted for 2025 are reflected in the “Non-Equity Incentive Plan Compensation” column of the Summary Compensation Table.</w:t>
      </w:r>
    </w:p>
    <w:p>
      <w:pPr>
        <w:spacing w:after="0" w:line="18" w:lineRule="exact"/>
        <w:rPr>
          <w:rFonts w:ascii="Arial" w:cs="Arial" w:eastAsia="Arial" w:hAnsi="Arial"/>
          <w:sz w:val="14"/>
          <w:szCs w:val="14"/>
          <w:color w:val="404040"/>
        </w:rPr>
      </w:pPr>
    </w:p>
    <w:p>
      <w:pPr>
        <w:ind w:left="240" w:right="20"/>
        <w:spacing w:after="0" w:line="256" w:lineRule="auto"/>
        <w:rPr>
          <w:rFonts w:ascii="Arial" w:cs="Arial" w:eastAsia="Arial" w:hAnsi="Arial"/>
          <w:sz w:val="14"/>
          <w:szCs w:val="14"/>
          <w:color w:val="404040"/>
        </w:rPr>
      </w:pPr>
      <w:r>
        <w:rPr>
          <w:rFonts w:ascii="Arial" w:cs="Arial" w:eastAsia="Arial" w:hAnsi="Arial"/>
          <w:sz w:val="14"/>
          <w:szCs w:val="14"/>
          <w:b w:val="1"/>
          <w:bCs w:val="1"/>
          <w:color w:val="404040"/>
        </w:rPr>
        <w:t>(b) CROIC</w:t>
      </w:r>
      <w:r>
        <w:rPr>
          <w:rFonts w:ascii="Arial" w:cs="Arial" w:eastAsia="Arial" w:hAnsi="Arial"/>
          <w:sz w:val="14"/>
          <w:szCs w:val="14"/>
          <w:color w:val="404040"/>
        </w:rPr>
        <w:t>: For the CROIC grant type, the amounts reflect estimated possible payouts under the Company’s 2025 Performance Award Program</w:t>
      </w:r>
      <w:r>
        <w:rPr>
          <w:rFonts w:ascii="Arial" w:cs="Arial" w:eastAsia="Arial" w:hAnsi="Arial"/>
          <w:sz w:val="14"/>
          <w:szCs w:val="14"/>
          <w:b w:val="1"/>
          <w:bCs w:val="1"/>
          <w:color w:val="404040"/>
        </w:rPr>
        <w:t xml:space="preserve"> </w:t>
      </w:r>
      <w:r>
        <w:rPr>
          <w:rFonts w:ascii="Arial" w:cs="Arial" w:eastAsia="Arial" w:hAnsi="Arial"/>
          <w:sz w:val="14"/>
          <w:szCs w:val="14"/>
          <w:color w:val="404040"/>
        </w:rPr>
        <w:t>discussed in footnote (3) below. The threshold payout is 50% of target, and the maximum payout is 200% of target. Actual payout will depend on the Company’s performance during the performance period, as discussed in footnote (3) below. These amounts are not reported in the Summary Compensation Table for 2025 because the multi-year performance criteria has not yet been satisfied and the compensation has not yet been earned.</w:t>
      </w:r>
    </w:p>
    <w:p>
      <w:pPr>
        <w:spacing w:after="0" w:line="15" w:lineRule="exact"/>
        <w:rPr>
          <w:rFonts w:ascii="Arial" w:cs="Arial" w:eastAsia="Arial" w:hAnsi="Arial"/>
          <w:sz w:val="14"/>
          <w:szCs w:val="14"/>
          <w:color w:val="404040"/>
        </w:rPr>
      </w:pPr>
    </w:p>
    <w:p>
      <w:pPr>
        <w:jc w:val="both"/>
        <w:ind w:left="240" w:right="80" w:hanging="236"/>
        <w:spacing w:after="0" w:line="263" w:lineRule="auto"/>
        <w:tabs>
          <w:tab w:leader="none" w:pos="240" w:val="left"/>
        </w:tabs>
        <w:numPr>
          <w:ilvl w:val="0"/>
          <w:numId w:val="107"/>
        </w:numPr>
        <w:rPr>
          <w:rFonts w:ascii="Arial" w:cs="Arial" w:eastAsia="Arial" w:hAnsi="Arial"/>
          <w:sz w:val="14"/>
          <w:szCs w:val="14"/>
          <w:color w:val="404040"/>
        </w:rPr>
      </w:pPr>
      <w:r>
        <w:rPr>
          <w:rFonts w:ascii="Arial" w:cs="Arial" w:eastAsia="Arial" w:hAnsi="Arial"/>
          <w:sz w:val="14"/>
          <w:szCs w:val="14"/>
          <w:color w:val="404040"/>
        </w:rPr>
        <w:t>For the grants made on January 9 and 13, 2025, the number of RSUs granted is shown as the target number, while the maximum number assumes a multiple of 2.0, and the threshold number shows the minimum number of RSUs earned if threshold performance goals are achieved. Details of the 2025 Performance Share Program are discussed in footnote (3) below.</w:t>
      </w:r>
    </w:p>
    <w:p>
      <w:pPr>
        <w:spacing w:after="0" w:line="10" w:lineRule="exact"/>
        <w:rPr>
          <w:rFonts w:ascii="Arial" w:cs="Arial" w:eastAsia="Arial" w:hAnsi="Arial"/>
          <w:sz w:val="14"/>
          <w:szCs w:val="14"/>
          <w:color w:val="404040"/>
        </w:rPr>
      </w:pPr>
    </w:p>
    <w:p>
      <w:pPr>
        <w:ind w:left="240" w:right="220" w:hanging="236"/>
        <w:spacing w:after="0" w:line="263" w:lineRule="auto"/>
        <w:tabs>
          <w:tab w:leader="none" w:pos="240" w:val="left"/>
        </w:tabs>
        <w:numPr>
          <w:ilvl w:val="0"/>
          <w:numId w:val="107"/>
        </w:numPr>
        <w:rPr>
          <w:rFonts w:ascii="Arial" w:cs="Arial" w:eastAsia="Arial" w:hAnsi="Arial"/>
          <w:sz w:val="14"/>
          <w:szCs w:val="14"/>
          <w:color w:val="404040"/>
        </w:rPr>
      </w:pPr>
      <w:r>
        <w:rPr>
          <w:rFonts w:ascii="Arial" w:cs="Arial" w:eastAsia="Arial" w:hAnsi="Arial"/>
          <w:sz w:val="14"/>
          <w:szCs w:val="14"/>
          <w:color w:val="404040"/>
        </w:rPr>
        <w:t>On January 9, 2025, pursuant to the 2016 Omnibus Compensation Plan, the Company established the 2025 Performance Award Program for executives and key employees who were employed on or before December 31, 2024, except for Ms. Warnica, whose grant was made on January 13, 2025, when she joined the Company. These employees, including the executives named in the Summary Compensation Table, were</w:t>
      </w:r>
    </w:p>
    <w:p>
      <w:pPr>
        <w:spacing w:after="0" w:line="168"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18" w:right="1099" w:bottom="1440" w:gutter="0" w:footer="0" w:header="0"/>
        </w:sectPr>
      </w:pPr>
    </w:p>
    <w:bookmarkStart w:id="40" w:name="page41"/>
    <w:bookmarkEnd w:id="40"/>
    <w:p>
      <w:pPr>
        <w:ind w:left="900" w:right="1020"/>
        <w:spacing w:after="0" w:line="281" w:lineRule="auto"/>
        <w:rPr>
          <w:sz w:val="20"/>
          <w:szCs w:val="20"/>
          <w:color w:val="auto"/>
        </w:rPr>
      </w:pPr>
      <w:r>
        <w:rPr>
          <w:rFonts w:ascii="Arial" w:cs="Arial" w:eastAsia="Arial" w:hAnsi="Arial"/>
          <w:sz w:val="14"/>
          <w:szCs w:val="14"/>
          <w:color w:val="404040"/>
        </w:rPr>
        <w:t>granted the right to receive cash-settled RSUs and, with respect to the CROIC component discussed below, a cash award, the number or dollar amount of which, as applicable, will be determined based on the Company’s achievement of two different measures of performance:</w:t>
      </w:r>
    </w:p>
    <w:p>
      <w:pPr>
        <w:spacing w:after="0" w:line="1" w:lineRule="exact"/>
        <w:rPr>
          <w:sz w:val="20"/>
          <w:szCs w:val="20"/>
          <w:color w:val="auto"/>
        </w:rPr>
      </w:pPr>
    </w:p>
    <w:p>
      <w:pPr>
        <w:ind w:left="900" w:right="680" w:hanging="3"/>
        <w:spacing w:after="0" w:line="256" w:lineRule="auto"/>
        <w:tabs>
          <w:tab w:leader="none" w:pos="1116" w:val="left"/>
        </w:tabs>
        <w:numPr>
          <w:ilvl w:val="0"/>
          <w:numId w:val="108"/>
        </w:numPr>
        <w:rPr>
          <w:rFonts w:ascii="Arial" w:cs="Arial" w:eastAsia="Arial" w:hAnsi="Arial"/>
          <w:sz w:val="14"/>
          <w:szCs w:val="14"/>
          <w:b w:val="1"/>
          <w:bCs w:val="1"/>
          <w:color w:val="404040"/>
        </w:rPr>
      </w:pPr>
      <w:r>
        <w:rPr>
          <w:rFonts w:ascii="Arial" w:cs="Arial" w:eastAsia="Arial" w:hAnsi="Arial"/>
          <w:sz w:val="14"/>
          <w:szCs w:val="14"/>
          <w:b w:val="1"/>
          <w:bCs w:val="1"/>
          <w:color w:val="404040"/>
        </w:rPr>
        <w:t xml:space="preserve">Total shareholder return (TSR) </w:t>
      </w:r>
      <w:r>
        <w:rPr>
          <w:rFonts w:ascii="Arial" w:cs="Arial" w:eastAsia="Arial" w:hAnsi="Arial"/>
          <w:sz w:val="14"/>
          <w:szCs w:val="14"/>
          <w:color w:val="404040"/>
        </w:rPr>
        <w:t>(weighted 60%): Compared to a peer group of 20 companies and one index weighted twice. At the conclusion of</w:t>
      </w:r>
      <w:r>
        <w:rPr>
          <w:rFonts w:ascii="Arial" w:cs="Arial" w:eastAsia="Arial" w:hAnsi="Arial"/>
          <w:sz w:val="14"/>
          <w:szCs w:val="14"/>
          <w:b w:val="1"/>
          <w:bCs w:val="1"/>
          <w:color w:val="404040"/>
        </w:rPr>
        <w:t xml:space="preserve"> </w:t>
      </w:r>
      <w:r>
        <w:rPr>
          <w:rFonts w:ascii="Arial" w:cs="Arial" w:eastAsia="Arial" w:hAnsi="Arial"/>
          <w:sz w:val="14"/>
          <w:szCs w:val="14"/>
          <w:color w:val="404040"/>
        </w:rPr>
        <w:t>the three-year performance period, the Company’s performance will be directly ranked within the peer group. If the Company’s TSR ranks from 1 to 20, this will result in the application of a single multiplier to the target number of Cash RSUs for the TSR component as shown in the table below. However, if the Company ranks 21-23, there will be no achievement for this portion of the award.</w:t>
      </w:r>
    </w:p>
    <w:p>
      <w:pPr>
        <w:spacing w:after="0" w:line="4"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840" w:type="dxa"/>
            <w:vAlign w:val="bottom"/>
            <w:tcBorders>
              <w:top w:val="single" w:sz="8" w:color="auto"/>
              <w:bottom w:val="single" w:sz="8" w:color="auto"/>
            </w:tcBorders>
            <w:shd w:val="clear" w:color="auto" w:fill="F3F3F4"/>
          </w:tcPr>
          <w:p>
            <w:pPr>
              <w:spacing w:after="0"/>
              <w:rPr>
                <w:sz w:val="20"/>
                <w:szCs w:val="20"/>
                <w:color w:val="auto"/>
              </w:rPr>
            </w:pPr>
            <w:r>
              <w:rPr>
                <w:rFonts w:ascii="Arial" w:cs="Arial" w:eastAsia="Arial" w:hAnsi="Arial"/>
                <w:sz w:val="14"/>
                <w:szCs w:val="14"/>
                <w:b w:val="1"/>
                <w:bCs w:val="1"/>
                <w:color w:val="auto"/>
              </w:rPr>
              <w:t>Rank</w:t>
            </w:r>
          </w:p>
        </w:tc>
        <w:tc>
          <w:tcPr>
            <w:tcW w:w="440" w:type="dxa"/>
            <w:vAlign w:val="bottom"/>
            <w:tcBorders>
              <w:top w:val="single" w:sz="8" w:color="auto"/>
              <w:bottom w:val="single" w:sz="8" w:color="auto"/>
            </w:tcBorders>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1-3</w:t>
            </w:r>
          </w:p>
        </w:tc>
        <w:tc>
          <w:tcPr>
            <w:tcW w:w="440" w:type="dxa"/>
            <w:vAlign w:val="bottom"/>
            <w:tcBorders>
              <w:top w:val="single" w:sz="8" w:color="auto"/>
              <w:bottom w:val="single" w:sz="8" w:color="auto"/>
            </w:tcBorders>
            <w:shd w:val="clear" w:color="auto" w:fill="F3F3F4"/>
          </w:tcPr>
          <w:p>
            <w:pPr>
              <w:jc w:val="right"/>
              <w:ind w:right="108"/>
              <w:spacing w:after="0"/>
              <w:rPr>
                <w:sz w:val="20"/>
                <w:szCs w:val="20"/>
                <w:color w:val="auto"/>
              </w:rPr>
            </w:pPr>
            <w:r>
              <w:rPr>
                <w:rFonts w:ascii="Arial" w:cs="Arial" w:eastAsia="Arial" w:hAnsi="Arial"/>
                <w:sz w:val="14"/>
                <w:szCs w:val="14"/>
                <w:b w:val="1"/>
                <w:bCs w:val="1"/>
                <w:color w:val="auto"/>
              </w:rPr>
              <w:t>4</w:t>
            </w:r>
          </w:p>
        </w:tc>
        <w:tc>
          <w:tcPr>
            <w:tcW w:w="440" w:type="dxa"/>
            <w:vAlign w:val="bottom"/>
            <w:tcBorders>
              <w:top w:val="single" w:sz="8" w:color="auto"/>
              <w:bottom w:val="single" w:sz="8" w:color="auto"/>
            </w:tcBorders>
            <w:shd w:val="clear" w:color="auto" w:fill="F3F3F4"/>
          </w:tcPr>
          <w:p>
            <w:pPr>
              <w:jc w:val="right"/>
              <w:ind w:right="108"/>
              <w:spacing w:after="0"/>
              <w:rPr>
                <w:sz w:val="20"/>
                <w:szCs w:val="20"/>
                <w:color w:val="auto"/>
              </w:rPr>
            </w:pPr>
            <w:r>
              <w:rPr>
                <w:rFonts w:ascii="Arial" w:cs="Arial" w:eastAsia="Arial" w:hAnsi="Arial"/>
                <w:sz w:val="14"/>
                <w:szCs w:val="14"/>
                <w:b w:val="1"/>
                <w:bCs w:val="1"/>
                <w:color w:val="auto"/>
              </w:rPr>
              <w:t>5</w:t>
            </w:r>
          </w:p>
        </w:tc>
        <w:tc>
          <w:tcPr>
            <w:tcW w:w="460" w:type="dxa"/>
            <w:vAlign w:val="bottom"/>
            <w:tcBorders>
              <w:top w:val="single" w:sz="8" w:color="auto"/>
              <w:bottom w:val="single" w:sz="8" w:color="auto"/>
            </w:tcBorders>
            <w:shd w:val="clear" w:color="auto" w:fill="F3F3F4"/>
          </w:tcPr>
          <w:p>
            <w:pPr>
              <w:jc w:val="right"/>
              <w:ind w:right="128"/>
              <w:spacing w:after="0"/>
              <w:rPr>
                <w:sz w:val="20"/>
                <w:szCs w:val="20"/>
                <w:color w:val="auto"/>
              </w:rPr>
            </w:pPr>
            <w:r>
              <w:rPr>
                <w:rFonts w:ascii="Arial" w:cs="Arial" w:eastAsia="Arial" w:hAnsi="Arial"/>
                <w:sz w:val="14"/>
                <w:szCs w:val="14"/>
                <w:b w:val="1"/>
                <w:bCs w:val="1"/>
                <w:color w:val="auto"/>
              </w:rPr>
              <w:t>6</w:t>
            </w:r>
          </w:p>
        </w:tc>
        <w:tc>
          <w:tcPr>
            <w:tcW w:w="460" w:type="dxa"/>
            <w:vAlign w:val="bottom"/>
            <w:tcBorders>
              <w:top w:val="single" w:sz="8" w:color="auto"/>
              <w:bottom w:val="single" w:sz="8" w:color="auto"/>
            </w:tcBorders>
            <w:shd w:val="clear" w:color="auto" w:fill="F3F3F4"/>
          </w:tcPr>
          <w:p>
            <w:pPr>
              <w:jc w:val="right"/>
              <w:ind w:right="128"/>
              <w:spacing w:after="0"/>
              <w:rPr>
                <w:sz w:val="20"/>
                <w:szCs w:val="20"/>
                <w:color w:val="auto"/>
              </w:rPr>
            </w:pPr>
            <w:r>
              <w:rPr>
                <w:rFonts w:ascii="Arial" w:cs="Arial" w:eastAsia="Arial" w:hAnsi="Arial"/>
                <w:sz w:val="14"/>
                <w:szCs w:val="14"/>
                <w:b w:val="1"/>
                <w:bCs w:val="1"/>
                <w:color w:val="auto"/>
              </w:rPr>
              <w:t>7</w:t>
            </w:r>
          </w:p>
        </w:tc>
        <w:tc>
          <w:tcPr>
            <w:tcW w:w="460" w:type="dxa"/>
            <w:vAlign w:val="bottom"/>
            <w:tcBorders>
              <w:top w:val="single" w:sz="8" w:color="auto"/>
              <w:bottom w:val="single" w:sz="8" w:color="auto"/>
            </w:tcBorders>
            <w:shd w:val="clear" w:color="auto" w:fill="F3F3F4"/>
          </w:tcPr>
          <w:p>
            <w:pPr>
              <w:jc w:val="right"/>
              <w:ind w:right="128"/>
              <w:spacing w:after="0"/>
              <w:rPr>
                <w:sz w:val="20"/>
                <w:szCs w:val="20"/>
                <w:color w:val="auto"/>
              </w:rPr>
            </w:pPr>
            <w:r>
              <w:rPr>
                <w:rFonts w:ascii="Arial" w:cs="Arial" w:eastAsia="Arial" w:hAnsi="Arial"/>
                <w:sz w:val="14"/>
                <w:szCs w:val="14"/>
                <w:b w:val="1"/>
                <w:bCs w:val="1"/>
                <w:color w:val="auto"/>
              </w:rPr>
              <w:t>8</w:t>
            </w:r>
          </w:p>
        </w:tc>
        <w:tc>
          <w:tcPr>
            <w:tcW w:w="460" w:type="dxa"/>
            <w:vAlign w:val="bottom"/>
            <w:tcBorders>
              <w:top w:val="single" w:sz="8" w:color="auto"/>
              <w:bottom w:val="single" w:sz="8" w:color="auto"/>
            </w:tcBorders>
            <w:shd w:val="clear" w:color="auto" w:fill="F3F3F4"/>
          </w:tcPr>
          <w:p>
            <w:pPr>
              <w:jc w:val="right"/>
              <w:ind w:right="128"/>
              <w:spacing w:after="0"/>
              <w:rPr>
                <w:sz w:val="20"/>
                <w:szCs w:val="20"/>
                <w:color w:val="auto"/>
              </w:rPr>
            </w:pPr>
            <w:r>
              <w:rPr>
                <w:rFonts w:ascii="Arial" w:cs="Arial" w:eastAsia="Arial" w:hAnsi="Arial"/>
                <w:sz w:val="14"/>
                <w:szCs w:val="14"/>
                <w:b w:val="1"/>
                <w:bCs w:val="1"/>
                <w:color w:val="auto"/>
              </w:rPr>
              <w:t>9</w:t>
            </w:r>
          </w:p>
        </w:tc>
        <w:tc>
          <w:tcPr>
            <w:tcW w:w="460" w:type="dxa"/>
            <w:vAlign w:val="bottom"/>
            <w:tcBorders>
              <w:top w:val="single" w:sz="8" w:color="auto"/>
              <w:bottom w:val="single" w:sz="8" w:color="auto"/>
            </w:tcBorders>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10</w:t>
            </w:r>
          </w:p>
        </w:tc>
        <w:tc>
          <w:tcPr>
            <w:tcW w:w="480" w:type="dxa"/>
            <w:vAlign w:val="bottom"/>
            <w:tcBorders>
              <w:top w:val="single" w:sz="8" w:color="auto"/>
              <w:bottom w:val="single" w:sz="8" w:color="auto"/>
            </w:tcBorders>
            <w:shd w:val="clear" w:color="auto" w:fill="F3F3F4"/>
          </w:tcPr>
          <w:p>
            <w:pPr>
              <w:jc w:val="right"/>
              <w:ind w:right="108"/>
              <w:spacing w:after="0"/>
              <w:rPr>
                <w:sz w:val="20"/>
                <w:szCs w:val="20"/>
                <w:color w:val="auto"/>
              </w:rPr>
            </w:pPr>
            <w:r>
              <w:rPr>
                <w:rFonts w:ascii="Arial" w:cs="Arial" w:eastAsia="Arial" w:hAnsi="Arial"/>
                <w:sz w:val="14"/>
                <w:szCs w:val="14"/>
                <w:b w:val="1"/>
                <w:bCs w:val="1"/>
                <w:color w:val="auto"/>
              </w:rPr>
              <w:t>11</w:t>
            </w:r>
          </w:p>
        </w:tc>
        <w:tc>
          <w:tcPr>
            <w:tcW w:w="440" w:type="dxa"/>
            <w:vAlign w:val="bottom"/>
            <w:tcBorders>
              <w:top w:val="single" w:sz="8" w:color="auto"/>
              <w:bottom w:val="single" w:sz="8" w:color="auto"/>
            </w:tcBorders>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12</w:t>
            </w:r>
          </w:p>
        </w:tc>
        <w:tc>
          <w:tcPr>
            <w:tcW w:w="460" w:type="dxa"/>
            <w:vAlign w:val="bottom"/>
            <w:tcBorders>
              <w:top w:val="single" w:sz="8" w:color="auto"/>
              <w:bottom w:val="single" w:sz="8" w:color="auto"/>
            </w:tcBorders>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13</w:t>
            </w:r>
          </w:p>
        </w:tc>
        <w:tc>
          <w:tcPr>
            <w:tcW w:w="460" w:type="dxa"/>
            <w:vAlign w:val="bottom"/>
            <w:tcBorders>
              <w:top w:val="single" w:sz="8" w:color="auto"/>
              <w:bottom w:val="single" w:sz="8" w:color="auto"/>
            </w:tcBorders>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14</w:t>
            </w:r>
          </w:p>
        </w:tc>
        <w:tc>
          <w:tcPr>
            <w:tcW w:w="460" w:type="dxa"/>
            <w:vAlign w:val="bottom"/>
            <w:tcBorders>
              <w:top w:val="single" w:sz="8" w:color="auto"/>
              <w:bottom w:val="single" w:sz="8" w:color="auto"/>
            </w:tcBorders>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15</w:t>
            </w:r>
          </w:p>
        </w:tc>
        <w:tc>
          <w:tcPr>
            <w:tcW w:w="480" w:type="dxa"/>
            <w:vAlign w:val="bottom"/>
            <w:tcBorders>
              <w:top w:val="single" w:sz="8" w:color="auto"/>
              <w:bottom w:val="single" w:sz="8" w:color="auto"/>
            </w:tcBorders>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16</w:t>
            </w:r>
          </w:p>
        </w:tc>
        <w:tc>
          <w:tcPr>
            <w:tcW w:w="460" w:type="dxa"/>
            <w:vAlign w:val="bottom"/>
            <w:tcBorders>
              <w:top w:val="single" w:sz="8" w:color="auto"/>
              <w:bottom w:val="single" w:sz="8" w:color="auto"/>
            </w:tcBorders>
            <w:shd w:val="clear" w:color="auto" w:fill="F3F3F4"/>
          </w:tcPr>
          <w:p>
            <w:pPr>
              <w:jc w:val="right"/>
              <w:ind w:right="68"/>
              <w:spacing w:after="0"/>
              <w:rPr>
                <w:sz w:val="20"/>
                <w:szCs w:val="20"/>
                <w:color w:val="auto"/>
              </w:rPr>
            </w:pPr>
            <w:r>
              <w:rPr>
                <w:rFonts w:ascii="Arial" w:cs="Arial" w:eastAsia="Arial" w:hAnsi="Arial"/>
                <w:sz w:val="14"/>
                <w:szCs w:val="14"/>
                <w:b w:val="1"/>
                <w:bCs w:val="1"/>
                <w:color w:val="auto"/>
              </w:rPr>
              <w:t>17</w:t>
            </w:r>
          </w:p>
        </w:tc>
        <w:tc>
          <w:tcPr>
            <w:tcW w:w="480" w:type="dxa"/>
            <w:vAlign w:val="bottom"/>
            <w:tcBorders>
              <w:top w:val="single" w:sz="8" w:color="auto"/>
              <w:bottom w:val="single" w:sz="8" w:color="auto"/>
            </w:tcBorders>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18</w:t>
            </w:r>
          </w:p>
        </w:tc>
        <w:tc>
          <w:tcPr>
            <w:tcW w:w="480" w:type="dxa"/>
            <w:vAlign w:val="bottom"/>
            <w:tcBorders>
              <w:top w:val="single" w:sz="8" w:color="auto"/>
              <w:bottom w:val="single" w:sz="8" w:color="auto"/>
            </w:tcBorders>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19</w:t>
            </w:r>
          </w:p>
        </w:tc>
        <w:tc>
          <w:tcPr>
            <w:tcW w:w="400" w:type="dxa"/>
            <w:vAlign w:val="bottom"/>
            <w:tcBorders>
              <w:top w:val="single" w:sz="8" w:color="auto"/>
              <w:bottom w:val="single" w:sz="8" w:color="auto"/>
            </w:tcBorders>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20</w:t>
            </w:r>
          </w:p>
        </w:tc>
        <w:tc>
          <w:tcPr>
            <w:tcW w:w="460" w:type="dxa"/>
            <w:vAlign w:val="bottom"/>
            <w:tcBorders>
              <w:top w:val="single" w:sz="8" w:color="auto"/>
              <w:bottom w:val="single" w:sz="8" w:color="auto"/>
            </w:tcBorders>
            <w:shd w:val="clear" w:color="auto" w:fill="F3F3F4"/>
          </w:tcPr>
          <w:p>
            <w:pPr>
              <w:jc w:val="right"/>
              <w:spacing w:after="0"/>
              <w:rPr>
                <w:sz w:val="20"/>
                <w:szCs w:val="20"/>
                <w:color w:val="auto"/>
              </w:rPr>
            </w:pPr>
            <w:r>
              <w:rPr>
                <w:rFonts w:ascii="Arial" w:cs="Arial" w:eastAsia="Arial" w:hAnsi="Arial"/>
                <w:sz w:val="14"/>
                <w:szCs w:val="14"/>
                <w:b w:val="1"/>
                <w:bCs w:val="1"/>
                <w:color w:val="auto"/>
              </w:rPr>
              <w:t>21-23</w:t>
            </w:r>
          </w:p>
        </w:tc>
      </w:tr>
      <w:tr>
        <w:trPr>
          <w:trHeight w:val="156"/>
        </w:trPr>
        <w:tc>
          <w:tcPr>
            <w:tcW w:w="8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Payout (%)</w:t>
            </w:r>
          </w:p>
        </w:tc>
        <w:tc>
          <w:tcPr>
            <w:tcW w:w="4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200</w:t>
            </w:r>
          </w:p>
        </w:tc>
        <w:tc>
          <w:tcPr>
            <w:tcW w:w="4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180</w:t>
            </w:r>
          </w:p>
        </w:tc>
        <w:tc>
          <w:tcPr>
            <w:tcW w:w="4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171</w:t>
            </w:r>
          </w:p>
        </w:tc>
        <w:tc>
          <w:tcPr>
            <w:tcW w:w="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163</w:t>
            </w:r>
          </w:p>
        </w:tc>
        <w:tc>
          <w:tcPr>
            <w:tcW w:w="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154</w:t>
            </w:r>
          </w:p>
        </w:tc>
        <w:tc>
          <w:tcPr>
            <w:tcW w:w="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146</w:t>
            </w:r>
          </w:p>
        </w:tc>
        <w:tc>
          <w:tcPr>
            <w:tcW w:w="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137</w:t>
            </w:r>
          </w:p>
        </w:tc>
        <w:tc>
          <w:tcPr>
            <w:tcW w:w="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129</w:t>
            </w:r>
          </w:p>
        </w:tc>
        <w:tc>
          <w:tcPr>
            <w:tcW w:w="4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115</w:t>
            </w:r>
          </w:p>
        </w:tc>
        <w:tc>
          <w:tcPr>
            <w:tcW w:w="4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95</w:t>
            </w:r>
          </w:p>
        </w:tc>
        <w:tc>
          <w:tcPr>
            <w:tcW w:w="4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86</w:t>
            </w:r>
          </w:p>
        </w:tc>
        <w:tc>
          <w:tcPr>
            <w:tcW w:w="4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76</w:t>
            </w:r>
          </w:p>
        </w:tc>
        <w:tc>
          <w:tcPr>
            <w:tcW w:w="4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67</w:t>
            </w:r>
          </w:p>
        </w:tc>
        <w:tc>
          <w:tcPr>
            <w:tcW w:w="4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57</w:t>
            </w:r>
          </w:p>
        </w:tc>
        <w:tc>
          <w:tcPr>
            <w:tcW w:w="4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48</w:t>
            </w:r>
          </w:p>
        </w:tc>
        <w:tc>
          <w:tcPr>
            <w:tcW w:w="4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39</w:t>
            </w:r>
          </w:p>
        </w:tc>
        <w:tc>
          <w:tcPr>
            <w:tcW w:w="4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29</w:t>
            </w:r>
          </w:p>
        </w:tc>
        <w:tc>
          <w:tcPr>
            <w:tcW w:w="4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20</w:t>
            </w:r>
          </w:p>
        </w:tc>
        <w:tc>
          <w:tcPr>
            <w:tcW w:w="4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0</w:t>
            </w:r>
          </w:p>
        </w:tc>
      </w:tr>
    </w:tbl>
    <w:p>
      <w:pPr>
        <w:spacing w:after="0" w:line="45" w:lineRule="exact"/>
        <w:rPr>
          <w:sz w:val="20"/>
          <w:szCs w:val="20"/>
          <w:color w:val="auto"/>
        </w:rPr>
      </w:pPr>
    </w:p>
    <w:p>
      <w:pPr>
        <w:ind w:left="900" w:right="740"/>
        <w:spacing w:after="0" w:line="250" w:lineRule="auto"/>
        <w:rPr>
          <w:sz w:val="20"/>
          <w:szCs w:val="20"/>
          <w:color w:val="auto"/>
        </w:rPr>
      </w:pPr>
      <w:r>
        <w:rPr>
          <w:rFonts w:ascii="Arial" w:cs="Arial" w:eastAsia="Arial" w:hAnsi="Arial"/>
          <w:sz w:val="14"/>
          <w:szCs w:val="14"/>
          <w:color w:val="404040"/>
        </w:rPr>
        <w:t>TSR is determined by dividing (i) the sum of the cumulative amount of a company’s or index fund’s dividends for the performance period (assuming same-day reinvestment into the company’s common stock or index fund on the ex-dividend date) and the average share closing price of the company’s common stock for the last three calendar months of the performance period minus the average share closing price for the three calendar months immediately preceding the beginning of the performance period by (ii) the average share closing price for the three months immediately preceding the beginning of the performance period. If the Company’s absolute TSR for the performance period is negative, the payout percentage above is capped at 100%, regardless of whether the rank achieved a higher payout percentage.</w:t>
      </w:r>
    </w:p>
    <w:p>
      <w:pPr>
        <w:spacing w:after="0" w:line="20" w:lineRule="exact"/>
        <w:rPr>
          <w:sz w:val="20"/>
          <w:szCs w:val="20"/>
          <w:color w:val="auto"/>
        </w:rPr>
      </w:pPr>
    </w:p>
    <w:p>
      <w:pPr>
        <w:jc w:val="both"/>
        <w:ind w:left="900" w:right="1120" w:hanging="3"/>
        <w:spacing w:after="0" w:line="263" w:lineRule="auto"/>
        <w:tabs>
          <w:tab w:leader="none" w:pos="1124" w:val="left"/>
        </w:tabs>
        <w:numPr>
          <w:ilvl w:val="0"/>
          <w:numId w:val="109"/>
        </w:numPr>
        <w:rPr>
          <w:rFonts w:ascii="Arial" w:cs="Arial" w:eastAsia="Arial" w:hAnsi="Arial"/>
          <w:sz w:val="14"/>
          <w:szCs w:val="14"/>
          <w:b w:val="1"/>
          <w:bCs w:val="1"/>
          <w:color w:val="404040"/>
        </w:rPr>
      </w:pPr>
      <w:r>
        <w:rPr>
          <w:rFonts w:ascii="Arial" w:cs="Arial" w:eastAsia="Arial" w:hAnsi="Arial"/>
          <w:sz w:val="14"/>
          <w:szCs w:val="14"/>
          <w:b w:val="1"/>
          <w:bCs w:val="1"/>
          <w:color w:val="404040"/>
        </w:rPr>
        <w:t xml:space="preserve">CROIC </w:t>
      </w:r>
      <w:r>
        <w:rPr>
          <w:rFonts w:ascii="Arial" w:cs="Arial" w:eastAsia="Arial" w:hAnsi="Arial"/>
          <w:sz w:val="14"/>
          <w:szCs w:val="14"/>
          <w:color w:val="404040"/>
        </w:rPr>
        <w:t>(weighted 40%): Evaluated over a three-year performance period against a performance target determined at the beginning of the</w:t>
      </w:r>
      <w:r>
        <w:rPr>
          <w:rFonts w:ascii="Arial" w:cs="Arial" w:eastAsia="Arial" w:hAnsi="Arial"/>
          <w:sz w:val="14"/>
          <w:szCs w:val="14"/>
          <w:b w:val="1"/>
          <w:bCs w:val="1"/>
          <w:color w:val="404040"/>
        </w:rPr>
        <w:t xml:space="preserve"> </w:t>
      </w:r>
      <w:r>
        <w:rPr>
          <w:rFonts w:ascii="Arial" w:cs="Arial" w:eastAsia="Arial" w:hAnsi="Arial"/>
          <w:sz w:val="14"/>
          <w:szCs w:val="14"/>
          <w:color w:val="404040"/>
        </w:rPr>
        <w:t>performance period. Performance is measured based on the three-year average relative to target based upon the average price of oil over the performance period.</w:t>
      </w:r>
    </w:p>
    <w:p>
      <w:pPr>
        <w:spacing w:after="0" w:line="11" w:lineRule="exact"/>
        <w:rPr>
          <w:sz w:val="20"/>
          <w:szCs w:val="20"/>
          <w:color w:val="auto"/>
        </w:rPr>
      </w:pPr>
    </w:p>
    <w:p>
      <w:pPr>
        <w:ind w:left="900" w:right="780"/>
        <w:spacing w:after="0" w:line="252" w:lineRule="auto"/>
        <w:rPr>
          <w:sz w:val="20"/>
          <w:szCs w:val="20"/>
          <w:color w:val="auto"/>
        </w:rPr>
      </w:pPr>
      <w:r>
        <w:rPr>
          <w:rFonts w:ascii="Arial" w:cs="Arial" w:eastAsia="Arial" w:hAnsi="Arial"/>
          <w:sz w:val="14"/>
          <w:szCs w:val="14"/>
          <w:color w:val="404040"/>
        </w:rPr>
        <w:t xml:space="preserve">At the conclusion of the three-year performance period, which began on January 1, 2025, and will end on December 31, 2027, a calculation of the Company’s achievement of the performance measures will be made. For the TSR component, the resulting percentage achievement will be applied to the target cash-settled RSUs to derive the number awarded, which may be paid only in cash. The CROIC component is based on a fixed, cash target amount, subject to adjustment based on the results during the performance period, but </w:t>
      </w:r>
      <w:r>
        <w:rPr>
          <w:rFonts w:ascii="Arial" w:cs="Arial" w:eastAsia="Arial" w:hAnsi="Arial"/>
          <w:sz w:val="14"/>
          <w:szCs w:val="14"/>
          <w:i w:val="1"/>
          <w:iCs w:val="1"/>
          <w:color w:val="404040"/>
        </w:rPr>
        <w:t>not</w:t>
      </w:r>
      <w:r>
        <w:rPr>
          <w:rFonts w:ascii="Arial" w:cs="Arial" w:eastAsia="Arial" w:hAnsi="Arial"/>
          <w:sz w:val="14"/>
          <w:szCs w:val="14"/>
          <w:color w:val="404040"/>
        </w:rPr>
        <w:t xml:space="preserve"> subject to adjustment based on the Company’s common stock price.</w:t>
      </w:r>
    </w:p>
    <w:p>
      <w:pPr>
        <w:spacing w:after="0" w:line="19" w:lineRule="exact"/>
        <w:rPr>
          <w:sz w:val="20"/>
          <w:szCs w:val="20"/>
          <w:color w:val="auto"/>
        </w:rPr>
      </w:pPr>
    </w:p>
    <w:p>
      <w:pPr>
        <w:ind w:left="900" w:right="700"/>
        <w:spacing w:after="0" w:line="252" w:lineRule="auto"/>
        <w:rPr>
          <w:sz w:val="20"/>
          <w:szCs w:val="20"/>
          <w:color w:val="auto"/>
        </w:rPr>
      </w:pPr>
      <w:r>
        <w:rPr>
          <w:rFonts w:ascii="Arial" w:cs="Arial" w:eastAsia="Arial" w:hAnsi="Arial"/>
          <w:sz w:val="14"/>
          <w:szCs w:val="14"/>
          <w:color w:val="404040"/>
        </w:rPr>
        <w:t>If achievement warrants, vesting of cash-settled RSUs or payment of the cash award, as applicable, will begin when performance award results are determined by the MD&amp;C Committee in early 2028, with 50% of the adjusted number of cash-settled RSUs vesting or the cash award payment being made, as applicable, immediately and 50% vesting or payment, as applicable, as of the first trading day on or after the anniversary of the first trading day following the close of the performance period, in January 2029. Except for retirements and executive terminations without cause, executives must be employed during the entire performance period and on the date of vesting. These units may be paid only in cash.</w:t>
      </w:r>
    </w:p>
    <w:p>
      <w:pPr>
        <w:spacing w:after="0" w:line="19" w:lineRule="exact"/>
        <w:rPr>
          <w:sz w:val="20"/>
          <w:szCs w:val="20"/>
          <w:color w:val="auto"/>
        </w:rPr>
      </w:pPr>
    </w:p>
    <w:p>
      <w:pPr>
        <w:ind w:left="900" w:right="660" w:hanging="236"/>
        <w:spacing w:after="0" w:line="252" w:lineRule="auto"/>
        <w:tabs>
          <w:tab w:leader="none" w:pos="900" w:val="left"/>
        </w:tabs>
        <w:numPr>
          <w:ilvl w:val="0"/>
          <w:numId w:val="110"/>
        </w:numPr>
        <w:rPr>
          <w:rFonts w:ascii="Arial" w:cs="Arial" w:eastAsia="Arial" w:hAnsi="Arial"/>
          <w:sz w:val="14"/>
          <w:szCs w:val="14"/>
          <w:color w:val="404040"/>
        </w:rPr>
      </w:pPr>
      <w:r>
        <w:rPr>
          <w:rFonts w:ascii="Arial" w:cs="Arial" w:eastAsia="Arial" w:hAnsi="Arial"/>
          <w:sz w:val="14"/>
          <w:szCs w:val="14"/>
          <w:color w:val="404040"/>
        </w:rPr>
        <w:t>These awards reflect the number of RSUs granted under the terms of the 2016 Omnibus Compensation Plan. The grant date fair value of these awards, calculated in accordance with FASB ASC Topic 718, is based on the closing price of the Company’s common stock on the date of grant. The grant date fair value for the RSUs granted on January 9, 2025, was $23.68 per unit and for the RSUs granted to Ms. Warnica on January 13, 2025, was $24.38 per unit. Except as discussed below, the RSUs are generally non-transferable, and no dividends are paid on such units until vested. The RSUs vest ratably over three years.</w:t>
      </w:r>
    </w:p>
    <w:p>
      <w:pPr>
        <w:spacing w:after="0" w:line="18" w:lineRule="exact"/>
        <w:rPr>
          <w:rFonts w:ascii="Arial" w:cs="Arial" w:eastAsia="Arial" w:hAnsi="Arial"/>
          <w:sz w:val="14"/>
          <w:szCs w:val="14"/>
          <w:color w:val="404040"/>
        </w:rPr>
      </w:pPr>
    </w:p>
    <w:p>
      <w:pPr>
        <w:ind w:left="900" w:right="840" w:hanging="236"/>
        <w:spacing w:after="0" w:line="248" w:lineRule="auto"/>
        <w:tabs>
          <w:tab w:leader="none" w:pos="900" w:val="left"/>
        </w:tabs>
        <w:numPr>
          <w:ilvl w:val="0"/>
          <w:numId w:val="110"/>
        </w:numPr>
        <w:rPr>
          <w:rFonts w:ascii="Arial" w:cs="Arial" w:eastAsia="Arial" w:hAnsi="Arial"/>
          <w:sz w:val="14"/>
          <w:szCs w:val="14"/>
          <w:color w:val="404040"/>
        </w:rPr>
      </w:pPr>
      <w:r>
        <w:rPr>
          <w:rFonts w:ascii="Arial" w:cs="Arial" w:eastAsia="Arial" w:hAnsi="Arial"/>
          <w:sz w:val="14"/>
          <w:szCs w:val="14"/>
          <w:color w:val="404040"/>
        </w:rPr>
        <w:t>The 2016 Omnibus Compensation Plan is administered by the MD&amp;C Committee. RSUs granted under the 2016 Omnibus Compensation Plan are subject to appropriate adjustment in the event of reorganization, stock split, stock dividend, combination of shares, merger, consolidation, or other recapitalization of the Company. Upon both a change of control of the Company and termination of employment, all outstanding RSUs become automatically vested as of the date of such termination of employment. Generally, a change of control occurs when a person, partnership, or corporation acting in concert, or any or all of them, acquires more than 20% of the Company’s outstanding voting securities or upon a merger or similar combination, a sale of all or substantially all assets of the Company, or a change in the majority of the Company’s directors that is not approved by the Company’s incumbent Board.</w:t>
      </w:r>
    </w:p>
    <w:p>
      <w:pPr>
        <w:spacing w:after="0" w:line="23" w:lineRule="exact"/>
        <w:rPr>
          <w:rFonts w:ascii="Arial" w:cs="Arial" w:eastAsia="Arial" w:hAnsi="Arial"/>
          <w:sz w:val="14"/>
          <w:szCs w:val="14"/>
          <w:color w:val="404040"/>
        </w:rPr>
      </w:pPr>
    </w:p>
    <w:p>
      <w:pPr>
        <w:ind w:left="900" w:right="680" w:hanging="236"/>
        <w:spacing w:after="0" w:line="244" w:lineRule="auto"/>
        <w:tabs>
          <w:tab w:leader="none" w:pos="900" w:val="left"/>
        </w:tabs>
        <w:numPr>
          <w:ilvl w:val="0"/>
          <w:numId w:val="110"/>
        </w:numPr>
        <w:rPr>
          <w:rFonts w:ascii="Arial" w:cs="Arial" w:eastAsia="Arial" w:hAnsi="Arial"/>
          <w:sz w:val="14"/>
          <w:szCs w:val="14"/>
          <w:color w:val="404040"/>
        </w:rPr>
      </w:pPr>
      <w:r>
        <w:rPr>
          <w:rFonts w:ascii="Arial" w:cs="Arial" w:eastAsia="Arial" w:hAnsi="Arial"/>
          <w:sz w:val="14"/>
          <w:szCs w:val="14"/>
          <w:color w:val="404040"/>
        </w:rPr>
        <w:t>This column sets forth the number of shares of the Company’s common stock subject to options granted under the terms of the 2016 Omnibus Compensation Plan. For stock options, the estimated fair value is based upon principles of the Black-Scholes option pricing model. The Black-Scholes model utilizes numerous arbitrary assumptions about financial variables such as interest rates, stock price volatility, and future dividend yield. The options granted under the terms of the 2016 Omnibus Compensation Plan are generally non-transferable and become exercisable ratably over three years. The options were granted for a term of ten years, subject to earlier termination in specific circumstances related to termination of employment and are not intended to qualify as incentive stock options under Section 422 of the Internal Revenue Code. The exercise price and any withholding tax requirement may be paid by cash/check, delivery or attestation of already-owned shares of the Company’s common stock, or a broker-assisted cashless exercise. Options granted under the 2016 Omnibus Compensation Plan are subject to appropriate adjustment in the event of reorganization, stock split, stock dividend, combination of shares, merger, consolidation, or other recapitalization of the Company. Upon both a change of control of the Company and termination of employment, all outstanding options become automatically vested so as to make all such options fully vested and exercisable as of the date of such termination of employment. Generally, a change in control occurs when a person, partnership, or corporation acting in concert, or any or all of them, acquires more than 20% of the Company’s outstanding voting securities or upon a merger or similar combination, a sale of all or substantially all assets of the Company, or change in the majority of the Company’s directors that is not approved by the Company’s incumbent Board.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35</w:t>
            </w:r>
          </w:p>
        </w:tc>
      </w:tr>
      <w:tr>
        <w:trPr>
          <w:trHeight w:val="878"/>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83" w:right="439" w:bottom="1440" w:gutter="0" w:footer="0" w:header="0"/>
        </w:sectPr>
      </w:pPr>
    </w:p>
    <w:bookmarkStart w:id="41" w:name="page42"/>
    <w:bookmarkEnd w:id="41"/>
    <w:p>
      <w:pPr>
        <w:spacing w:after="0"/>
        <w:rPr>
          <w:sz w:val="20"/>
          <w:szCs w:val="20"/>
          <w:color w:val="auto"/>
        </w:rPr>
      </w:pPr>
      <w:r>
        <w:rPr>
          <w:rFonts w:ascii="Arial" w:cs="Arial" w:eastAsia="Arial" w:hAnsi="Arial"/>
          <w:sz w:val="25"/>
          <w:szCs w:val="25"/>
          <w:b w:val="1"/>
          <w:bCs w:val="1"/>
          <w:i w:val="1"/>
          <w:iCs w:val="1"/>
          <w:color w:val="auto"/>
        </w:rPr>
        <w:t>Outstanding Equity Awards at Fiscal Year-End Table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supplemental information relating to the stock-based awards held by the NEOs as of December 31,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Borders>
              <w:top w:val="single" w:sz="8" w:color="auto"/>
              <w:bottom w:val="single" w:sz="8" w:color="F3F3F4"/>
            </w:tcBorders>
            <w:shd w:val="clear" w:color="auto" w:fill="F3F3F4"/>
          </w:tcPr>
          <w:p>
            <w:pPr>
              <w:spacing w:after="0"/>
              <w:rPr>
                <w:sz w:val="12"/>
                <w:szCs w:val="12"/>
                <w:color w:val="auto"/>
              </w:rPr>
            </w:pPr>
          </w:p>
        </w:tc>
        <w:tc>
          <w:tcPr>
            <w:tcW w:w="840" w:type="dxa"/>
            <w:vAlign w:val="bottom"/>
            <w:tcBorders>
              <w:top w:val="single" w:sz="8" w:color="auto"/>
              <w:bottom w:val="single" w:sz="8" w:color="auto"/>
            </w:tcBorders>
            <w:shd w:val="clear" w:color="auto" w:fill="F3F3F4"/>
          </w:tcPr>
          <w:p>
            <w:pPr>
              <w:spacing w:after="0"/>
              <w:rPr>
                <w:sz w:val="12"/>
                <w:szCs w:val="12"/>
                <w:color w:val="auto"/>
              </w:rPr>
            </w:pPr>
          </w:p>
        </w:tc>
        <w:tc>
          <w:tcPr>
            <w:tcW w:w="1900" w:type="dxa"/>
            <w:vAlign w:val="bottom"/>
            <w:tcBorders>
              <w:top w:val="single" w:sz="8" w:color="auto"/>
              <w:bottom w:val="single" w:sz="8" w:color="auto"/>
            </w:tcBorders>
            <w:gridSpan w:val="2"/>
            <w:shd w:val="clear" w:color="auto" w:fill="F3F3F4"/>
          </w:tcPr>
          <w:p>
            <w:pPr>
              <w:jc w:val="right"/>
              <w:ind w:right="177"/>
              <w:spacing w:after="0"/>
              <w:rPr>
                <w:sz w:val="20"/>
                <w:szCs w:val="20"/>
                <w:color w:val="auto"/>
              </w:rPr>
            </w:pPr>
            <w:r>
              <w:rPr>
                <w:rFonts w:ascii="Arial" w:cs="Arial" w:eastAsia="Arial" w:hAnsi="Arial"/>
                <w:sz w:val="13"/>
                <w:szCs w:val="13"/>
                <w:b w:val="1"/>
                <w:bCs w:val="1"/>
                <w:color w:val="auto"/>
              </w:rPr>
              <w:t>Option Awards</w:t>
            </w:r>
          </w:p>
        </w:tc>
        <w:tc>
          <w:tcPr>
            <w:tcW w:w="660" w:type="dxa"/>
            <w:vAlign w:val="bottom"/>
            <w:tcBorders>
              <w:top w:val="single" w:sz="8" w:color="auto"/>
              <w:bottom w:val="single" w:sz="8" w:color="auto"/>
            </w:tcBorders>
            <w:shd w:val="clear" w:color="auto" w:fill="F3F3F4"/>
          </w:tcPr>
          <w:p>
            <w:pPr>
              <w:spacing w:after="0"/>
              <w:rPr>
                <w:sz w:val="12"/>
                <w:szCs w:val="12"/>
                <w:color w:val="auto"/>
              </w:rPr>
            </w:pPr>
          </w:p>
        </w:tc>
        <w:tc>
          <w:tcPr>
            <w:tcW w:w="900" w:type="dxa"/>
            <w:vAlign w:val="bottom"/>
            <w:tcBorders>
              <w:top w:val="single" w:sz="8" w:color="auto"/>
              <w:bottom w:val="single" w:sz="8" w:color="auto"/>
              <w:right w:val="single" w:sz="8" w:color="auto"/>
            </w:tcBorders>
            <w:shd w:val="clear" w:color="auto" w:fill="F3F3F4"/>
          </w:tcPr>
          <w:p>
            <w:pPr>
              <w:spacing w:after="0"/>
              <w:rPr>
                <w:sz w:val="12"/>
                <w:szCs w:val="12"/>
                <w:color w:val="auto"/>
              </w:rPr>
            </w:pPr>
          </w:p>
        </w:tc>
        <w:tc>
          <w:tcPr>
            <w:tcW w:w="680" w:type="dxa"/>
            <w:vAlign w:val="bottom"/>
            <w:tcBorders>
              <w:top w:val="single" w:sz="8" w:color="auto"/>
              <w:bottom w:val="single" w:sz="8" w:color="auto"/>
            </w:tcBorders>
            <w:shd w:val="clear" w:color="auto" w:fill="F3F3F4"/>
          </w:tcPr>
          <w:p>
            <w:pPr>
              <w:spacing w:after="0"/>
              <w:rPr>
                <w:sz w:val="12"/>
                <w:szCs w:val="12"/>
                <w:color w:val="auto"/>
              </w:rPr>
            </w:pPr>
          </w:p>
        </w:tc>
        <w:tc>
          <w:tcPr>
            <w:tcW w:w="220" w:type="dxa"/>
            <w:vAlign w:val="bottom"/>
            <w:tcBorders>
              <w:top w:val="single" w:sz="8" w:color="auto"/>
              <w:bottom w:val="single" w:sz="8" w:color="auto"/>
            </w:tcBorders>
            <w:shd w:val="clear" w:color="auto" w:fill="F3F3F4"/>
          </w:tcPr>
          <w:p>
            <w:pPr>
              <w:spacing w:after="0"/>
              <w:rPr>
                <w:sz w:val="12"/>
                <w:szCs w:val="12"/>
                <w:color w:val="auto"/>
              </w:rPr>
            </w:pPr>
          </w:p>
        </w:tc>
        <w:tc>
          <w:tcPr>
            <w:tcW w:w="1720" w:type="dxa"/>
            <w:vAlign w:val="bottom"/>
            <w:tcBorders>
              <w:top w:val="single" w:sz="8" w:color="auto"/>
              <w:bottom w:val="single" w:sz="8" w:color="auto"/>
            </w:tcBorders>
            <w:gridSpan w:val="2"/>
            <w:shd w:val="clear" w:color="auto" w:fill="F3F3F4"/>
          </w:tcPr>
          <w:p>
            <w:pPr>
              <w:jc w:val="right"/>
              <w:ind w:right="297"/>
              <w:spacing w:after="0"/>
              <w:rPr>
                <w:sz w:val="20"/>
                <w:szCs w:val="20"/>
                <w:color w:val="auto"/>
              </w:rPr>
            </w:pPr>
            <w:r>
              <w:rPr>
                <w:rFonts w:ascii="Arial" w:cs="Arial" w:eastAsia="Arial" w:hAnsi="Arial"/>
                <w:sz w:val="13"/>
                <w:szCs w:val="13"/>
                <w:b w:val="1"/>
                <w:bCs w:val="1"/>
                <w:color w:val="auto"/>
              </w:rPr>
              <w:t>Stock Awards</w:t>
            </w:r>
          </w:p>
        </w:tc>
        <w:tc>
          <w:tcPr>
            <w:tcW w:w="200" w:type="dxa"/>
            <w:vAlign w:val="bottom"/>
            <w:tcBorders>
              <w:top w:val="single" w:sz="8" w:color="auto"/>
              <w:bottom w:val="single" w:sz="8" w:color="auto"/>
            </w:tcBorders>
            <w:shd w:val="clear" w:color="auto" w:fill="F3F3F4"/>
          </w:tcPr>
          <w:p>
            <w:pPr>
              <w:spacing w:after="0"/>
              <w:rPr>
                <w:sz w:val="12"/>
                <w:szCs w:val="12"/>
                <w:color w:val="auto"/>
              </w:rPr>
            </w:pPr>
          </w:p>
        </w:tc>
        <w:tc>
          <w:tcPr>
            <w:tcW w:w="920" w:type="dxa"/>
            <w:vAlign w:val="bottom"/>
            <w:tcBorders>
              <w:top w:val="single" w:sz="8" w:color="auto"/>
              <w:bottom w:val="single" w:sz="8" w:color="auto"/>
            </w:tcBorders>
            <w:shd w:val="clear" w:color="auto" w:fill="F3F3F4"/>
          </w:tcPr>
          <w:p>
            <w:pPr>
              <w:spacing w:after="0"/>
              <w:rPr>
                <w:sz w:val="12"/>
                <w:szCs w:val="12"/>
                <w:color w:val="auto"/>
              </w:rPr>
            </w:pPr>
          </w:p>
        </w:tc>
        <w:tc>
          <w:tcPr>
            <w:tcW w:w="260" w:type="dxa"/>
            <w:vAlign w:val="bottom"/>
            <w:tcBorders>
              <w:top w:val="single" w:sz="8" w:color="auto"/>
              <w:bottom w:val="single" w:sz="8" w:color="auto"/>
            </w:tcBorders>
            <w:shd w:val="clear" w:color="auto" w:fill="F3F3F4"/>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420" w:type="dxa"/>
            <w:vAlign w:val="bottom"/>
            <w:shd w:val="clear" w:color="auto" w:fill="F3F3F4"/>
          </w:tcPr>
          <w:p>
            <w:pPr>
              <w:spacing w:after="0"/>
              <w:rPr>
                <w:sz w:val="9"/>
                <w:szCs w:val="9"/>
                <w:color w:val="auto"/>
              </w:rPr>
            </w:pPr>
          </w:p>
        </w:tc>
        <w:tc>
          <w:tcPr>
            <w:tcW w:w="840" w:type="dxa"/>
            <w:vAlign w:val="bottom"/>
            <w:shd w:val="clear" w:color="auto" w:fill="F3F3F4"/>
          </w:tcPr>
          <w:p>
            <w:pPr>
              <w:spacing w:after="0"/>
              <w:rPr>
                <w:sz w:val="9"/>
                <w:szCs w:val="9"/>
                <w:color w:val="auto"/>
              </w:rPr>
            </w:pPr>
          </w:p>
        </w:tc>
        <w:tc>
          <w:tcPr>
            <w:tcW w:w="1000" w:type="dxa"/>
            <w:vAlign w:val="bottom"/>
            <w:shd w:val="clear" w:color="auto" w:fill="F3F3F4"/>
          </w:tcPr>
          <w:p>
            <w:pPr>
              <w:spacing w:after="0"/>
              <w:rPr>
                <w:sz w:val="9"/>
                <w:szCs w:val="9"/>
                <w:color w:val="auto"/>
              </w:rPr>
            </w:pPr>
          </w:p>
        </w:tc>
        <w:tc>
          <w:tcPr>
            <w:tcW w:w="900" w:type="dxa"/>
            <w:vAlign w:val="bottom"/>
            <w:vMerge w:val="restart"/>
            <w:shd w:val="clear" w:color="auto" w:fill="F3F3F4"/>
          </w:tcPr>
          <w:p>
            <w:pPr>
              <w:jc w:val="right"/>
              <w:spacing w:after="0"/>
              <w:rPr>
                <w:sz w:val="20"/>
                <w:szCs w:val="20"/>
                <w:color w:val="auto"/>
              </w:rPr>
            </w:pPr>
            <w:r>
              <w:rPr>
                <w:rFonts w:ascii="Arial" w:cs="Arial" w:eastAsia="Arial" w:hAnsi="Arial"/>
                <w:sz w:val="13"/>
                <w:szCs w:val="13"/>
                <w:b w:val="1"/>
                <w:bCs w:val="1"/>
                <w:color w:val="auto"/>
              </w:rPr>
              <w:t>Equity</w:t>
            </w:r>
          </w:p>
        </w:tc>
        <w:tc>
          <w:tcPr>
            <w:tcW w:w="660" w:type="dxa"/>
            <w:vAlign w:val="bottom"/>
            <w:shd w:val="clear" w:color="auto" w:fill="F3F3F4"/>
          </w:tcPr>
          <w:p>
            <w:pPr>
              <w:spacing w:after="0"/>
              <w:rPr>
                <w:sz w:val="9"/>
                <w:szCs w:val="9"/>
                <w:color w:val="auto"/>
              </w:rPr>
            </w:pPr>
          </w:p>
        </w:tc>
        <w:tc>
          <w:tcPr>
            <w:tcW w:w="900" w:type="dxa"/>
            <w:vAlign w:val="bottom"/>
            <w:tcBorders>
              <w:right w:val="single" w:sz="8" w:color="auto"/>
            </w:tcBorders>
            <w:shd w:val="clear" w:color="auto" w:fill="F3F3F4"/>
          </w:tcPr>
          <w:p>
            <w:pPr>
              <w:spacing w:after="0"/>
              <w:rPr>
                <w:sz w:val="9"/>
                <w:szCs w:val="9"/>
                <w:color w:val="auto"/>
              </w:rPr>
            </w:pPr>
          </w:p>
        </w:tc>
        <w:tc>
          <w:tcPr>
            <w:tcW w:w="680" w:type="dxa"/>
            <w:vAlign w:val="bottom"/>
            <w:shd w:val="clear" w:color="auto" w:fill="F3F3F4"/>
          </w:tcPr>
          <w:p>
            <w:pPr>
              <w:spacing w:after="0"/>
              <w:rPr>
                <w:sz w:val="9"/>
                <w:szCs w:val="9"/>
                <w:color w:val="auto"/>
              </w:rPr>
            </w:pPr>
          </w:p>
        </w:tc>
        <w:tc>
          <w:tcPr>
            <w:tcW w:w="220" w:type="dxa"/>
            <w:vAlign w:val="bottom"/>
            <w:shd w:val="clear" w:color="auto" w:fill="F3F3F4"/>
          </w:tcPr>
          <w:p>
            <w:pPr>
              <w:spacing w:after="0"/>
              <w:rPr>
                <w:sz w:val="9"/>
                <w:szCs w:val="9"/>
                <w:color w:val="auto"/>
              </w:rPr>
            </w:pPr>
          </w:p>
        </w:tc>
        <w:tc>
          <w:tcPr>
            <w:tcW w:w="740" w:type="dxa"/>
            <w:vAlign w:val="bottom"/>
            <w:shd w:val="clear" w:color="auto" w:fill="F3F3F4"/>
          </w:tcPr>
          <w:p>
            <w:pPr>
              <w:spacing w:after="0"/>
              <w:rPr>
                <w:sz w:val="9"/>
                <w:szCs w:val="9"/>
                <w:color w:val="auto"/>
              </w:rPr>
            </w:pPr>
          </w:p>
        </w:tc>
        <w:tc>
          <w:tcPr>
            <w:tcW w:w="980" w:type="dxa"/>
            <w:vAlign w:val="bottom"/>
            <w:vMerge w:val="restart"/>
            <w:shd w:val="clear" w:color="auto" w:fill="F3F3F4"/>
          </w:tcPr>
          <w:p>
            <w:pPr>
              <w:jc w:val="right"/>
              <w:spacing w:after="0"/>
              <w:rPr>
                <w:sz w:val="20"/>
                <w:szCs w:val="20"/>
                <w:color w:val="auto"/>
              </w:rPr>
            </w:pPr>
            <w:r>
              <w:rPr>
                <w:rFonts w:ascii="Arial" w:cs="Arial" w:eastAsia="Arial" w:hAnsi="Arial"/>
                <w:sz w:val="13"/>
                <w:szCs w:val="13"/>
                <w:b w:val="1"/>
                <w:bCs w:val="1"/>
                <w:color w:val="auto"/>
              </w:rPr>
              <w:t>Equity</w:t>
            </w:r>
          </w:p>
        </w:tc>
        <w:tc>
          <w:tcPr>
            <w:tcW w:w="200" w:type="dxa"/>
            <w:vAlign w:val="bottom"/>
            <w:shd w:val="clear" w:color="auto" w:fill="F3F3F4"/>
          </w:tcPr>
          <w:p>
            <w:pPr>
              <w:spacing w:after="0"/>
              <w:rPr>
                <w:sz w:val="9"/>
                <w:szCs w:val="9"/>
                <w:color w:val="auto"/>
              </w:rPr>
            </w:pPr>
          </w:p>
        </w:tc>
        <w:tc>
          <w:tcPr>
            <w:tcW w:w="920" w:type="dxa"/>
            <w:vAlign w:val="bottom"/>
            <w:shd w:val="clear" w:color="auto" w:fill="F3F3F4"/>
          </w:tcPr>
          <w:p>
            <w:pPr>
              <w:jc w:val="right"/>
              <w:spacing w:after="0" w:line="111" w:lineRule="exact"/>
              <w:rPr>
                <w:sz w:val="20"/>
                <w:szCs w:val="20"/>
                <w:color w:val="auto"/>
              </w:rPr>
            </w:pPr>
            <w:r>
              <w:rPr>
                <w:rFonts w:ascii="Arial" w:cs="Arial" w:eastAsia="Arial" w:hAnsi="Arial"/>
                <w:sz w:val="12"/>
                <w:szCs w:val="12"/>
                <w:b w:val="1"/>
                <w:bCs w:val="1"/>
                <w:color w:val="auto"/>
              </w:rPr>
              <w:t>Equity</w:t>
            </w:r>
          </w:p>
        </w:tc>
        <w:tc>
          <w:tcPr>
            <w:tcW w:w="260" w:type="dxa"/>
            <w:vAlign w:val="bottom"/>
            <w:shd w:val="clear" w:color="auto" w:fill="F3F3F4"/>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F3F3F4"/>
          </w:tcPr>
          <w:p>
            <w:pPr>
              <w:spacing w:after="0"/>
              <w:rPr>
                <w:sz w:val="11"/>
                <w:szCs w:val="11"/>
                <w:color w:val="auto"/>
              </w:rPr>
            </w:pPr>
          </w:p>
        </w:tc>
        <w:tc>
          <w:tcPr>
            <w:tcW w:w="840" w:type="dxa"/>
            <w:vAlign w:val="bottom"/>
            <w:shd w:val="clear" w:color="auto" w:fill="F3F3F4"/>
          </w:tcPr>
          <w:p>
            <w:pPr>
              <w:spacing w:after="0"/>
              <w:rPr>
                <w:sz w:val="11"/>
                <w:szCs w:val="11"/>
                <w:color w:val="auto"/>
              </w:rPr>
            </w:pPr>
          </w:p>
        </w:tc>
        <w:tc>
          <w:tcPr>
            <w:tcW w:w="1000" w:type="dxa"/>
            <w:vAlign w:val="bottom"/>
            <w:shd w:val="clear" w:color="auto" w:fill="F3F3F4"/>
          </w:tcPr>
          <w:p>
            <w:pPr>
              <w:spacing w:after="0"/>
              <w:rPr>
                <w:sz w:val="11"/>
                <w:szCs w:val="11"/>
                <w:color w:val="auto"/>
              </w:rPr>
            </w:pPr>
          </w:p>
        </w:tc>
        <w:tc>
          <w:tcPr>
            <w:tcW w:w="900" w:type="dxa"/>
            <w:vAlign w:val="bottom"/>
            <w:vMerge w:val="continue"/>
            <w:shd w:val="clear" w:color="auto" w:fill="F3F3F4"/>
          </w:tcPr>
          <w:p>
            <w:pPr>
              <w:spacing w:after="0"/>
              <w:rPr>
                <w:sz w:val="11"/>
                <w:szCs w:val="11"/>
                <w:color w:val="auto"/>
              </w:rPr>
            </w:pPr>
          </w:p>
        </w:tc>
        <w:tc>
          <w:tcPr>
            <w:tcW w:w="660" w:type="dxa"/>
            <w:vAlign w:val="bottom"/>
            <w:shd w:val="clear" w:color="auto" w:fill="F3F3F4"/>
          </w:tcPr>
          <w:p>
            <w:pPr>
              <w:spacing w:after="0"/>
              <w:rPr>
                <w:sz w:val="11"/>
                <w:szCs w:val="11"/>
                <w:color w:val="auto"/>
              </w:rPr>
            </w:pPr>
          </w:p>
        </w:tc>
        <w:tc>
          <w:tcPr>
            <w:tcW w:w="900" w:type="dxa"/>
            <w:vAlign w:val="bottom"/>
            <w:tcBorders>
              <w:right w:val="single" w:sz="8" w:color="auto"/>
            </w:tcBorders>
            <w:shd w:val="clear" w:color="auto" w:fill="F3F3F4"/>
          </w:tcPr>
          <w:p>
            <w:pPr>
              <w:spacing w:after="0"/>
              <w:rPr>
                <w:sz w:val="11"/>
                <w:szCs w:val="11"/>
                <w:color w:val="auto"/>
              </w:rPr>
            </w:pPr>
          </w:p>
        </w:tc>
        <w:tc>
          <w:tcPr>
            <w:tcW w:w="680" w:type="dxa"/>
            <w:vAlign w:val="bottom"/>
            <w:shd w:val="clear" w:color="auto" w:fill="F3F3F4"/>
          </w:tcPr>
          <w:p>
            <w:pPr>
              <w:spacing w:after="0"/>
              <w:rPr>
                <w:sz w:val="11"/>
                <w:szCs w:val="11"/>
                <w:color w:val="auto"/>
              </w:rPr>
            </w:pPr>
          </w:p>
        </w:tc>
        <w:tc>
          <w:tcPr>
            <w:tcW w:w="220" w:type="dxa"/>
            <w:vAlign w:val="bottom"/>
            <w:shd w:val="clear" w:color="auto" w:fill="F3F3F4"/>
          </w:tcPr>
          <w:p>
            <w:pPr>
              <w:spacing w:after="0"/>
              <w:rPr>
                <w:sz w:val="11"/>
                <w:szCs w:val="11"/>
                <w:color w:val="auto"/>
              </w:rPr>
            </w:pPr>
          </w:p>
        </w:tc>
        <w:tc>
          <w:tcPr>
            <w:tcW w:w="740" w:type="dxa"/>
            <w:vAlign w:val="bottom"/>
            <w:shd w:val="clear" w:color="auto" w:fill="F3F3F4"/>
          </w:tcPr>
          <w:p>
            <w:pPr>
              <w:spacing w:after="0"/>
              <w:rPr>
                <w:sz w:val="11"/>
                <w:szCs w:val="11"/>
                <w:color w:val="auto"/>
              </w:rPr>
            </w:pPr>
          </w:p>
        </w:tc>
        <w:tc>
          <w:tcPr>
            <w:tcW w:w="980" w:type="dxa"/>
            <w:vAlign w:val="bottom"/>
            <w:vMerge w:val="continue"/>
            <w:shd w:val="clear" w:color="auto" w:fill="F3F3F4"/>
          </w:tcPr>
          <w:p>
            <w:pPr>
              <w:spacing w:after="0"/>
              <w:rPr>
                <w:sz w:val="11"/>
                <w:szCs w:val="11"/>
                <w:color w:val="auto"/>
              </w:rPr>
            </w:pPr>
          </w:p>
        </w:tc>
        <w:tc>
          <w:tcPr>
            <w:tcW w:w="200" w:type="dxa"/>
            <w:vAlign w:val="bottom"/>
            <w:shd w:val="clear" w:color="auto" w:fill="F3F3F4"/>
          </w:tcPr>
          <w:p>
            <w:pPr>
              <w:spacing w:after="0"/>
              <w:rPr>
                <w:sz w:val="11"/>
                <w:szCs w:val="11"/>
                <w:color w:val="auto"/>
              </w:rPr>
            </w:pPr>
          </w:p>
        </w:tc>
        <w:tc>
          <w:tcPr>
            <w:tcW w:w="92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Incentive</w:t>
            </w:r>
          </w:p>
        </w:tc>
        <w:tc>
          <w:tcPr>
            <w:tcW w:w="26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F3F3F4"/>
          </w:tcPr>
          <w:p>
            <w:pPr>
              <w:spacing w:after="0"/>
              <w:rPr>
                <w:sz w:val="11"/>
                <w:szCs w:val="11"/>
                <w:color w:val="auto"/>
              </w:rPr>
            </w:pPr>
          </w:p>
        </w:tc>
        <w:tc>
          <w:tcPr>
            <w:tcW w:w="840" w:type="dxa"/>
            <w:vAlign w:val="bottom"/>
            <w:shd w:val="clear" w:color="auto" w:fill="F3F3F4"/>
          </w:tcPr>
          <w:p>
            <w:pPr>
              <w:spacing w:after="0"/>
              <w:rPr>
                <w:sz w:val="11"/>
                <w:szCs w:val="11"/>
                <w:color w:val="auto"/>
              </w:rPr>
            </w:pPr>
          </w:p>
        </w:tc>
        <w:tc>
          <w:tcPr>
            <w:tcW w:w="1000" w:type="dxa"/>
            <w:vAlign w:val="bottom"/>
            <w:shd w:val="clear" w:color="auto" w:fill="F3F3F4"/>
          </w:tcPr>
          <w:p>
            <w:pPr>
              <w:spacing w:after="0"/>
              <w:rPr>
                <w:sz w:val="11"/>
                <w:szCs w:val="11"/>
                <w:color w:val="auto"/>
              </w:rPr>
            </w:pPr>
          </w:p>
        </w:tc>
        <w:tc>
          <w:tcPr>
            <w:tcW w:w="90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Incentive</w:t>
            </w:r>
          </w:p>
        </w:tc>
        <w:tc>
          <w:tcPr>
            <w:tcW w:w="660" w:type="dxa"/>
            <w:vAlign w:val="bottom"/>
            <w:shd w:val="clear" w:color="auto" w:fill="F3F3F4"/>
          </w:tcPr>
          <w:p>
            <w:pPr>
              <w:spacing w:after="0"/>
              <w:rPr>
                <w:sz w:val="11"/>
                <w:szCs w:val="11"/>
                <w:color w:val="auto"/>
              </w:rPr>
            </w:pPr>
          </w:p>
        </w:tc>
        <w:tc>
          <w:tcPr>
            <w:tcW w:w="900" w:type="dxa"/>
            <w:vAlign w:val="bottom"/>
            <w:tcBorders>
              <w:right w:val="single" w:sz="8" w:color="auto"/>
            </w:tcBorders>
            <w:shd w:val="clear" w:color="auto" w:fill="F3F3F4"/>
          </w:tcPr>
          <w:p>
            <w:pPr>
              <w:spacing w:after="0"/>
              <w:rPr>
                <w:sz w:val="11"/>
                <w:szCs w:val="11"/>
                <w:color w:val="auto"/>
              </w:rPr>
            </w:pPr>
          </w:p>
        </w:tc>
        <w:tc>
          <w:tcPr>
            <w:tcW w:w="680" w:type="dxa"/>
            <w:vAlign w:val="bottom"/>
            <w:shd w:val="clear" w:color="auto" w:fill="F3F3F4"/>
          </w:tcPr>
          <w:p>
            <w:pPr>
              <w:spacing w:after="0"/>
              <w:rPr>
                <w:sz w:val="11"/>
                <w:szCs w:val="11"/>
                <w:color w:val="auto"/>
              </w:rPr>
            </w:pPr>
          </w:p>
        </w:tc>
        <w:tc>
          <w:tcPr>
            <w:tcW w:w="220" w:type="dxa"/>
            <w:vAlign w:val="bottom"/>
            <w:shd w:val="clear" w:color="auto" w:fill="F3F3F4"/>
          </w:tcPr>
          <w:p>
            <w:pPr>
              <w:spacing w:after="0"/>
              <w:rPr>
                <w:sz w:val="11"/>
                <w:szCs w:val="11"/>
                <w:color w:val="auto"/>
              </w:rPr>
            </w:pPr>
          </w:p>
        </w:tc>
        <w:tc>
          <w:tcPr>
            <w:tcW w:w="740" w:type="dxa"/>
            <w:vAlign w:val="bottom"/>
            <w:shd w:val="clear" w:color="auto" w:fill="F3F3F4"/>
          </w:tcPr>
          <w:p>
            <w:pPr>
              <w:spacing w:after="0"/>
              <w:rPr>
                <w:sz w:val="11"/>
                <w:szCs w:val="11"/>
                <w:color w:val="auto"/>
              </w:rPr>
            </w:pPr>
          </w:p>
        </w:tc>
        <w:tc>
          <w:tcPr>
            <w:tcW w:w="98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Incentive</w:t>
            </w:r>
          </w:p>
        </w:tc>
        <w:tc>
          <w:tcPr>
            <w:tcW w:w="200" w:type="dxa"/>
            <w:vAlign w:val="bottom"/>
            <w:shd w:val="clear" w:color="auto" w:fill="F3F3F4"/>
          </w:tcPr>
          <w:p>
            <w:pPr>
              <w:spacing w:after="0"/>
              <w:rPr>
                <w:sz w:val="11"/>
                <w:szCs w:val="11"/>
                <w:color w:val="auto"/>
              </w:rPr>
            </w:pPr>
          </w:p>
        </w:tc>
        <w:tc>
          <w:tcPr>
            <w:tcW w:w="92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Plan Awards:</w:t>
            </w:r>
          </w:p>
        </w:tc>
        <w:tc>
          <w:tcPr>
            <w:tcW w:w="26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F3F3F4"/>
          </w:tcPr>
          <w:p>
            <w:pPr>
              <w:spacing w:after="0"/>
              <w:rPr>
                <w:sz w:val="11"/>
                <w:szCs w:val="11"/>
                <w:color w:val="auto"/>
              </w:rPr>
            </w:pPr>
          </w:p>
        </w:tc>
        <w:tc>
          <w:tcPr>
            <w:tcW w:w="840" w:type="dxa"/>
            <w:vAlign w:val="bottom"/>
            <w:shd w:val="clear" w:color="auto" w:fill="F3F3F4"/>
          </w:tcPr>
          <w:p>
            <w:pPr>
              <w:spacing w:after="0"/>
              <w:rPr>
                <w:sz w:val="11"/>
                <w:szCs w:val="11"/>
                <w:color w:val="auto"/>
              </w:rPr>
            </w:pPr>
          </w:p>
        </w:tc>
        <w:tc>
          <w:tcPr>
            <w:tcW w:w="1000" w:type="dxa"/>
            <w:vAlign w:val="bottom"/>
            <w:shd w:val="clear" w:color="auto" w:fill="F3F3F4"/>
          </w:tcPr>
          <w:p>
            <w:pPr>
              <w:spacing w:after="0"/>
              <w:rPr>
                <w:sz w:val="11"/>
                <w:szCs w:val="11"/>
                <w:color w:val="auto"/>
              </w:rPr>
            </w:pPr>
          </w:p>
        </w:tc>
        <w:tc>
          <w:tcPr>
            <w:tcW w:w="90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Plan</w:t>
            </w:r>
          </w:p>
        </w:tc>
        <w:tc>
          <w:tcPr>
            <w:tcW w:w="660" w:type="dxa"/>
            <w:vAlign w:val="bottom"/>
            <w:shd w:val="clear" w:color="auto" w:fill="F3F3F4"/>
          </w:tcPr>
          <w:p>
            <w:pPr>
              <w:spacing w:after="0"/>
              <w:rPr>
                <w:sz w:val="11"/>
                <w:szCs w:val="11"/>
                <w:color w:val="auto"/>
              </w:rPr>
            </w:pPr>
          </w:p>
        </w:tc>
        <w:tc>
          <w:tcPr>
            <w:tcW w:w="900" w:type="dxa"/>
            <w:vAlign w:val="bottom"/>
            <w:tcBorders>
              <w:right w:val="single" w:sz="8" w:color="auto"/>
            </w:tcBorders>
            <w:shd w:val="clear" w:color="auto" w:fill="F3F3F4"/>
          </w:tcPr>
          <w:p>
            <w:pPr>
              <w:spacing w:after="0"/>
              <w:rPr>
                <w:sz w:val="11"/>
                <w:szCs w:val="11"/>
                <w:color w:val="auto"/>
              </w:rPr>
            </w:pPr>
          </w:p>
        </w:tc>
        <w:tc>
          <w:tcPr>
            <w:tcW w:w="680" w:type="dxa"/>
            <w:vAlign w:val="bottom"/>
            <w:vMerge w:val="restart"/>
            <w:shd w:val="clear" w:color="auto" w:fill="F3F3F4"/>
          </w:tcPr>
          <w:p>
            <w:pPr>
              <w:jc w:val="right"/>
              <w:spacing w:after="0"/>
              <w:rPr>
                <w:sz w:val="20"/>
                <w:szCs w:val="20"/>
                <w:color w:val="auto"/>
              </w:rPr>
            </w:pPr>
            <w:r>
              <w:rPr>
                <w:rFonts w:ascii="Arial" w:cs="Arial" w:eastAsia="Arial" w:hAnsi="Arial"/>
                <w:sz w:val="13"/>
                <w:szCs w:val="13"/>
                <w:b w:val="1"/>
                <w:bCs w:val="1"/>
                <w:color w:val="auto"/>
                <w:w w:val="92"/>
              </w:rPr>
              <w:t>Number of</w:t>
            </w:r>
          </w:p>
        </w:tc>
        <w:tc>
          <w:tcPr>
            <w:tcW w:w="220" w:type="dxa"/>
            <w:vAlign w:val="bottom"/>
            <w:shd w:val="clear" w:color="auto" w:fill="F3F3F4"/>
          </w:tcPr>
          <w:p>
            <w:pPr>
              <w:spacing w:after="0"/>
              <w:rPr>
                <w:sz w:val="11"/>
                <w:szCs w:val="11"/>
                <w:color w:val="auto"/>
              </w:rPr>
            </w:pPr>
          </w:p>
        </w:tc>
        <w:tc>
          <w:tcPr>
            <w:tcW w:w="740" w:type="dxa"/>
            <w:vAlign w:val="bottom"/>
            <w:vMerge w:val="restart"/>
            <w:shd w:val="clear" w:color="auto" w:fill="F3F3F4"/>
          </w:tcPr>
          <w:p>
            <w:pPr>
              <w:jc w:val="right"/>
              <w:ind w:right="17"/>
              <w:spacing w:after="0"/>
              <w:rPr>
                <w:sz w:val="20"/>
                <w:szCs w:val="20"/>
                <w:color w:val="auto"/>
              </w:rPr>
            </w:pPr>
            <w:r>
              <w:rPr>
                <w:rFonts w:ascii="Arial" w:cs="Arial" w:eastAsia="Arial" w:hAnsi="Arial"/>
                <w:sz w:val="13"/>
                <w:szCs w:val="13"/>
                <w:b w:val="1"/>
                <w:bCs w:val="1"/>
                <w:color w:val="auto"/>
              </w:rPr>
              <w:t>Market</w:t>
            </w:r>
          </w:p>
        </w:tc>
        <w:tc>
          <w:tcPr>
            <w:tcW w:w="98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Plan Awards:</w:t>
            </w:r>
          </w:p>
        </w:tc>
        <w:tc>
          <w:tcPr>
            <w:tcW w:w="200" w:type="dxa"/>
            <w:vAlign w:val="bottom"/>
            <w:shd w:val="clear" w:color="auto" w:fill="F3F3F4"/>
          </w:tcPr>
          <w:p>
            <w:pPr>
              <w:spacing w:after="0"/>
              <w:rPr>
                <w:sz w:val="11"/>
                <w:szCs w:val="11"/>
                <w:color w:val="auto"/>
              </w:rPr>
            </w:pPr>
          </w:p>
        </w:tc>
        <w:tc>
          <w:tcPr>
            <w:tcW w:w="92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Market or</w:t>
            </w:r>
          </w:p>
        </w:tc>
        <w:tc>
          <w:tcPr>
            <w:tcW w:w="26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F3F3F4"/>
          </w:tcPr>
          <w:p>
            <w:pPr>
              <w:spacing w:after="0"/>
              <w:rPr>
                <w:sz w:val="11"/>
                <w:szCs w:val="11"/>
                <w:color w:val="auto"/>
              </w:rPr>
            </w:pPr>
          </w:p>
        </w:tc>
        <w:tc>
          <w:tcPr>
            <w:tcW w:w="840" w:type="dxa"/>
            <w:vAlign w:val="bottom"/>
            <w:shd w:val="clear" w:color="auto" w:fill="F3F3F4"/>
          </w:tcPr>
          <w:p>
            <w:pPr>
              <w:spacing w:after="0"/>
              <w:rPr>
                <w:sz w:val="11"/>
                <w:szCs w:val="11"/>
                <w:color w:val="auto"/>
              </w:rPr>
            </w:pPr>
          </w:p>
        </w:tc>
        <w:tc>
          <w:tcPr>
            <w:tcW w:w="1000" w:type="dxa"/>
            <w:vAlign w:val="bottom"/>
            <w:vMerge w:val="restart"/>
            <w:shd w:val="clear" w:color="auto" w:fill="F3F3F4"/>
          </w:tcPr>
          <w:p>
            <w:pPr>
              <w:jc w:val="right"/>
              <w:spacing w:after="0"/>
              <w:rPr>
                <w:sz w:val="20"/>
                <w:szCs w:val="20"/>
                <w:color w:val="auto"/>
              </w:rPr>
            </w:pPr>
            <w:r>
              <w:rPr>
                <w:rFonts w:ascii="Arial" w:cs="Arial" w:eastAsia="Arial" w:hAnsi="Arial"/>
                <w:sz w:val="13"/>
                <w:szCs w:val="13"/>
                <w:b w:val="1"/>
                <w:bCs w:val="1"/>
                <w:color w:val="auto"/>
              </w:rPr>
              <w:t>Number of</w:t>
            </w:r>
          </w:p>
        </w:tc>
        <w:tc>
          <w:tcPr>
            <w:tcW w:w="90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Awards:</w:t>
            </w:r>
          </w:p>
        </w:tc>
        <w:tc>
          <w:tcPr>
            <w:tcW w:w="660" w:type="dxa"/>
            <w:vAlign w:val="bottom"/>
            <w:shd w:val="clear" w:color="auto" w:fill="F3F3F4"/>
          </w:tcPr>
          <w:p>
            <w:pPr>
              <w:spacing w:after="0"/>
              <w:rPr>
                <w:sz w:val="11"/>
                <w:szCs w:val="11"/>
                <w:color w:val="auto"/>
              </w:rPr>
            </w:pPr>
          </w:p>
        </w:tc>
        <w:tc>
          <w:tcPr>
            <w:tcW w:w="900" w:type="dxa"/>
            <w:vAlign w:val="bottom"/>
            <w:tcBorders>
              <w:right w:val="single" w:sz="8" w:color="auto"/>
            </w:tcBorders>
            <w:shd w:val="clear" w:color="auto" w:fill="F3F3F4"/>
          </w:tcPr>
          <w:p>
            <w:pPr>
              <w:spacing w:after="0"/>
              <w:rPr>
                <w:sz w:val="11"/>
                <w:szCs w:val="11"/>
                <w:color w:val="auto"/>
              </w:rPr>
            </w:pPr>
          </w:p>
        </w:tc>
        <w:tc>
          <w:tcPr>
            <w:tcW w:w="680" w:type="dxa"/>
            <w:vAlign w:val="bottom"/>
            <w:vMerge w:val="continue"/>
            <w:shd w:val="clear" w:color="auto" w:fill="F3F3F4"/>
          </w:tcPr>
          <w:p>
            <w:pPr>
              <w:spacing w:after="0"/>
              <w:rPr>
                <w:sz w:val="11"/>
                <w:szCs w:val="11"/>
                <w:color w:val="auto"/>
              </w:rPr>
            </w:pPr>
          </w:p>
        </w:tc>
        <w:tc>
          <w:tcPr>
            <w:tcW w:w="220" w:type="dxa"/>
            <w:vAlign w:val="bottom"/>
            <w:shd w:val="clear" w:color="auto" w:fill="F3F3F4"/>
          </w:tcPr>
          <w:p>
            <w:pPr>
              <w:spacing w:after="0"/>
              <w:rPr>
                <w:sz w:val="11"/>
                <w:szCs w:val="11"/>
                <w:color w:val="auto"/>
              </w:rPr>
            </w:pPr>
          </w:p>
        </w:tc>
        <w:tc>
          <w:tcPr>
            <w:tcW w:w="740" w:type="dxa"/>
            <w:vAlign w:val="bottom"/>
            <w:vMerge w:val="continue"/>
            <w:shd w:val="clear" w:color="auto" w:fill="F3F3F4"/>
          </w:tcPr>
          <w:p>
            <w:pPr>
              <w:spacing w:after="0"/>
              <w:rPr>
                <w:sz w:val="11"/>
                <w:szCs w:val="11"/>
                <w:color w:val="auto"/>
              </w:rPr>
            </w:pPr>
          </w:p>
        </w:tc>
        <w:tc>
          <w:tcPr>
            <w:tcW w:w="98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Number of</w:t>
            </w:r>
          </w:p>
        </w:tc>
        <w:tc>
          <w:tcPr>
            <w:tcW w:w="200" w:type="dxa"/>
            <w:vAlign w:val="bottom"/>
            <w:shd w:val="clear" w:color="auto" w:fill="F3F3F4"/>
          </w:tcPr>
          <w:p>
            <w:pPr>
              <w:spacing w:after="0"/>
              <w:rPr>
                <w:sz w:val="11"/>
                <w:szCs w:val="11"/>
                <w:color w:val="auto"/>
              </w:rPr>
            </w:pPr>
          </w:p>
        </w:tc>
        <w:tc>
          <w:tcPr>
            <w:tcW w:w="92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Payout Value</w:t>
            </w:r>
          </w:p>
        </w:tc>
        <w:tc>
          <w:tcPr>
            <w:tcW w:w="26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F3F3F4"/>
          </w:tcPr>
          <w:p>
            <w:pPr>
              <w:spacing w:after="0"/>
              <w:rPr>
                <w:sz w:val="11"/>
                <w:szCs w:val="11"/>
                <w:color w:val="auto"/>
              </w:rPr>
            </w:pPr>
          </w:p>
        </w:tc>
        <w:tc>
          <w:tcPr>
            <w:tcW w:w="840" w:type="dxa"/>
            <w:vAlign w:val="bottom"/>
            <w:shd w:val="clear" w:color="auto" w:fill="F3F3F4"/>
          </w:tcPr>
          <w:p>
            <w:pPr>
              <w:jc w:val="right"/>
              <w:ind w:right="38"/>
              <w:spacing w:after="0" w:line="135" w:lineRule="exact"/>
              <w:rPr>
                <w:sz w:val="20"/>
                <w:szCs w:val="20"/>
                <w:color w:val="auto"/>
              </w:rPr>
            </w:pPr>
            <w:r>
              <w:rPr>
                <w:rFonts w:ascii="Arial" w:cs="Arial" w:eastAsia="Arial" w:hAnsi="Arial"/>
                <w:sz w:val="12"/>
                <w:szCs w:val="12"/>
                <w:b w:val="1"/>
                <w:bCs w:val="1"/>
                <w:color w:val="auto"/>
              </w:rPr>
              <w:t>Number of</w:t>
            </w:r>
          </w:p>
        </w:tc>
        <w:tc>
          <w:tcPr>
            <w:tcW w:w="1000" w:type="dxa"/>
            <w:vAlign w:val="bottom"/>
            <w:vMerge w:val="continue"/>
            <w:shd w:val="clear" w:color="auto" w:fill="F3F3F4"/>
          </w:tcPr>
          <w:p>
            <w:pPr>
              <w:spacing w:after="0"/>
              <w:rPr>
                <w:sz w:val="11"/>
                <w:szCs w:val="11"/>
                <w:color w:val="auto"/>
              </w:rPr>
            </w:pPr>
          </w:p>
        </w:tc>
        <w:tc>
          <w:tcPr>
            <w:tcW w:w="90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Number of</w:t>
            </w:r>
          </w:p>
        </w:tc>
        <w:tc>
          <w:tcPr>
            <w:tcW w:w="660" w:type="dxa"/>
            <w:vAlign w:val="bottom"/>
            <w:shd w:val="clear" w:color="auto" w:fill="F3F3F4"/>
          </w:tcPr>
          <w:p>
            <w:pPr>
              <w:spacing w:after="0"/>
              <w:rPr>
                <w:sz w:val="11"/>
                <w:szCs w:val="11"/>
                <w:color w:val="auto"/>
              </w:rPr>
            </w:pPr>
          </w:p>
        </w:tc>
        <w:tc>
          <w:tcPr>
            <w:tcW w:w="900" w:type="dxa"/>
            <w:vAlign w:val="bottom"/>
            <w:tcBorders>
              <w:right w:val="single" w:sz="8" w:color="auto"/>
            </w:tcBorders>
            <w:shd w:val="clear" w:color="auto" w:fill="F3F3F4"/>
          </w:tcPr>
          <w:p>
            <w:pPr>
              <w:spacing w:after="0"/>
              <w:rPr>
                <w:sz w:val="11"/>
                <w:szCs w:val="11"/>
                <w:color w:val="auto"/>
              </w:rPr>
            </w:pPr>
          </w:p>
        </w:tc>
        <w:tc>
          <w:tcPr>
            <w:tcW w:w="68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w w:val="99"/>
              </w:rPr>
              <w:t>Shares or</w:t>
            </w:r>
          </w:p>
        </w:tc>
        <w:tc>
          <w:tcPr>
            <w:tcW w:w="220" w:type="dxa"/>
            <w:vAlign w:val="bottom"/>
            <w:shd w:val="clear" w:color="auto" w:fill="F3F3F4"/>
          </w:tcPr>
          <w:p>
            <w:pPr>
              <w:spacing w:after="0"/>
              <w:rPr>
                <w:sz w:val="11"/>
                <w:szCs w:val="11"/>
                <w:color w:val="auto"/>
              </w:rPr>
            </w:pPr>
          </w:p>
        </w:tc>
        <w:tc>
          <w:tcPr>
            <w:tcW w:w="740" w:type="dxa"/>
            <w:vAlign w:val="bottom"/>
            <w:shd w:val="clear" w:color="auto" w:fill="F3F3F4"/>
          </w:tcPr>
          <w:p>
            <w:pPr>
              <w:jc w:val="right"/>
              <w:ind w:right="17"/>
              <w:spacing w:after="0" w:line="135" w:lineRule="exact"/>
              <w:rPr>
                <w:sz w:val="20"/>
                <w:szCs w:val="20"/>
                <w:color w:val="auto"/>
              </w:rPr>
            </w:pPr>
            <w:r>
              <w:rPr>
                <w:rFonts w:ascii="Arial" w:cs="Arial" w:eastAsia="Arial" w:hAnsi="Arial"/>
                <w:sz w:val="13"/>
                <w:szCs w:val="13"/>
                <w:b w:val="1"/>
                <w:bCs w:val="1"/>
                <w:color w:val="auto"/>
              </w:rPr>
              <w:t>Value of</w:t>
            </w:r>
          </w:p>
        </w:tc>
        <w:tc>
          <w:tcPr>
            <w:tcW w:w="98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Unearned</w:t>
            </w:r>
          </w:p>
        </w:tc>
        <w:tc>
          <w:tcPr>
            <w:tcW w:w="200" w:type="dxa"/>
            <w:vAlign w:val="bottom"/>
            <w:shd w:val="clear" w:color="auto" w:fill="F3F3F4"/>
          </w:tcPr>
          <w:p>
            <w:pPr>
              <w:spacing w:after="0"/>
              <w:rPr>
                <w:sz w:val="11"/>
                <w:szCs w:val="11"/>
                <w:color w:val="auto"/>
              </w:rPr>
            </w:pPr>
          </w:p>
        </w:tc>
        <w:tc>
          <w:tcPr>
            <w:tcW w:w="92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of Unearned</w:t>
            </w:r>
          </w:p>
        </w:tc>
        <w:tc>
          <w:tcPr>
            <w:tcW w:w="26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F3F3F4"/>
          </w:tcPr>
          <w:p>
            <w:pPr>
              <w:spacing w:after="0"/>
              <w:rPr>
                <w:sz w:val="11"/>
                <w:szCs w:val="11"/>
                <w:color w:val="auto"/>
              </w:rPr>
            </w:pPr>
          </w:p>
        </w:tc>
        <w:tc>
          <w:tcPr>
            <w:tcW w:w="840" w:type="dxa"/>
            <w:vAlign w:val="bottom"/>
            <w:shd w:val="clear" w:color="auto" w:fill="F3F3F4"/>
          </w:tcPr>
          <w:p>
            <w:pPr>
              <w:jc w:val="right"/>
              <w:ind w:right="38"/>
              <w:spacing w:after="0" w:line="135" w:lineRule="exact"/>
              <w:rPr>
                <w:sz w:val="20"/>
                <w:szCs w:val="20"/>
                <w:color w:val="auto"/>
              </w:rPr>
            </w:pPr>
            <w:r>
              <w:rPr>
                <w:rFonts w:ascii="Arial" w:cs="Arial" w:eastAsia="Arial" w:hAnsi="Arial"/>
                <w:sz w:val="12"/>
                <w:szCs w:val="12"/>
                <w:b w:val="1"/>
                <w:bCs w:val="1"/>
                <w:color w:val="auto"/>
              </w:rPr>
              <w:t>Securities</w:t>
            </w:r>
          </w:p>
        </w:tc>
        <w:tc>
          <w:tcPr>
            <w:tcW w:w="100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Securities</w:t>
            </w:r>
          </w:p>
        </w:tc>
        <w:tc>
          <w:tcPr>
            <w:tcW w:w="90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Securities</w:t>
            </w:r>
          </w:p>
        </w:tc>
        <w:tc>
          <w:tcPr>
            <w:tcW w:w="660" w:type="dxa"/>
            <w:vAlign w:val="bottom"/>
            <w:shd w:val="clear" w:color="auto" w:fill="F3F3F4"/>
          </w:tcPr>
          <w:p>
            <w:pPr>
              <w:spacing w:after="0"/>
              <w:rPr>
                <w:sz w:val="11"/>
                <w:szCs w:val="11"/>
                <w:color w:val="auto"/>
              </w:rPr>
            </w:pPr>
          </w:p>
        </w:tc>
        <w:tc>
          <w:tcPr>
            <w:tcW w:w="900" w:type="dxa"/>
            <w:vAlign w:val="bottom"/>
            <w:tcBorders>
              <w:right w:val="single" w:sz="8" w:color="auto"/>
            </w:tcBorders>
            <w:shd w:val="clear" w:color="auto" w:fill="F3F3F4"/>
          </w:tcPr>
          <w:p>
            <w:pPr>
              <w:spacing w:after="0"/>
              <w:rPr>
                <w:sz w:val="11"/>
                <w:szCs w:val="11"/>
                <w:color w:val="auto"/>
              </w:rPr>
            </w:pPr>
          </w:p>
        </w:tc>
        <w:tc>
          <w:tcPr>
            <w:tcW w:w="68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Units of</w:t>
            </w:r>
          </w:p>
        </w:tc>
        <w:tc>
          <w:tcPr>
            <w:tcW w:w="220" w:type="dxa"/>
            <w:vAlign w:val="bottom"/>
            <w:shd w:val="clear" w:color="auto" w:fill="F3F3F4"/>
          </w:tcPr>
          <w:p>
            <w:pPr>
              <w:spacing w:after="0"/>
              <w:rPr>
                <w:sz w:val="11"/>
                <w:szCs w:val="11"/>
                <w:color w:val="auto"/>
              </w:rPr>
            </w:pPr>
          </w:p>
        </w:tc>
        <w:tc>
          <w:tcPr>
            <w:tcW w:w="740" w:type="dxa"/>
            <w:vAlign w:val="bottom"/>
            <w:shd w:val="clear" w:color="auto" w:fill="F3F3F4"/>
          </w:tcPr>
          <w:p>
            <w:pPr>
              <w:jc w:val="right"/>
              <w:ind w:right="17"/>
              <w:spacing w:after="0" w:line="135" w:lineRule="exact"/>
              <w:rPr>
                <w:sz w:val="20"/>
                <w:szCs w:val="20"/>
                <w:color w:val="auto"/>
              </w:rPr>
            </w:pPr>
            <w:r>
              <w:rPr>
                <w:rFonts w:ascii="Arial" w:cs="Arial" w:eastAsia="Arial" w:hAnsi="Arial"/>
                <w:sz w:val="13"/>
                <w:szCs w:val="13"/>
                <w:b w:val="1"/>
                <w:bCs w:val="1"/>
                <w:color w:val="auto"/>
              </w:rPr>
              <w:t>Shares or</w:t>
            </w:r>
          </w:p>
        </w:tc>
        <w:tc>
          <w:tcPr>
            <w:tcW w:w="98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Shares, Units,</w:t>
            </w:r>
          </w:p>
        </w:tc>
        <w:tc>
          <w:tcPr>
            <w:tcW w:w="200" w:type="dxa"/>
            <w:vAlign w:val="bottom"/>
            <w:shd w:val="clear" w:color="auto" w:fill="F3F3F4"/>
          </w:tcPr>
          <w:p>
            <w:pPr>
              <w:spacing w:after="0"/>
              <w:rPr>
                <w:sz w:val="11"/>
                <w:szCs w:val="11"/>
                <w:color w:val="auto"/>
              </w:rPr>
            </w:pPr>
          </w:p>
        </w:tc>
        <w:tc>
          <w:tcPr>
            <w:tcW w:w="92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26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F3F3F4"/>
          </w:tcPr>
          <w:p>
            <w:pPr>
              <w:spacing w:after="0"/>
              <w:rPr>
                <w:sz w:val="11"/>
                <w:szCs w:val="11"/>
                <w:color w:val="auto"/>
              </w:rPr>
            </w:pPr>
          </w:p>
        </w:tc>
        <w:tc>
          <w:tcPr>
            <w:tcW w:w="840" w:type="dxa"/>
            <w:vAlign w:val="bottom"/>
            <w:shd w:val="clear" w:color="auto" w:fill="F3F3F4"/>
          </w:tcPr>
          <w:p>
            <w:pPr>
              <w:jc w:val="right"/>
              <w:ind w:right="38"/>
              <w:spacing w:after="0" w:line="135" w:lineRule="exact"/>
              <w:rPr>
                <w:sz w:val="20"/>
                <w:szCs w:val="20"/>
                <w:color w:val="auto"/>
              </w:rPr>
            </w:pPr>
            <w:r>
              <w:rPr>
                <w:rFonts w:ascii="Arial" w:cs="Arial" w:eastAsia="Arial" w:hAnsi="Arial"/>
                <w:sz w:val="12"/>
                <w:szCs w:val="12"/>
                <w:b w:val="1"/>
                <w:bCs w:val="1"/>
                <w:color w:val="auto"/>
              </w:rPr>
              <w:t>Underlying</w:t>
            </w:r>
          </w:p>
        </w:tc>
        <w:tc>
          <w:tcPr>
            <w:tcW w:w="100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Underlying</w:t>
            </w:r>
          </w:p>
        </w:tc>
        <w:tc>
          <w:tcPr>
            <w:tcW w:w="90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Underlying</w:t>
            </w:r>
          </w:p>
        </w:tc>
        <w:tc>
          <w:tcPr>
            <w:tcW w:w="660" w:type="dxa"/>
            <w:vAlign w:val="bottom"/>
            <w:vMerge w:val="restart"/>
            <w:shd w:val="clear" w:color="auto" w:fill="F3F3F4"/>
          </w:tcPr>
          <w:p>
            <w:pPr>
              <w:jc w:val="right"/>
              <w:spacing w:after="0"/>
              <w:rPr>
                <w:sz w:val="20"/>
                <w:szCs w:val="20"/>
                <w:color w:val="auto"/>
              </w:rPr>
            </w:pPr>
            <w:r>
              <w:rPr>
                <w:rFonts w:ascii="Arial" w:cs="Arial" w:eastAsia="Arial" w:hAnsi="Arial"/>
                <w:sz w:val="13"/>
                <w:szCs w:val="13"/>
                <w:b w:val="1"/>
                <w:bCs w:val="1"/>
                <w:color w:val="auto"/>
              </w:rPr>
              <w:t>Option</w:t>
            </w:r>
          </w:p>
        </w:tc>
        <w:tc>
          <w:tcPr>
            <w:tcW w:w="900" w:type="dxa"/>
            <w:vAlign w:val="bottom"/>
            <w:tcBorders>
              <w:right w:val="single" w:sz="8" w:color="auto"/>
            </w:tcBorders>
            <w:shd w:val="clear" w:color="auto" w:fill="F3F3F4"/>
          </w:tcPr>
          <w:p>
            <w:pPr>
              <w:spacing w:after="0"/>
              <w:rPr>
                <w:sz w:val="11"/>
                <w:szCs w:val="11"/>
                <w:color w:val="auto"/>
              </w:rPr>
            </w:pPr>
          </w:p>
        </w:tc>
        <w:tc>
          <w:tcPr>
            <w:tcW w:w="680" w:type="dxa"/>
            <w:vAlign w:val="bottom"/>
            <w:shd w:val="clear" w:color="auto" w:fill="F3F3F4"/>
          </w:tcPr>
          <w:p>
            <w:pPr>
              <w:jc w:val="right"/>
              <w:ind w:right="17"/>
              <w:spacing w:after="0" w:line="135" w:lineRule="exact"/>
              <w:rPr>
                <w:sz w:val="20"/>
                <w:szCs w:val="20"/>
                <w:color w:val="auto"/>
              </w:rPr>
            </w:pPr>
            <w:r>
              <w:rPr>
                <w:rFonts w:ascii="Arial" w:cs="Arial" w:eastAsia="Arial" w:hAnsi="Arial"/>
                <w:sz w:val="13"/>
                <w:szCs w:val="13"/>
                <w:b w:val="1"/>
                <w:bCs w:val="1"/>
                <w:color w:val="auto"/>
              </w:rPr>
              <w:t>Stock</w:t>
            </w:r>
          </w:p>
        </w:tc>
        <w:tc>
          <w:tcPr>
            <w:tcW w:w="220" w:type="dxa"/>
            <w:vAlign w:val="bottom"/>
            <w:shd w:val="clear" w:color="auto" w:fill="F3F3F4"/>
          </w:tcPr>
          <w:p>
            <w:pPr>
              <w:spacing w:after="0"/>
              <w:rPr>
                <w:sz w:val="11"/>
                <w:szCs w:val="11"/>
                <w:color w:val="auto"/>
              </w:rPr>
            </w:pPr>
          </w:p>
        </w:tc>
        <w:tc>
          <w:tcPr>
            <w:tcW w:w="740" w:type="dxa"/>
            <w:vAlign w:val="bottom"/>
            <w:shd w:val="clear" w:color="auto" w:fill="F3F3F4"/>
          </w:tcPr>
          <w:p>
            <w:pPr>
              <w:jc w:val="right"/>
              <w:ind w:right="17"/>
              <w:spacing w:after="0" w:line="135" w:lineRule="exact"/>
              <w:rPr>
                <w:sz w:val="20"/>
                <w:szCs w:val="20"/>
                <w:color w:val="auto"/>
              </w:rPr>
            </w:pPr>
            <w:r>
              <w:rPr>
                <w:rFonts w:ascii="Arial" w:cs="Arial" w:eastAsia="Arial" w:hAnsi="Arial"/>
                <w:sz w:val="13"/>
                <w:szCs w:val="13"/>
                <w:b w:val="1"/>
                <w:bCs w:val="1"/>
                <w:color w:val="auto"/>
              </w:rPr>
              <w:t>Units of</w:t>
            </w:r>
          </w:p>
        </w:tc>
        <w:tc>
          <w:tcPr>
            <w:tcW w:w="98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or Other</w:t>
            </w:r>
          </w:p>
        </w:tc>
        <w:tc>
          <w:tcPr>
            <w:tcW w:w="200" w:type="dxa"/>
            <w:vAlign w:val="bottom"/>
            <w:shd w:val="clear" w:color="auto" w:fill="F3F3F4"/>
          </w:tcPr>
          <w:p>
            <w:pPr>
              <w:spacing w:after="0"/>
              <w:rPr>
                <w:sz w:val="11"/>
                <w:szCs w:val="11"/>
                <w:color w:val="auto"/>
              </w:rPr>
            </w:pPr>
          </w:p>
        </w:tc>
        <w:tc>
          <w:tcPr>
            <w:tcW w:w="92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or Other</w:t>
            </w:r>
          </w:p>
        </w:tc>
        <w:tc>
          <w:tcPr>
            <w:tcW w:w="26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F3F3F4"/>
          </w:tcPr>
          <w:p>
            <w:pPr>
              <w:spacing w:after="0"/>
              <w:rPr>
                <w:sz w:val="11"/>
                <w:szCs w:val="11"/>
                <w:color w:val="auto"/>
              </w:rPr>
            </w:pPr>
          </w:p>
        </w:tc>
        <w:tc>
          <w:tcPr>
            <w:tcW w:w="840" w:type="dxa"/>
            <w:vAlign w:val="bottom"/>
            <w:shd w:val="clear" w:color="auto" w:fill="F3F3F4"/>
          </w:tcPr>
          <w:p>
            <w:pPr>
              <w:jc w:val="right"/>
              <w:ind w:right="38"/>
              <w:spacing w:after="0" w:line="135" w:lineRule="exact"/>
              <w:rPr>
                <w:sz w:val="20"/>
                <w:szCs w:val="20"/>
                <w:color w:val="auto"/>
              </w:rPr>
            </w:pPr>
            <w:r>
              <w:rPr>
                <w:rFonts w:ascii="Arial" w:cs="Arial" w:eastAsia="Arial" w:hAnsi="Arial"/>
                <w:sz w:val="12"/>
                <w:szCs w:val="12"/>
                <w:b w:val="1"/>
                <w:bCs w:val="1"/>
                <w:color w:val="auto"/>
              </w:rPr>
              <w:t>Unexercised</w:t>
            </w:r>
          </w:p>
        </w:tc>
        <w:tc>
          <w:tcPr>
            <w:tcW w:w="100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Unexercised</w:t>
            </w:r>
          </w:p>
        </w:tc>
        <w:tc>
          <w:tcPr>
            <w:tcW w:w="90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Unexercised</w:t>
            </w:r>
          </w:p>
        </w:tc>
        <w:tc>
          <w:tcPr>
            <w:tcW w:w="660" w:type="dxa"/>
            <w:vAlign w:val="bottom"/>
            <w:vMerge w:val="continue"/>
            <w:shd w:val="clear" w:color="auto" w:fill="F3F3F4"/>
          </w:tcPr>
          <w:p>
            <w:pPr>
              <w:spacing w:after="0"/>
              <w:rPr>
                <w:sz w:val="11"/>
                <w:szCs w:val="11"/>
                <w:color w:val="auto"/>
              </w:rPr>
            </w:pPr>
          </w:p>
        </w:tc>
        <w:tc>
          <w:tcPr>
            <w:tcW w:w="900" w:type="dxa"/>
            <w:vAlign w:val="bottom"/>
            <w:tcBorders>
              <w:right w:val="single" w:sz="8" w:color="auto"/>
            </w:tcBorders>
            <w:vMerge w:val="restart"/>
            <w:shd w:val="clear" w:color="auto" w:fill="F3F3F4"/>
          </w:tcPr>
          <w:p>
            <w:pPr>
              <w:jc w:val="right"/>
              <w:ind w:right="137"/>
              <w:spacing w:after="0"/>
              <w:rPr>
                <w:sz w:val="20"/>
                <w:szCs w:val="20"/>
                <w:color w:val="auto"/>
              </w:rPr>
            </w:pPr>
            <w:r>
              <w:rPr>
                <w:rFonts w:ascii="Arial" w:cs="Arial" w:eastAsia="Arial" w:hAnsi="Arial"/>
                <w:sz w:val="13"/>
                <w:szCs w:val="13"/>
                <w:b w:val="1"/>
                <w:bCs w:val="1"/>
                <w:color w:val="auto"/>
              </w:rPr>
              <w:t>Option</w:t>
            </w:r>
          </w:p>
        </w:tc>
        <w:tc>
          <w:tcPr>
            <w:tcW w:w="68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That</w:t>
            </w:r>
          </w:p>
        </w:tc>
        <w:tc>
          <w:tcPr>
            <w:tcW w:w="220" w:type="dxa"/>
            <w:vAlign w:val="bottom"/>
            <w:shd w:val="clear" w:color="auto" w:fill="F3F3F4"/>
          </w:tcPr>
          <w:p>
            <w:pPr>
              <w:spacing w:after="0"/>
              <w:rPr>
                <w:sz w:val="11"/>
                <w:szCs w:val="11"/>
                <w:color w:val="auto"/>
              </w:rPr>
            </w:pPr>
          </w:p>
        </w:tc>
        <w:tc>
          <w:tcPr>
            <w:tcW w:w="740" w:type="dxa"/>
            <w:vAlign w:val="bottom"/>
            <w:shd w:val="clear" w:color="auto" w:fill="F3F3F4"/>
          </w:tcPr>
          <w:p>
            <w:pPr>
              <w:jc w:val="right"/>
              <w:ind w:right="17"/>
              <w:spacing w:after="0" w:line="135" w:lineRule="exact"/>
              <w:rPr>
                <w:sz w:val="20"/>
                <w:szCs w:val="20"/>
                <w:color w:val="auto"/>
              </w:rPr>
            </w:pPr>
            <w:r>
              <w:rPr>
                <w:rFonts w:ascii="Arial" w:cs="Arial" w:eastAsia="Arial" w:hAnsi="Arial"/>
                <w:sz w:val="13"/>
                <w:szCs w:val="13"/>
                <w:b w:val="1"/>
                <w:bCs w:val="1"/>
                <w:color w:val="auto"/>
                <w:w w:val="96"/>
              </w:rPr>
              <w:t>Stock That</w:t>
            </w:r>
          </w:p>
        </w:tc>
        <w:tc>
          <w:tcPr>
            <w:tcW w:w="98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Rights That</w:t>
            </w:r>
          </w:p>
        </w:tc>
        <w:tc>
          <w:tcPr>
            <w:tcW w:w="200" w:type="dxa"/>
            <w:vAlign w:val="bottom"/>
            <w:shd w:val="clear" w:color="auto" w:fill="F3F3F4"/>
          </w:tcPr>
          <w:p>
            <w:pPr>
              <w:spacing w:after="0"/>
              <w:rPr>
                <w:sz w:val="11"/>
                <w:szCs w:val="11"/>
                <w:color w:val="auto"/>
              </w:rPr>
            </w:pPr>
          </w:p>
        </w:tc>
        <w:tc>
          <w:tcPr>
            <w:tcW w:w="920" w:type="dxa"/>
            <w:vAlign w:val="bottom"/>
            <w:shd w:val="clear" w:color="auto" w:fill="F3F3F4"/>
          </w:tcPr>
          <w:p>
            <w:pPr>
              <w:jc w:val="right"/>
              <w:spacing w:after="0" w:line="135" w:lineRule="exact"/>
              <w:rPr>
                <w:sz w:val="20"/>
                <w:szCs w:val="20"/>
                <w:color w:val="auto"/>
              </w:rPr>
            </w:pPr>
            <w:r>
              <w:rPr>
                <w:rFonts w:ascii="Arial" w:cs="Arial" w:eastAsia="Arial" w:hAnsi="Arial"/>
                <w:sz w:val="13"/>
                <w:szCs w:val="13"/>
                <w:b w:val="1"/>
                <w:bCs w:val="1"/>
                <w:color w:val="auto"/>
              </w:rPr>
              <w:t>Rights That</w:t>
            </w:r>
          </w:p>
        </w:tc>
        <w:tc>
          <w:tcPr>
            <w:tcW w:w="260" w:type="dxa"/>
            <w:vAlign w:val="bottom"/>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420" w:type="dxa"/>
            <w:vAlign w:val="bottom"/>
            <w:shd w:val="clear" w:color="auto" w:fill="F3F3F4"/>
          </w:tcPr>
          <w:p>
            <w:pPr>
              <w:spacing w:after="0"/>
              <w:rPr>
                <w:sz w:val="10"/>
                <w:szCs w:val="10"/>
                <w:color w:val="auto"/>
              </w:rPr>
            </w:pPr>
          </w:p>
        </w:tc>
        <w:tc>
          <w:tcPr>
            <w:tcW w:w="840" w:type="dxa"/>
            <w:vAlign w:val="bottom"/>
            <w:shd w:val="clear" w:color="auto" w:fill="F3F3F4"/>
          </w:tcPr>
          <w:p>
            <w:pPr>
              <w:jc w:val="right"/>
              <w:ind w:right="38"/>
              <w:spacing w:after="0" w:line="126" w:lineRule="exact"/>
              <w:rPr>
                <w:sz w:val="20"/>
                <w:szCs w:val="20"/>
                <w:color w:val="auto"/>
              </w:rPr>
            </w:pPr>
            <w:r>
              <w:rPr>
                <w:rFonts w:ascii="Arial" w:cs="Arial" w:eastAsia="Arial" w:hAnsi="Arial"/>
                <w:sz w:val="12"/>
                <w:szCs w:val="12"/>
                <w:b w:val="1"/>
                <w:bCs w:val="1"/>
                <w:color w:val="auto"/>
              </w:rPr>
              <w:t>Options</w:t>
            </w:r>
          </w:p>
        </w:tc>
        <w:tc>
          <w:tcPr>
            <w:tcW w:w="1000" w:type="dxa"/>
            <w:vAlign w:val="bottom"/>
            <w:shd w:val="clear" w:color="auto" w:fill="F3F3F4"/>
          </w:tcPr>
          <w:p>
            <w:pPr>
              <w:jc w:val="right"/>
              <w:spacing w:after="0" w:line="126" w:lineRule="exact"/>
              <w:rPr>
                <w:sz w:val="20"/>
                <w:szCs w:val="20"/>
                <w:color w:val="auto"/>
              </w:rPr>
            </w:pPr>
            <w:r>
              <w:rPr>
                <w:rFonts w:ascii="Arial" w:cs="Arial" w:eastAsia="Arial" w:hAnsi="Arial"/>
                <w:sz w:val="13"/>
                <w:szCs w:val="13"/>
                <w:b w:val="1"/>
                <w:bCs w:val="1"/>
                <w:color w:val="auto"/>
              </w:rPr>
              <w:t>Options</w:t>
            </w:r>
          </w:p>
        </w:tc>
        <w:tc>
          <w:tcPr>
            <w:tcW w:w="900" w:type="dxa"/>
            <w:vAlign w:val="bottom"/>
            <w:shd w:val="clear" w:color="auto" w:fill="F3F3F4"/>
          </w:tcPr>
          <w:p>
            <w:pPr>
              <w:jc w:val="right"/>
              <w:spacing w:after="0" w:line="126" w:lineRule="exact"/>
              <w:rPr>
                <w:sz w:val="20"/>
                <w:szCs w:val="20"/>
                <w:color w:val="auto"/>
              </w:rPr>
            </w:pPr>
            <w:r>
              <w:rPr>
                <w:rFonts w:ascii="Arial" w:cs="Arial" w:eastAsia="Arial" w:hAnsi="Arial"/>
                <w:sz w:val="13"/>
                <w:szCs w:val="13"/>
                <w:b w:val="1"/>
                <w:bCs w:val="1"/>
                <w:color w:val="auto"/>
              </w:rPr>
              <w:t>Unearned</w:t>
            </w:r>
          </w:p>
        </w:tc>
        <w:tc>
          <w:tcPr>
            <w:tcW w:w="660" w:type="dxa"/>
            <w:vAlign w:val="bottom"/>
            <w:shd w:val="clear" w:color="auto" w:fill="F3F3F4"/>
          </w:tcPr>
          <w:p>
            <w:pPr>
              <w:jc w:val="right"/>
              <w:spacing w:after="0" w:line="126" w:lineRule="exact"/>
              <w:rPr>
                <w:sz w:val="20"/>
                <w:szCs w:val="20"/>
                <w:color w:val="auto"/>
              </w:rPr>
            </w:pPr>
            <w:r>
              <w:rPr>
                <w:rFonts w:ascii="Arial" w:cs="Arial" w:eastAsia="Arial" w:hAnsi="Arial"/>
                <w:sz w:val="13"/>
                <w:szCs w:val="13"/>
                <w:b w:val="1"/>
                <w:bCs w:val="1"/>
                <w:color w:val="auto"/>
              </w:rPr>
              <w:t>Exercise</w:t>
            </w:r>
          </w:p>
        </w:tc>
        <w:tc>
          <w:tcPr>
            <w:tcW w:w="900" w:type="dxa"/>
            <w:vAlign w:val="bottom"/>
            <w:tcBorders>
              <w:right w:val="single" w:sz="8" w:color="auto"/>
            </w:tcBorders>
            <w:vMerge w:val="continue"/>
            <w:shd w:val="clear" w:color="auto" w:fill="F3F3F4"/>
          </w:tcPr>
          <w:p>
            <w:pPr>
              <w:spacing w:after="0"/>
              <w:rPr>
                <w:sz w:val="10"/>
                <w:szCs w:val="10"/>
                <w:color w:val="auto"/>
              </w:rPr>
            </w:pPr>
          </w:p>
        </w:tc>
        <w:tc>
          <w:tcPr>
            <w:tcW w:w="680" w:type="dxa"/>
            <w:vAlign w:val="bottom"/>
            <w:shd w:val="clear" w:color="auto" w:fill="F3F3F4"/>
          </w:tcPr>
          <w:p>
            <w:pPr>
              <w:jc w:val="right"/>
              <w:spacing w:after="0" w:line="126" w:lineRule="exact"/>
              <w:rPr>
                <w:sz w:val="20"/>
                <w:szCs w:val="20"/>
                <w:color w:val="auto"/>
              </w:rPr>
            </w:pPr>
            <w:r>
              <w:rPr>
                <w:rFonts w:ascii="Arial" w:cs="Arial" w:eastAsia="Arial" w:hAnsi="Arial"/>
                <w:sz w:val="13"/>
                <w:szCs w:val="13"/>
                <w:b w:val="1"/>
                <w:bCs w:val="1"/>
                <w:color w:val="auto"/>
              </w:rPr>
              <w:t>Have Not</w:t>
            </w:r>
          </w:p>
        </w:tc>
        <w:tc>
          <w:tcPr>
            <w:tcW w:w="220" w:type="dxa"/>
            <w:vAlign w:val="bottom"/>
            <w:shd w:val="clear" w:color="auto" w:fill="F3F3F4"/>
          </w:tcPr>
          <w:p>
            <w:pPr>
              <w:spacing w:after="0"/>
              <w:rPr>
                <w:sz w:val="10"/>
                <w:szCs w:val="10"/>
                <w:color w:val="auto"/>
              </w:rPr>
            </w:pPr>
          </w:p>
        </w:tc>
        <w:tc>
          <w:tcPr>
            <w:tcW w:w="740" w:type="dxa"/>
            <w:vAlign w:val="bottom"/>
            <w:shd w:val="clear" w:color="auto" w:fill="F3F3F4"/>
          </w:tcPr>
          <w:p>
            <w:pPr>
              <w:jc w:val="right"/>
              <w:ind w:right="17"/>
              <w:spacing w:after="0" w:line="126" w:lineRule="exact"/>
              <w:rPr>
                <w:sz w:val="20"/>
                <w:szCs w:val="20"/>
                <w:color w:val="auto"/>
              </w:rPr>
            </w:pPr>
            <w:r>
              <w:rPr>
                <w:rFonts w:ascii="Arial" w:cs="Arial" w:eastAsia="Arial" w:hAnsi="Arial"/>
                <w:sz w:val="13"/>
                <w:szCs w:val="13"/>
                <w:b w:val="1"/>
                <w:bCs w:val="1"/>
                <w:color w:val="auto"/>
              </w:rPr>
              <w:t>Have Not</w:t>
            </w:r>
          </w:p>
        </w:tc>
        <w:tc>
          <w:tcPr>
            <w:tcW w:w="980" w:type="dxa"/>
            <w:vAlign w:val="bottom"/>
            <w:shd w:val="clear" w:color="auto" w:fill="F3F3F4"/>
          </w:tcPr>
          <w:p>
            <w:pPr>
              <w:jc w:val="right"/>
              <w:spacing w:after="0" w:line="126" w:lineRule="exact"/>
              <w:rPr>
                <w:sz w:val="20"/>
                <w:szCs w:val="20"/>
                <w:color w:val="auto"/>
              </w:rPr>
            </w:pPr>
            <w:r>
              <w:rPr>
                <w:rFonts w:ascii="Arial" w:cs="Arial" w:eastAsia="Arial" w:hAnsi="Arial"/>
                <w:sz w:val="13"/>
                <w:szCs w:val="13"/>
                <w:b w:val="1"/>
                <w:bCs w:val="1"/>
                <w:color w:val="auto"/>
              </w:rPr>
              <w:t>Have Not</w:t>
            </w:r>
          </w:p>
        </w:tc>
        <w:tc>
          <w:tcPr>
            <w:tcW w:w="200" w:type="dxa"/>
            <w:vAlign w:val="bottom"/>
            <w:shd w:val="clear" w:color="auto" w:fill="F3F3F4"/>
          </w:tcPr>
          <w:p>
            <w:pPr>
              <w:spacing w:after="0"/>
              <w:rPr>
                <w:sz w:val="10"/>
                <w:szCs w:val="10"/>
                <w:color w:val="auto"/>
              </w:rPr>
            </w:pPr>
          </w:p>
        </w:tc>
        <w:tc>
          <w:tcPr>
            <w:tcW w:w="920" w:type="dxa"/>
            <w:vAlign w:val="bottom"/>
            <w:shd w:val="clear" w:color="auto" w:fill="F3F3F4"/>
          </w:tcPr>
          <w:p>
            <w:pPr>
              <w:jc w:val="right"/>
              <w:spacing w:after="0" w:line="126" w:lineRule="exact"/>
              <w:rPr>
                <w:sz w:val="20"/>
                <w:szCs w:val="20"/>
                <w:color w:val="auto"/>
              </w:rPr>
            </w:pPr>
            <w:r>
              <w:rPr>
                <w:rFonts w:ascii="Arial" w:cs="Arial" w:eastAsia="Arial" w:hAnsi="Arial"/>
                <w:sz w:val="13"/>
                <w:szCs w:val="13"/>
                <w:b w:val="1"/>
                <w:bCs w:val="1"/>
                <w:color w:val="auto"/>
              </w:rPr>
              <w:t>Have Not</w:t>
            </w:r>
          </w:p>
        </w:tc>
        <w:tc>
          <w:tcPr>
            <w:tcW w:w="260" w:type="dxa"/>
            <w:vAlign w:val="bottom"/>
            <w:shd w:val="clear" w:color="auto" w:fill="F3F3F4"/>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20" w:type="dxa"/>
            <w:vAlign w:val="bottom"/>
            <w:vMerge w:val="restart"/>
            <w:shd w:val="clear" w:color="auto" w:fill="F3F3F4"/>
          </w:tcPr>
          <w:p>
            <w:pPr>
              <w:spacing w:after="0"/>
              <w:rPr>
                <w:sz w:val="20"/>
                <w:szCs w:val="20"/>
                <w:color w:val="auto"/>
              </w:rPr>
            </w:pPr>
            <w:r>
              <w:rPr>
                <w:rFonts w:ascii="Arial" w:cs="Arial" w:eastAsia="Arial" w:hAnsi="Arial"/>
                <w:sz w:val="13"/>
                <w:szCs w:val="13"/>
                <w:b w:val="1"/>
                <w:bCs w:val="1"/>
                <w:color w:val="auto"/>
              </w:rPr>
              <w:t>Name</w:t>
            </w:r>
          </w:p>
        </w:tc>
        <w:tc>
          <w:tcPr>
            <w:tcW w:w="840" w:type="dxa"/>
            <w:vAlign w:val="bottom"/>
            <w:shd w:val="clear" w:color="auto" w:fill="F3F3F4"/>
          </w:tcPr>
          <w:p>
            <w:pPr>
              <w:jc w:val="right"/>
              <w:ind w:right="38"/>
              <w:spacing w:after="0"/>
              <w:rPr>
                <w:sz w:val="20"/>
                <w:szCs w:val="20"/>
                <w:color w:val="auto"/>
              </w:rPr>
            </w:pPr>
            <w:r>
              <w:rPr>
                <w:rFonts w:ascii="Arial" w:cs="Arial" w:eastAsia="Arial" w:hAnsi="Arial"/>
                <w:sz w:val="12"/>
                <w:szCs w:val="12"/>
                <w:b w:val="1"/>
                <w:bCs w:val="1"/>
                <w:color w:val="auto"/>
              </w:rPr>
              <w:t>Exercisable</w:t>
            </w:r>
          </w:p>
        </w:tc>
        <w:tc>
          <w:tcPr>
            <w:tcW w:w="1000" w:type="dxa"/>
            <w:vAlign w:val="bottom"/>
            <w:shd w:val="clear" w:color="auto" w:fill="F3F3F4"/>
          </w:tcPr>
          <w:p>
            <w:pPr>
              <w:jc w:val="right"/>
              <w:spacing w:after="0" w:line="144" w:lineRule="exact"/>
              <w:rPr>
                <w:sz w:val="20"/>
                <w:szCs w:val="20"/>
                <w:color w:val="auto"/>
              </w:rPr>
            </w:pPr>
            <w:r>
              <w:rPr>
                <w:rFonts w:ascii="Arial" w:cs="Arial" w:eastAsia="Arial" w:hAnsi="Arial"/>
                <w:sz w:val="13"/>
                <w:szCs w:val="13"/>
                <w:b w:val="1"/>
                <w:bCs w:val="1"/>
                <w:color w:val="auto"/>
              </w:rPr>
              <w:t>Unexercisable</w:t>
            </w:r>
          </w:p>
        </w:tc>
        <w:tc>
          <w:tcPr>
            <w:tcW w:w="900" w:type="dxa"/>
            <w:vAlign w:val="bottom"/>
            <w:shd w:val="clear" w:color="auto" w:fill="F3F3F4"/>
          </w:tcPr>
          <w:p>
            <w:pPr>
              <w:jc w:val="right"/>
              <w:spacing w:after="0" w:line="144" w:lineRule="exact"/>
              <w:rPr>
                <w:sz w:val="20"/>
                <w:szCs w:val="20"/>
                <w:color w:val="auto"/>
              </w:rPr>
            </w:pPr>
            <w:r>
              <w:rPr>
                <w:rFonts w:ascii="Arial" w:cs="Arial" w:eastAsia="Arial" w:hAnsi="Arial"/>
                <w:sz w:val="13"/>
                <w:szCs w:val="13"/>
                <w:b w:val="1"/>
                <w:bCs w:val="1"/>
                <w:color w:val="auto"/>
              </w:rPr>
              <w:t>Options</w:t>
            </w:r>
          </w:p>
        </w:tc>
        <w:tc>
          <w:tcPr>
            <w:tcW w:w="660" w:type="dxa"/>
            <w:vAlign w:val="bottom"/>
            <w:shd w:val="clear" w:color="auto" w:fill="F3F3F4"/>
          </w:tcPr>
          <w:p>
            <w:pPr>
              <w:jc w:val="right"/>
              <w:spacing w:after="0" w:line="144" w:lineRule="exact"/>
              <w:rPr>
                <w:sz w:val="20"/>
                <w:szCs w:val="20"/>
                <w:color w:val="auto"/>
              </w:rPr>
            </w:pPr>
            <w:r>
              <w:rPr>
                <w:rFonts w:ascii="Arial" w:cs="Arial" w:eastAsia="Arial" w:hAnsi="Arial"/>
                <w:sz w:val="13"/>
                <w:szCs w:val="13"/>
                <w:b w:val="1"/>
                <w:bCs w:val="1"/>
                <w:color w:val="auto"/>
              </w:rPr>
              <w:t>Price</w:t>
            </w:r>
          </w:p>
        </w:tc>
        <w:tc>
          <w:tcPr>
            <w:tcW w:w="900" w:type="dxa"/>
            <w:vAlign w:val="bottom"/>
            <w:tcBorders>
              <w:right w:val="single" w:sz="8" w:color="auto"/>
            </w:tcBorders>
            <w:shd w:val="clear" w:color="auto" w:fill="F3F3F4"/>
          </w:tcPr>
          <w:p>
            <w:pPr>
              <w:jc w:val="right"/>
              <w:ind w:right="137"/>
              <w:spacing w:after="0" w:line="144" w:lineRule="exact"/>
              <w:rPr>
                <w:sz w:val="20"/>
                <w:szCs w:val="20"/>
                <w:color w:val="auto"/>
              </w:rPr>
            </w:pPr>
            <w:r>
              <w:rPr>
                <w:rFonts w:ascii="Arial" w:cs="Arial" w:eastAsia="Arial" w:hAnsi="Arial"/>
                <w:sz w:val="13"/>
                <w:szCs w:val="13"/>
                <w:b w:val="1"/>
                <w:bCs w:val="1"/>
                <w:color w:val="auto"/>
              </w:rPr>
              <w:t>Expiration</w:t>
            </w:r>
          </w:p>
        </w:tc>
        <w:tc>
          <w:tcPr>
            <w:tcW w:w="680" w:type="dxa"/>
            <w:vAlign w:val="bottom"/>
            <w:shd w:val="clear" w:color="auto" w:fill="F3F3F4"/>
          </w:tcPr>
          <w:p>
            <w:pPr>
              <w:jc w:val="right"/>
              <w:spacing w:after="0" w:line="144" w:lineRule="exact"/>
              <w:rPr>
                <w:sz w:val="20"/>
                <w:szCs w:val="20"/>
                <w:color w:val="auto"/>
              </w:rPr>
            </w:pPr>
            <w:r>
              <w:rPr>
                <w:rFonts w:ascii="Arial" w:cs="Arial" w:eastAsia="Arial" w:hAnsi="Arial"/>
                <w:sz w:val="13"/>
                <w:szCs w:val="13"/>
                <w:b w:val="1"/>
                <w:bCs w:val="1"/>
                <w:color w:val="auto"/>
              </w:rPr>
              <w:t>Vested</w:t>
            </w:r>
          </w:p>
        </w:tc>
        <w:tc>
          <w:tcPr>
            <w:tcW w:w="220" w:type="dxa"/>
            <w:vAlign w:val="bottom"/>
            <w:shd w:val="clear" w:color="auto" w:fill="F3F3F4"/>
          </w:tcPr>
          <w:p>
            <w:pPr>
              <w:spacing w:after="0"/>
              <w:rPr>
                <w:sz w:val="12"/>
                <w:szCs w:val="12"/>
                <w:color w:val="auto"/>
              </w:rPr>
            </w:pPr>
          </w:p>
        </w:tc>
        <w:tc>
          <w:tcPr>
            <w:tcW w:w="740" w:type="dxa"/>
            <w:vAlign w:val="bottom"/>
            <w:shd w:val="clear" w:color="auto" w:fill="F3F3F4"/>
          </w:tcPr>
          <w:p>
            <w:pPr>
              <w:jc w:val="right"/>
              <w:ind w:right="17"/>
              <w:spacing w:after="0" w:line="144"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16"/>
                <w:szCs w:val="16"/>
                <w:color w:val="auto"/>
                <w:vertAlign w:val="superscript"/>
              </w:rPr>
              <w:t>(1)</w:t>
            </w:r>
          </w:p>
        </w:tc>
        <w:tc>
          <w:tcPr>
            <w:tcW w:w="980" w:type="dxa"/>
            <w:vAlign w:val="bottom"/>
            <w:shd w:val="clear" w:color="auto" w:fill="F3F3F4"/>
          </w:tcPr>
          <w:p>
            <w:pPr>
              <w:jc w:val="right"/>
              <w:spacing w:after="0" w:line="144" w:lineRule="exact"/>
              <w:rPr>
                <w:sz w:val="20"/>
                <w:szCs w:val="20"/>
                <w:color w:val="auto"/>
              </w:rPr>
            </w:pPr>
            <w:r>
              <w:rPr>
                <w:rFonts w:ascii="Arial" w:cs="Arial" w:eastAsia="Arial" w:hAnsi="Arial"/>
                <w:sz w:val="13"/>
                <w:szCs w:val="13"/>
                <w:b w:val="1"/>
                <w:bCs w:val="1"/>
                <w:color w:val="auto"/>
              </w:rPr>
              <w:t>Vested</w:t>
            </w:r>
          </w:p>
        </w:tc>
        <w:tc>
          <w:tcPr>
            <w:tcW w:w="200" w:type="dxa"/>
            <w:vAlign w:val="bottom"/>
            <w:shd w:val="clear" w:color="auto" w:fill="F3F3F4"/>
          </w:tcPr>
          <w:p>
            <w:pPr>
              <w:spacing w:after="0"/>
              <w:rPr>
                <w:sz w:val="12"/>
                <w:szCs w:val="12"/>
                <w:color w:val="auto"/>
              </w:rPr>
            </w:pPr>
          </w:p>
        </w:tc>
        <w:tc>
          <w:tcPr>
            <w:tcW w:w="920" w:type="dxa"/>
            <w:vAlign w:val="bottom"/>
            <w:shd w:val="clear" w:color="auto" w:fill="F3F3F4"/>
          </w:tcPr>
          <w:p>
            <w:pPr>
              <w:jc w:val="right"/>
              <w:spacing w:after="0" w:line="144" w:lineRule="exact"/>
              <w:rPr>
                <w:sz w:val="20"/>
                <w:szCs w:val="20"/>
                <w:color w:val="auto"/>
              </w:rPr>
            </w:pPr>
            <w:r>
              <w:rPr>
                <w:rFonts w:ascii="Arial" w:cs="Arial" w:eastAsia="Arial" w:hAnsi="Arial"/>
                <w:sz w:val="13"/>
                <w:szCs w:val="13"/>
                <w:b w:val="1"/>
                <w:bCs w:val="1"/>
                <w:color w:val="auto"/>
              </w:rPr>
              <w:t>Vested</w:t>
            </w:r>
            <w:r>
              <w:rPr>
                <w:rFonts w:ascii="Arial" w:cs="Arial" w:eastAsia="Arial" w:hAnsi="Arial"/>
                <w:sz w:val="16"/>
                <w:szCs w:val="16"/>
                <w:color w:val="auto"/>
                <w:vertAlign w:val="superscript"/>
              </w:rPr>
              <w:t>(1)</w:t>
            </w:r>
          </w:p>
        </w:tc>
        <w:tc>
          <w:tcPr>
            <w:tcW w:w="260" w:type="dxa"/>
            <w:vAlign w:val="bottom"/>
            <w:shd w:val="clear" w:color="auto" w:fill="F3F3F4"/>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20" w:type="dxa"/>
            <w:vAlign w:val="bottom"/>
            <w:tcBorders>
              <w:bottom w:val="single" w:sz="8" w:color="auto"/>
            </w:tcBorders>
            <w:vMerge w:val="continue"/>
            <w:shd w:val="clear" w:color="auto" w:fill="F3F3F4"/>
          </w:tcPr>
          <w:p>
            <w:pPr>
              <w:spacing w:after="0"/>
              <w:rPr>
                <w:sz w:val="13"/>
                <w:szCs w:val="13"/>
                <w:color w:val="auto"/>
              </w:rPr>
            </w:pPr>
          </w:p>
        </w:tc>
        <w:tc>
          <w:tcPr>
            <w:tcW w:w="840" w:type="dxa"/>
            <w:vAlign w:val="bottom"/>
            <w:tcBorders>
              <w:bottom w:val="single" w:sz="8" w:color="auto"/>
            </w:tcBorders>
            <w:shd w:val="clear" w:color="auto" w:fill="F3F3F4"/>
          </w:tcPr>
          <w:p>
            <w:pPr>
              <w:jc w:val="right"/>
              <w:ind w:right="38"/>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right w:val="single" w:sz="8" w:color="auto"/>
            </w:tcBorders>
            <w:shd w:val="clear" w:color="auto" w:fill="F3F3F4"/>
          </w:tcPr>
          <w:p>
            <w:pPr>
              <w:jc w:val="right"/>
              <w:ind w:right="137"/>
              <w:spacing w:after="0"/>
              <w:rPr>
                <w:sz w:val="20"/>
                <w:szCs w:val="20"/>
                <w:color w:val="auto"/>
              </w:rPr>
            </w:pPr>
            <w:r>
              <w:rPr>
                <w:rFonts w:ascii="Arial" w:cs="Arial" w:eastAsia="Arial" w:hAnsi="Arial"/>
                <w:sz w:val="13"/>
                <w:szCs w:val="13"/>
                <w:b w:val="1"/>
                <w:bCs w:val="1"/>
                <w:color w:val="auto"/>
              </w:rPr>
              <w:t>Date</w:t>
            </w:r>
          </w:p>
        </w:tc>
        <w:tc>
          <w:tcPr>
            <w:tcW w:w="68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shd w:val="clear" w:color="auto" w:fill="F3F3F4"/>
          </w:tcPr>
          <w:p>
            <w:pPr>
              <w:spacing w:after="0"/>
              <w:rPr>
                <w:sz w:val="13"/>
                <w:szCs w:val="13"/>
                <w:color w:val="auto"/>
              </w:rPr>
            </w:pPr>
          </w:p>
        </w:tc>
        <w:tc>
          <w:tcPr>
            <w:tcW w:w="740" w:type="dxa"/>
            <w:vAlign w:val="bottom"/>
            <w:tcBorders>
              <w:bottom w:val="single" w:sz="8" w:color="auto"/>
            </w:tcBorders>
            <w:shd w:val="clear" w:color="auto" w:fill="F3F3F4"/>
          </w:tcPr>
          <w:p>
            <w:pPr>
              <w:jc w:val="right"/>
              <w:ind w:right="1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shd w:val="clear" w:color="auto" w:fill="F3F3F4"/>
          </w:tcPr>
          <w:p>
            <w:pPr>
              <w:spacing w:after="0"/>
              <w:rPr>
                <w:sz w:val="13"/>
                <w:szCs w:val="13"/>
                <w:color w:val="auto"/>
              </w:rPr>
            </w:pPr>
          </w:p>
        </w:tc>
        <w:tc>
          <w:tcPr>
            <w:tcW w:w="92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shd w:val="clear" w:color="auto" w:fill="F3F3F4"/>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line="129" w:lineRule="exact"/>
              <w:rPr>
                <w:sz w:val="20"/>
                <w:szCs w:val="20"/>
                <w:color w:val="auto"/>
              </w:rPr>
            </w:pPr>
            <w:r>
              <w:rPr>
                <w:rFonts w:ascii="Arial" w:cs="Arial" w:eastAsia="Arial" w:hAnsi="Arial"/>
                <w:sz w:val="13"/>
                <w:szCs w:val="13"/>
                <w:b w:val="1"/>
                <w:bCs w:val="1"/>
                <w:color w:val="auto"/>
              </w:rPr>
              <w:t>John J. Christmann IV</w:t>
            </w: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129,624</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41.24</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02/03/2026</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10,692</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(2)</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261,526</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101,540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2,483,668</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(12)</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82,004</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63.25</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01/05/2027</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16,037</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(3)</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392,265</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144,342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(13)</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3,530,605</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120,855</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46.27</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01/16/2028</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30,011</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(4)</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734,069</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101,286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(14)</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2,477,456</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(14)</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199,579</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23.68</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01/09/2035</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45,016</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(5)</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1,101,091</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144,273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3,528,918</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(15)</w:t>
            </w:r>
          </w:p>
        </w:tc>
        <w:tc>
          <w:tcPr>
            <w:tcW w:w="0" w:type="dxa"/>
            <w:vAlign w:val="bottom"/>
          </w:tcPr>
          <w:p>
            <w:pPr>
              <w:spacing w:after="0"/>
              <w:rPr>
                <w:sz w:val="1"/>
                <w:szCs w:val="1"/>
                <w:color w:val="auto"/>
              </w:rPr>
            </w:pPr>
          </w:p>
        </w:tc>
      </w:tr>
      <w:tr>
        <w:trPr>
          <w:trHeight w:val="129"/>
        </w:trPr>
        <w:tc>
          <w:tcPr>
            <w:tcW w:w="1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80,152</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(6)</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1,960,518</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line="129" w:lineRule="exact"/>
              <w:rPr>
                <w:sz w:val="20"/>
                <w:szCs w:val="20"/>
                <w:color w:val="auto"/>
              </w:rPr>
            </w:pPr>
            <w:r>
              <w:rPr>
                <w:rFonts w:ascii="Arial" w:cs="Arial" w:eastAsia="Arial" w:hAnsi="Arial"/>
                <w:sz w:val="13"/>
                <w:szCs w:val="13"/>
                <w:b w:val="1"/>
                <w:bCs w:val="1"/>
                <w:color w:val="auto"/>
              </w:rPr>
              <w:t>Stephen J. Riney</w:t>
            </w: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40,968</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41.24</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02/03/2026</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5,030</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(2)</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123,034</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47,767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1,168,381</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(12)</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26,934</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63.25</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01/05/2027</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7,545</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(3)</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184,551</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67,900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(13)</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1,660,834</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43,830</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46.27</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01/16/2028</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17,077</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(4)</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417,703</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57,633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(14)</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1,409,703</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(14)</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113,564</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23.68</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01/09/2035</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25,615</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(5)</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626,543</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82,094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2,008,019</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(15)</w:t>
            </w:r>
          </w:p>
        </w:tc>
        <w:tc>
          <w:tcPr>
            <w:tcW w:w="0" w:type="dxa"/>
            <w:vAlign w:val="bottom"/>
          </w:tcPr>
          <w:p>
            <w:pPr>
              <w:spacing w:after="0"/>
              <w:rPr>
                <w:sz w:val="1"/>
                <w:szCs w:val="1"/>
                <w:color w:val="auto"/>
              </w:rPr>
            </w:pPr>
          </w:p>
        </w:tc>
      </w:tr>
      <w:tr>
        <w:trPr>
          <w:trHeight w:val="129"/>
        </w:trPr>
        <w:tc>
          <w:tcPr>
            <w:tcW w:w="1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45,608</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(6)</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1,115,572</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line="129" w:lineRule="exact"/>
              <w:rPr>
                <w:sz w:val="20"/>
                <w:szCs w:val="20"/>
                <w:color w:val="auto"/>
              </w:rPr>
            </w:pPr>
            <w:r>
              <w:rPr>
                <w:rFonts w:ascii="Arial" w:cs="Arial" w:eastAsia="Arial" w:hAnsi="Arial"/>
                <w:sz w:val="13"/>
                <w:szCs w:val="13"/>
                <w:b w:val="1"/>
                <w:bCs w:val="1"/>
                <w:color w:val="auto"/>
              </w:rPr>
              <w:t>Ben C. Rodgers</w:t>
            </w: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31,545</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23.68</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01/09/2035</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1,676</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(2)</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40,995</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15,141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370,349</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(12)</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2,513</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(3)</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61,468</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22,624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(13)</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553,383</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4,744</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(4)</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116,038</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16,009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(14)</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391,580</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(14)</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7,115</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(5)</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174,033</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22,803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557,761</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(15)</w:t>
            </w:r>
          </w:p>
        </w:tc>
        <w:tc>
          <w:tcPr>
            <w:tcW w:w="0" w:type="dxa"/>
            <w:vAlign w:val="bottom"/>
          </w:tcPr>
          <w:p>
            <w:pPr>
              <w:spacing w:after="0"/>
              <w:rPr>
                <w:sz w:val="1"/>
                <w:szCs w:val="1"/>
                <w:color w:val="auto"/>
              </w:rPr>
            </w:pPr>
          </w:p>
        </w:tc>
      </w:tr>
      <w:tr>
        <w:trPr>
          <w:trHeight w:val="128"/>
        </w:trPr>
        <w:tc>
          <w:tcPr>
            <w:tcW w:w="1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12,668</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(6)</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309,859</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line="129" w:lineRule="exact"/>
              <w:rPr>
                <w:sz w:val="20"/>
                <w:szCs w:val="20"/>
                <w:color w:val="auto"/>
              </w:rPr>
            </w:pPr>
            <w:r>
              <w:rPr>
                <w:rFonts w:ascii="Arial" w:cs="Arial" w:eastAsia="Arial" w:hAnsi="Arial"/>
                <w:sz w:val="13"/>
                <w:szCs w:val="13"/>
                <w:b w:val="1"/>
                <w:bCs w:val="1"/>
                <w:color w:val="auto"/>
              </w:rPr>
              <w:t>Tracey K. Henderson</w:t>
            </w: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46,004</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23.68</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01/09/2035</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5,000</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(7)</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122,300</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19,829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485,017</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(12)</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2,768</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(2)</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67,705</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37,366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(13)</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913,972</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4,151</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(3)</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101,533</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(14)</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571,043</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(14)</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6,918</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(4)</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169,214</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33,255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813,417</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(15)</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10,376</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(5)</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253,797</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18,475</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(6)</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451,899</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4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Kimberly O. Warnica</w:t>
            </w: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46,004</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24.38</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01/13/2035</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17,945</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(8)</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438,935</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32,301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(15)</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790,082</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(15)</w:t>
            </w:r>
          </w:p>
        </w:tc>
        <w:tc>
          <w:tcPr>
            <w:tcW w:w="0" w:type="dxa"/>
            <w:vAlign w:val="bottom"/>
          </w:tcPr>
          <w:p>
            <w:pPr>
              <w:spacing w:after="0"/>
              <w:rPr>
                <w:sz w:val="1"/>
                <w:szCs w:val="1"/>
                <w:color w:val="auto"/>
              </w:rPr>
            </w:pPr>
          </w:p>
        </w:tc>
      </w:tr>
      <w:tr>
        <w:trPr>
          <w:trHeight w:val="128"/>
        </w:trPr>
        <w:tc>
          <w:tcPr>
            <w:tcW w:w="1420" w:type="dxa"/>
            <w:vAlign w:val="bottom"/>
          </w:tcPr>
          <w:p>
            <w:pPr>
              <w:spacing w:after="0" w:line="129" w:lineRule="exact"/>
              <w:rPr>
                <w:sz w:val="20"/>
                <w:szCs w:val="20"/>
                <w:color w:val="auto"/>
              </w:rPr>
            </w:pPr>
            <w:r>
              <w:rPr>
                <w:rFonts w:ascii="Arial" w:cs="Arial" w:eastAsia="Arial" w:hAnsi="Arial"/>
                <w:sz w:val="13"/>
                <w:szCs w:val="13"/>
                <w:b w:val="1"/>
                <w:bCs w:val="1"/>
                <w:color w:val="auto"/>
              </w:rPr>
              <w:t>D. Clay Bretches</w:t>
            </w: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8,007</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23.68</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01/09/2035</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1,445</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(2)</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35,345</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32,444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(12)</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793,580</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(12)</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2,168</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(3)</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53,029</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41,699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(13)</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1,019,958</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1,806</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rPr>
              <w:t>(9)</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44,175</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(14)</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334,711</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color w:val="auto"/>
              </w:rPr>
              <w:t>(14)</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2,709</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w w:val="98"/>
              </w:rPr>
              <w:t>(10)</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66,262</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8"/>
              <w:spacing w:after="0" w:line="129"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right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3,215</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w w:val="98"/>
              </w:rPr>
              <w:t>(11)</w:t>
            </w:r>
          </w:p>
        </w:tc>
        <w:tc>
          <w:tcPr>
            <w:tcW w:w="7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78,639</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hanging="256"/>
        <w:spacing w:after="0"/>
        <w:tabs>
          <w:tab w:leader="none" w:pos="260" w:val="left"/>
        </w:tabs>
        <w:numPr>
          <w:ilvl w:val="0"/>
          <w:numId w:val="111"/>
        </w:numPr>
        <w:rPr>
          <w:rFonts w:ascii="Arial" w:cs="Arial" w:eastAsia="Arial" w:hAnsi="Arial"/>
          <w:sz w:val="14"/>
          <w:szCs w:val="14"/>
          <w:color w:val="404040"/>
        </w:rPr>
      </w:pPr>
      <w:r>
        <w:rPr>
          <w:rFonts w:ascii="Arial" w:cs="Arial" w:eastAsia="Arial" w:hAnsi="Arial"/>
          <w:sz w:val="14"/>
          <w:szCs w:val="14"/>
          <w:color w:val="404040"/>
        </w:rPr>
        <w:t>Based on the per share closing price of the Company’s common stock of $24.46 on 12/31/2025.</w:t>
      </w:r>
    </w:p>
    <w:p>
      <w:pPr>
        <w:spacing w:after="0" w:line="55" w:lineRule="exact"/>
        <w:rPr>
          <w:rFonts w:ascii="Arial" w:cs="Arial" w:eastAsia="Arial" w:hAnsi="Arial"/>
          <w:sz w:val="14"/>
          <w:szCs w:val="14"/>
          <w:color w:val="404040"/>
        </w:rPr>
      </w:pPr>
    </w:p>
    <w:p>
      <w:pPr>
        <w:ind w:left="260" w:hanging="256"/>
        <w:spacing w:after="0"/>
        <w:tabs>
          <w:tab w:leader="none" w:pos="260" w:val="left"/>
        </w:tabs>
        <w:numPr>
          <w:ilvl w:val="0"/>
          <w:numId w:val="111"/>
        </w:numPr>
        <w:rPr>
          <w:rFonts w:ascii="Arial" w:cs="Arial" w:eastAsia="Arial" w:hAnsi="Arial"/>
          <w:sz w:val="14"/>
          <w:szCs w:val="14"/>
          <w:color w:val="404040"/>
        </w:rPr>
      </w:pPr>
      <w:r>
        <w:rPr>
          <w:rFonts w:ascii="Arial" w:cs="Arial" w:eastAsia="Arial" w:hAnsi="Arial"/>
          <w:sz w:val="14"/>
          <w:szCs w:val="14"/>
          <w:color w:val="404040"/>
        </w:rPr>
        <w:t>Vests on 01/04/2026. These units may be paid only in cash.</w:t>
      </w:r>
    </w:p>
    <w:p>
      <w:pPr>
        <w:spacing w:after="0" w:line="55" w:lineRule="exact"/>
        <w:rPr>
          <w:rFonts w:ascii="Arial" w:cs="Arial" w:eastAsia="Arial" w:hAnsi="Arial"/>
          <w:sz w:val="14"/>
          <w:szCs w:val="14"/>
          <w:color w:val="404040"/>
        </w:rPr>
      </w:pPr>
    </w:p>
    <w:p>
      <w:pPr>
        <w:ind w:left="260" w:hanging="256"/>
        <w:spacing w:after="0"/>
        <w:tabs>
          <w:tab w:leader="none" w:pos="260" w:val="left"/>
        </w:tabs>
        <w:numPr>
          <w:ilvl w:val="0"/>
          <w:numId w:val="111"/>
        </w:numPr>
        <w:rPr>
          <w:rFonts w:ascii="Arial" w:cs="Arial" w:eastAsia="Arial" w:hAnsi="Arial"/>
          <w:sz w:val="14"/>
          <w:szCs w:val="14"/>
          <w:color w:val="404040"/>
        </w:rPr>
      </w:pPr>
      <w:r>
        <w:rPr>
          <w:rFonts w:ascii="Arial" w:cs="Arial" w:eastAsia="Arial" w:hAnsi="Arial"/>
          <w:sz w:val="14"/>
          <w:szCs w:val="14"/>
          <w:color w:val="404040"/>
        </w:rPr>
        <w:t>Vests on 01/04/2026.</w:t>
      </w:r>
    </w:p>
    <w:p>
      <w:pPr>
        <w:spacing w:after="0" w:line="55" w:lineRule="exact"/>
        <w:rPr>
          <w:rFonts w:ascii="Arial" w:cs="Arial" w:eastAsia="Arial" w:hAnsi="Arial"/>
          <w:sz w:val="14"/>
          <w:szCs w:val="14"/>
          <w:color w:val="404040"/>
        </w:rPr>
      </w:pPr>
    </w:p>
    <w:p>
      <w:pPr>
        <w:ind w:left="260" w:hanging="256"/>
        <w:spacing w:after="0"/>
        <w:tabs>
          <w:tab w:leader="none" w:pos="260" w:val="left"/>
        </w:tabs>
        <w:numPr>
          <w:ilvl w:val="0"/>
          <w:numId w:val="111"/>
        </w:numPr>
        <w:rPr>
          <w:rFonts w:ascii="Arial" w:cs="Arial" w:eastAsia="Arial" w:hAnsi="Arial"/>
          <w:sz w:val="14"/>
          <w:szCs w:val="14"/>
          <w:color w:val="404040"/>
        </w:rPr>
      </w:pPr>
      <w:r>
        <w:rPr>
          <w:rFonts w:ascii="Arial" w:cs="Arial" w:eastAsia="Arial" w:hAnsi="Arial"/>
          <w:sz w:val="14"/>
          <w:szCs w:val="14"/>
          <w:color w:val="404040"/>
        </w:rPr>
        <w:t>Vests ratably on 01/08/2026 and 01/08/2027. These units may be paid only in cash.</w:t>
      </w:r>
    </w:p>
    <w:p>
      <w:pPr>
        <w:spacing w:after="0" w:line="55" w:lineRule="exact"/>
        <w:rPr>
          <w:rFonts w:ascii="Arial" w:cs="Arial" w:eastAsia="Arial" w:hAnsi="Arial"/>
          <w:sz w:val="14"/>
          <w:szCs w:val="14"/>
          <w:color w:val="404040"/>
        </w:rPr>
      </w:pPr>
    </w:p>
    <w:p>
      <w:pPr>
        <w:ind w:left="260" w:hanging="256"/>
        <w:spacing w:after="0"/>
        <w:tabs>
          <w:tab w:leader="none" w:pos="260" w:val="left"/>
        </w:tabs>
        <w:numPr>
          <w:ilvl w:val="0"/>
          <w:numId w:val="111"/>
        </w:numPr>
        <w:rPr>
          <w:rFonts w:ascii="Arial" w:cs="Arial" w:eastAsia="Arial" w:hAnsi="Arial"/>
          <w:sz w:val="14"/>
          <w:szCs w:val="14"/>
          <w:color w:val="404040"/>
        </w:rPr>
      </w:pPr>
      <w:r>
        <w:rPr>
          <w:rFonts w:ascii="Arial" w:cs="Arial" w:eastAsia="Arial" w:hAnsi="Arial"/>
          <w:sz w:val="14"/>
          <w:szCs w:val="14"/>
          <w:color w:val="404040"/>
        </w:rPr>
        <w:t>Vests ratably on 01/08/2026 and 01/08/2027.</w:t>
      </w:r>
    </w:p>
    <w:p>
      <w:pPr>
        <w:spacing w:after="0" w:line="55" w:lineRule="exact"/>
        <w:rPr>
          <w:rFonts w:ascii="Arial" w:cs="Arial" w:eastAsia="Arial" w:hAnsi="Arial"/>
          <w:sz w:val="14"/>
          <w:szCs w:val="14"/>
          <w:color w:val="404040"/>
        </w:rPr>
      </w:pPr>
    </w:p>
    <w:p>
      <w:pPr>
        <w:ind w:left="260" w:hanging="256"/>
        <w:spacing w:after="0"/>
        <w:tabs>
          <w:tab w:leader="none" w:pos="260" w:val="left"/>
        </w:tabs>
        <w:numPr>
          <w:ilvl w:val="0"/>
          <w:numId w:val="111"/>
        </w:numPr>
        <w:rPr>
          <w:rFonts w:ascii="Arial" w:cs="Arial" w:eastAsia="Arial" w:hAnsi="Arial"/>
          <w:sz w:val="14"/>
          <w:szCs w:val="14"/>
          <w:color w:val="404040"/>
        </w:rPr>
      </w:pPr>
      <w:r>
        <w:rPr>
          <w:rFonts w:ascii="Arial" w:cs="Arial" w:eastAsia="Arial" w:hAnsi="Arial"/>
          <w:sz w:val="14"/>
          <w:szCs w:val="14"/>
          <w:color w:val="404040"/>
        </w:rPr>
        <w:t>Vests ratably on 02/01/2026, 01/09/2027, and 01/09/2028.</w:t>
      </w:r>
    </w:p>
    <w:p>
      <w:pPr>
        <w:spacing w:after="0" w:line="55" w:lineRule="exact"/>
        <w:rPr>
          <w:rFonts w:ascii="Arial" w:cs="Arial" w:eastAsia="Arial" w:hAnsi="Arial"/>
          <w:sz w:val="14"/>
          <w:szCs w:val="14"/>
          <w:color w:val="404040"/>
        </w:rPr>
      </w:pPr>
    </w:p>
    <w:p>
      <w:pPr>
        <w:ind w:left="260" w:hanging="256"/>
        <w:spacing w:after="0"/>
        <w:tabs>
          <w:tab w:leader="none" w:pos="260" w:val="left"/>
        </w:tabs>
        <w:numPr>
          <w:ilvl w:val="0"/>
          <w:numId w:val="111"/>
        </w:numPr>
        <w:rPr>
          <w:rFonts w:ascii="Arial" w:cs="Arial" w:eastAsia="Arial" w:hAnsi="Arial"/>
          <w:sz w:val="14"/>
          <w:szCs w:val="14"/>
          <w:color w:val="404040"/>
        </w:rPr>
      </w:pPr>
      <w:r>
        <w:rPr>
          <w:rFonts w:ascii="Arial" w:cs="Arial" w:eastAsia="Arial" w:hAnsi="Arial"/>
          <w:sz w:val="14"/>
          <w:szCs w:val="14"/>
          <w:color w:val="404040"/>
        </w:rPr>
        <w:t>Vests on 05/26/2026.</w:t>
      </w:r>
    </w:p>
    <w:p>
      <w:pPr>
        <w:spacing w:after="0" w:line="55" w:lineRule="exact"/>
        <w:rPr>
          <w:rFonts w:ascii="Arial" w:cs="Arial" w:eastAsia="Arial" w:hAnsi="Arial"/>
          <w:sz w:val="14"/>
          <w:szCs w:val="14"/>
          <w:color w:val="404040"/>
        </w:rPr>
      </w:pPr>
    </w:p>
    <w:p>
      <w:pPr>
        <w:ind w:left="260" w:hanging="256"/>
        <w:spacing w:after="0"/>
        <w:tabs>
          <w:tab w:leader="none" w:pos="260" w:val="left"/>
        </w:tabs>
        <w:numPr>
          <w:ilvl w:val="0"/>
          <w:numId w:val="111"/>
        </w:numPr>
        <w:rPr>
          <w:rFonts w:ascii="Arial" w:cs="Arial" w:eastAsia="Arial" w:hAnsi="Arial"/>
          <w:sz w:val="14"/>
          <w:szCs w:val="14"/>
          <w:color w:val="404040"/>
        </w:rPr>
      </w:pPr>
      <w:r>
        <w:rPr>
          <w:rFonts w:ascii="Arial" w:cs="Arial" w:eastAsia="Arial" w:hAnsi="Arial"/>
          <w:sz w:val="14"/>
          <w:szCs w:val="14"/>
          <w:color w:val="404040"/>
        </w:rPr>
        <w:t>Vests ratably on 02/01/2026, 01/13/2027, and 01/13/2028.</w:t>
      </w:r>
    </w:p>
    <w:p>
      <w:pPr>
        <w:spacing w:after="0" w:line="55" w:lineRule="exact"/>
        <w:rPr>
          <w:rFonts w:ascii="Arial" w:cs="Arial" w:eastAsia="Arial" w:hAnsi="Arial"/>
          <w:sz w:val="14"/>
          <w:szCs w:val="14"/>
          <w:color w:val="404040"/>
        </w:rPr>
      </w:pPr>
    </w:p>
    <w:p>
      <w:pPr>
        <w:ind w:left="260" w:hanging="256"/>
        <w:spacing w:after="0"/>
        <w:tabs>
          <w:tab w:leader="none" w:pos="260" w:val="left"/>
        </w:tabs>
        <w:numPr>
          <w:ilvl w:val="0"/>
          <w:numId w:val="111"/>
        </w:numPr>
        <w:rPr>
          <w:rFonts w:ascii="Arial" w:cs="Arial" w:eastAsia="Arial" w:hAnsi="Arial"/>
          <w:sz w:val="14"/>
          <w:szCs w:val="14"/>
          <w:color w:val="404040"/>
        </w:rPr>
      </w:pPr>
      <w:r>
        <w:rPr>
          <w:rFonts w:ascii="Arial" w:cs="Arial" w:eastAsia="Arial" w:hAnsi="Arial"/>
          <w:sz w:val="14"/>
          <w:szCs w:val="14"/>
          <w:color w:val="404040"/>
        </w:rPr>
        <w:t>Vests on 01/08/2026. These units may be paid only in cash.</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404040"/>
        </w:rPr>
        <w:t>(10)Vests on 01/08/2026.</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404040"/>
        </w:rPr>
        <w:t>(11)Vests on 02/01/2026.</w:t>
      </w:r>
    </w:p>
    <w:p>
      <w:pPr>
        <w:spacing w:after="0" w:line="55" w:lineRule="exact"/>
        <w:rPr>
          <w:sz w:val="20"/>
          <w:szCs w:val="20"/>
          <w:color w:val="auto"/>
        </w:rPr>
      </w:pPr>
    </w:p>
    <w:p>
      <w:pPr>
        <w:ind w:left="260" w:right="40" w:hanging="258"/>
        <w:spacing w:after="0" w:line="263" w:lineRule="auto"/>
        <w:rPr>
          <w:sz w:val="20"/>
          <w:szCs w:val="20"/>
          <w:color w:val="auto"/>
        </w:rPr>
      </w:pPr>
      <w:r>
        <w:rPr>
          <w:rFonts w:ascii="Arial" w:cs="Arial" w:eastAsia="Arial" w:hAnsi="Arial"/>
          <w:sz w:val="14"/>
          <w:szCs w:val="14"/>
          <w:color w:val="404040"/>
        </w:rPr>
        <w:t>(12)Final amount vested based on the Company’s TSR and CROIC performance under the 2022 Performance Award Program from 01/01/2022 through 12/31/2024, as certified by the MD&amp;C Committee on February 5, 2025. As a result, 50% of the RSUs earned vested on 02/05/2025, and the remaining 50% of the RSUs vested on or about 01/01/2026. These units may be paid only in cash.</w:t>
      </w:r>
    </w:p>
    <w:p>
      <w:pPr>
        <w:spacing w:after="0" w:line="11" w:lineRule="exact"/>
        <w:rPr>
          <w:sz w:val="20"/>
          <w:szCs w:val="20"/>
          <w:color w:val="auto"/>
        </w:rPr>
      </w:pPr>
    </w:p>
    <w:p>
      <w:pPr>
        <w:ind w:left="260" w:right="140" w:hanging="258"/>
        <w:spacing w:after="0" w:line="256" w:lineRule="auto"/>
        <w:rPr>
          <w:sz w:val="20"/>
          <w:szCs w:val="20"/>
          <w:color w:val="auto"/>
        </w:rPr>
      </w:pPr>
      <w:r>
        <w:rPr>
          <w:rFonts w:ascii="Arial" w:cs="Arial" w:eastAsia="Arial" w:hAnsi="Arial"/>
          <w:sz w:val="14"/>
          <w:szCs w:val="14"/>
          <w:color w:val="404040"/>
        </w:rPr>
        <w:t>(13)Final amount vested based on the Company’s TSR, CROIC, and sustainability performance under the 2023 Performance Award Program from 01/01/2023 through 12/31/2025, as certified by the MD&amp;C Committee on January 28, 2026, and further discussed in the Compensation Discussion and Analysis section above. As a result, 50% of the RSUs earned vested on 01/28/2026, and the remaining 50% of the RSUs vest on or about 01/01/2027. These units may be paid only in cash.</w:t>
      </w:r>
    </w:p>
    <w:p>
      <w:pPr>
        <w:spacing w:after="0" w:line="15" w:lineRule="exact"/>
        <w:rPr>
          <w:sz w:val="20"/>
          <w:szCs w:val="20"/>
          <w:color w:val="auto"/>
        </w:rPr>
      </w:pPr>
    </w:p>
    <w:p>
      <w:pPr>
        <w:ind w:left="260" w:right="80" w:hanging="258"/>
        <w:spacing w:after="0" w:line="256" w:lineRule="auto"/>
        <w:rPr>
          <w:sz w:val="20"/>
          <w:szCs w:val="20"/>
          <w:color w:val="auto"/>
        </w:rPr>
      </w:pPr>
      <w:r>
        <w:rPr>
          <w:rFonts w:ascii="Arial" w:cs="Arial" w:eastAsia="Arial" w:hAnsi="Arial"/>
          <w:sz w:val="14"/>
          <w:szCs w:val="14"/>
          <w:color w:val="404040"/>
        </w:rPr>
        <w:t>(14)Amount that vests will be based on the Company’s TSR and sustainability performance under the 2024 Performance Award Program from 01/01/2024 through 12/31/2026; no payout unless vesting occurs. The value and the amount in the table exclude the CROIC component of the program, which is not equity based. Further details regarding the design of the program were provided in the Company's 2025 proxy statement. If achievement warrants, 50% of the adjusted RSUs vest upon certification of the performance results, and 50% of the adjusted RSUs vest on the first</w:t>
      </w:r>
    </w:p>
    <w:p>
      <w:pPr>
        <w:spacing w:after="0" w:line="172"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18" w:right="1099" w:bottom="1440" w:gutter="0" w:footer="0" w:header="0"/>
        </w:sectPr>
      </w:pPr>
    </w:p>
    <w:bookmarkStart w:id="42" w:name="page43"/>
    <w:bookmarkEnd w:id="42"/>
    <w:p>
      <w:pPr>
        <w:jc w:val="both"/>
        <w:ind w:left="920" w:right="780"/>
        <w:spacing w:after="0" w:line="263" w:lineRule="auto"/>
        <w:rPr>
          <w:sz w:val="20"/>
          <w:szCs w:val="20"/>
          <w:color w:val="auto"/>
        </w:rPr>
      </w:pPr>
      <w:r>
        <w:rPr>
          <w:rFonts w:ascii="Arial" w:cs="Arial" w:eastAsia="Arial" w:hAnsi="Arial"/>
          <w:sz w:val="14"/>
          <w:szCs w:val="14"/>
          <w:color w:val="404040"/>
        </w:rPr>
        <w:t>trading day on or after the anniversary of the first trading day following the end of the performance period. As of 12/09/2025, two-year results would have resulted in an estimated 37% payout under the 2024 Performance Award Program (excluding the CROIC component, as noted above) had it vested. The value and the amount in the table assume that target levels of performance are achieved. These RSUs may be paid only in cash.</w:t>
      </w:r>
    </w:p>
    <w:p>
      <w:pPr>
        <w:spacing w:after="0" w:line="11" w:lineRule="exact"/>
        <w:rPr>
          <w:sz w:val="20"/>
          <w:szCs w:val="20"/>
          <w:color w:val="auto"/>
        </w:rPr>
      </w:pPr>
    </w:p>
    <w:p>
      <w:pPr>
        <w:ind w:left="920" w:right="700" w:hanging="258"/>
        <w:spacing w:after="0" w:line="248" w:lineRule="auto"/>
        <w:rPr>
          <w:sz w:val="20"/>
          <w:szCs w:val="20"/>
          <w:color w:val="auto"/>
        </w:rPr>
      </w:pPr>
      <w:r>
        <w:rPr>
          <w:rFonts w:ascii="Arial" w:cs="Arial" w:eastAsia="Arial" w:hAnsi="Arial"/>
          <w:sz w:val="14"/>
          <w:szCs w:val="14"/>
          <w:color w:val="404040"/>
        </w:rPr>
        <w:t>(15)Amount that vests will be based on the Company’s TSR performance under the 2025 Performance Award Program from 01/01/2025 through 12/31/2027; no payout unless vesting occurs. The value and the amount in the table exclude the CROIC component of the program, which is not equity based. Further details regarding the design of the program are provided in the Compensation Discussion and Analysis section and in footnote</w:t>
      </w:r>
    </w:p>
    <w:p>
      <w:pPr>
        <w:spacing w:after="0" w:line="1" w:lineRule="exact"/>
        <w:rPr>
          <w:sz w:val="20"/>
          <w:szCs w:val="20"/>
          <w:color w:val="auto"/>
        </w:rPr>
      </w:pPr>
    </w:p>
    <w:p>
      <w:pPr>
        <w:ind w:left="920" w:right="700" w:firstLine="3"/>
        <w:spacing w:after="0" w:line="247" w:lineRule="auto"/>
        <w:tabs>
          <w:tab w:leader="none" w:pos="1136" w:val="left"/>
        </w:tabs>
        <w:numPr>
          <w:ilvl w:val="0"/>
          <w:numId w:val="112"/>
        </w:numPr>
        <w:rPr>
          <w:rFonts w:ascii="Arial" w:cs="Arial" w:eastAsia="Arial" w:hAnsi="Arial"/>
          <w:sz w:val="14"/>
          <w:szCs w:val="14"/>
          <w:color w:val="404040"/>
        </w:rPr>
      </w:pPr>
      <w:r>
        <w:rPr>
          <w:rFonts w:ascii="Arial" w:cs="Arial" w:eastAsia="Arial" w:hAnsi="Arial"/>
          <w:sz w:val="14"/>
          <w:szCs w:val="14"/>
          <w:color w:val="404040"/>
        </w:rPr>
        <w:t>of the Grants of Plan-Based Awards table. If achievement warrants, 50% of the adjusted RSUs vest upon certification of the performance results, and 50% of the adjusted RSUs vest on the first trading day on or after the anniversary of the first trading day following the end of the performance period. As of 12/09/2025, one-year results would have resulted in an estimated 180% payout under the 2025 Performance Award Program (excluding the CROIC component, as noted above) had it vested. The value and the amount in the table assume that target levels of performance are achieved. The RSUs may be paid only in cash.</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Option Exercises and Stock Vested Table</w:t>
      </w:r>
    </w:p>
    <w:p>
      <w:pPr>
        <w:spacing w:after="0" w:line="124" w:lineRule="exact"/>
        <w:rPr>
          <w:sz w:val="20"/>
          <w:szCs w:val="20"/>
          <w:color w:val="auto"/>
        </w:rPr>
      </w:pPr>
    </w:p>
    <w:p>
      <w:pPr>
        <w:ind w:left="660" w:right="840"/>
        <w:spacing w:after="0" w:line="286" w:lineRule="auto"/>
        <w:rPr>
          <w:sz w:val="20"/>
          <w:szCs w:val="20"/>
          <w:color w:val="auto"/>
        </w:rPr>
      </w:pPr>
      <w:r>
        <w:rPr>
          <w:rFonts w:ascii="Arial" w:cs="Arial" w:eastAsia="Arial" w:hAnsi="Arial"/>
          <w:sz w:val="16"/>
          <w:szCs w:val="16"/>
          <w:color w:val="auto"/>
        </w:rPr>
        <w:t>The table below provides supplemental information relating to the value realized by each NEO upon the exercise of stock options and the vesting of RSUs and conditional grants during fiscal year 2025:</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2920" w:type="dxa"/>
            <w:vAlign w:val="bottom"/>
            <w:tcBorders>
              <w:top w:val="single" w:sz="8" w:color="auto"/>
              <w:bottom w:val="single" w:sz="8" w:color="F3F3F4"/>
            </w:tcBorders>
            <w:shd w:val="clear" w:color="auto" w:fill="F3F3F4"/>
          </w:tcPr>
          <w:p>
            <w:pPr>
              <w:spacing w:after="0"/>
              <w:rPr>
                <w:sz w:val="15"/>
                <w:szCs w:val="15"/>
                <w:color w:val="auto"/>
              </w:rPr>
            </w:pPr>
          </w:p>
        </w:tc>
        <w:tc>
          <w:tcPr>
            <w:tcW w:w="3420" w:type="dxa"/>
            <w:vAlign w:val="bottom"/>
            <w:tcBorders>
              <w:top w:val="single" w:sz="8" w:color="auto"/>
              <w:bottom w:val="single" w:sz="8" w:color="auto"/>
            </w:tcBorders>
            <w:gridSpan w:val="2"/>
            <w:shd w:val="clear" w:color="auto" w:fill="F3F3F4"/>
          </w:tcPr>
          <w:p>
            <w:pPr>
              <w:jc w:val="right"/>
              <w:ind w:right="1188"/>
              <w:spacing w:after="0"/>
              <w:rPr>
                <w:sz w:val="20"/>
                <w:szCs w:val="20"/>
                <w:color w:val="auto"/>
              </w:rPr>
            </w:pPr>
            <w:r>
              <w:rPr>
                <w:rFonts w:ascii="Arial" w:cs="Arial" w:eastAsia="Arial" w:hAnsi="Arial"/>
                <w:sz w:val="14"/>
                <w:szCs w:val="14"/>
                <w:b w:val="1"/>
                <w:bCs w:val="1"/>
                <w:color w:val="auto"/>
              </w:rPr>
              <w:t>Option Awards</w:t>
            </w:r>
          </w:p>
        </w:tc>
        <w:tc>
          <w:tcPr>
            <w:tcW w:w="3380" w:type="dxa"/>
            <w:vAlign w:val="bottom"/>
            <w:tcBorders>
              <w:top w:val="single" w:sz="8" w:color="auto"/>
              <w:bottom w:val="single" w:sz="8" w:color="auto"/>
            </w:tcBorders>
            <w:gridSpan w:val="2"/>
            <w:shd w:val="clear" w:color="auto" w:fill="F3F3F4"/>
          </w:tcPr>
          <w:p>
            <w:pPr>
              <w:jc w:val="right"/>
              <w:ind w:right="1208"/>
              <w:spacing w:after="0"/>
              <w:rPr>
                <w:sz w:val="20"/>
                <w:szCs w:val="20"/>
                <w:color w:val="auto"/>
              </w:rPr>
            </w:pPr>
            <w:r>
              <w:rPr>
                <w:rFonts w:ascii="Arial" w:cs="Arial" w:eastAsia="Arial" w:hAnsi="Arial"/>
                <w:sz w:val="14"/>
                <w:szCs w:val="14"/>
                <w:b w:val="1"/>
                <w:bCs w:val="1"/>
                <w:color w:val="auto"/>
              </w:rPr>
              <w:t>Stock Awards</w:t>
            </w:r>
          </w:p>
        </w:tc>
      </w:tr>
      <w:tr>
        <w:trPr>
          <w:trHeight w:val="128"/>
        </w:trPr>
        <w:tc>
          <w:tcPr>
            <w:tcW w:w="2920" w:type="dxa"/>
            <w:vAlign w:val="bottom"/>
            <w:shd w:val="clear" w:color="auto" w:fill="F3F3F4"/>
          </w:tcPr>
          <w:p>
            <w:pPr>
              <w:spacing w:after="0"/>
              <w:rPr>
                <w:sz w:val="11"/>
                <w:szCs w:val="11"/>
                <w:color w:val="auto"/>
              </w:rPr>
            </w:pPr>
          </w:p>
        </w:tc>
        <w:tc>
          <w:tcPr>
            <w:tcW w:w="1860" w:type="dxa"/>
            <w:vAlign w:val="bottom"/>
            <w:shd w:val="clear" w:color="auto" w:fill="F3F3F4"/>
          </w:tcPr>
          <w:p>
            <w:pPr>
              <w:jc w:val="right"/>
              <w:ind w:right="128"/>
              <w:spacing w:after="0" w:line="129" w:lineRule="exact"/>
              <w:rPr>
                <w:sz w:val="20"/>
                <w:szCs w:val="20"/>
                <w:color w:val="auto"/>
              </w:rPr>
            </w:pPr>
            <w:r>
              <w:rPr>
                <w:rFonts w:ascii="Arial" w:cs="Arial" w:eastAsia="Arial" w:hAnsi="Arial"/>
                <w:sz w:val="14"/>
                <w:szCs w:val="14"/>
                <w:b w:val="1"/>
                <w:bCs w:val="1"/>
                <w:color w:val="auto"/>
              </w:rPr>
              <w:t>Number of Shares</w:t>
            </w:r>
          </w:p>
        </w:tc>
        <w:tc>
          <w:tcPr>
            <w:tcW w:w="1560" w:type="dxa"/>
            <w:vAlign w:val="bottom"/>
            <w:shd w:val="clear" w:color="auto" w:fill="F3F3F4"/>
          </w:tcPr>
          <w:p>
            <w:pPr>
              <w:jc w:val="right"/>
              <w:ind w:right="88"/>
              <w:spacing w:after="0" w:line="129" w:lineRule="exact"/>
              <w:rPr>
                <w:sz w:val="20"/>
                <w:szCs w:val="20"/>
                <w:color w:val="auto"/>
              </w:rPr>
            </w:pPr>
            <w:r>
              <w:rPr>
                <w:rFonts w:ascii="Arial" w:cs="Arial" w:eastAsia="Arial" w:hAnsi="Arial"/>
                <w:sz w:val="14"/>
                <w:szCs w:val="14"/>
                <w:b w:val="1"/>
                <w:bCs w:val="1"/>
                <w:color w:val="auto"/>
              </w:rPr>
              <w:t>Value Realized on</w:t>
            </w:r>
          </w:p>
        </w:tc>
        <w:tc>
          <w:tcPr>
            <w:tcW w:w="1840" w:type="dxa"/>
            <w:vAlign w:val="bottom"/>
            <w:shd w:val="clear" w:color="auto" w:fill="F3F3F4"/>
          </w:tcPr>
          <w:p>
            <w:pPr>
              <w:jc w:val="right"/>
              <w:ind w:right="148"/>
              <w:spacing w:after="0" w:line="129" w:lineRule="exact"/>
              <w:rPr>
                <w:sz w:val="20"/>
                <w:szCs w:val="20"/>
                <w:color w:val="auto"/>
              </w:rPr>
            </w:pPr>
            <w:r>
              <w:rPr>
                <w:rFonts w:ascii="Arial" w:cs="Arial" w:eastAsia="Arial" w:hAnsi="Arial"/>
                <w:sz w:val="14"/>
                <w:szCs w:val="14"/>
                <w:b w:val="1"/>
                <w:bCs w:val="1"/>
                <w:color w:val="auto"/>
              </w:rPr>
              <w:t>Number of Shares</w:t>
            </w:r>
          </w:p>
        </w:tc>
        <w:tc>
          <w:tcPr>
            <w:tcW w:w="1540" w:type="dxa"/>
            <w:vAlign w:val="bottom"/>
            <w:shd w:val="clear" w:color="auto" w:fill="F3F3F4"/>
          </w:tcPr>
          <w:p>
            <w:pPr>
              <w:jc w:val="right"/>
              <w:ind w:right="68"/>
              <w:spacing w:after="0" w:line="129" w:lineRule="exact"/>
              <w:rPr>
                <w:sz w:val="20"/>
                <w:szCs w:val="20"/>
                <w:color w:val="auto"/>
              </w:rPr>
            </w:pPr>
            <w:r>
              <w:rPr>
                <w:rFonts w:ascii="Arial" w:cs="Arial" w:eastAsia="Arial" w:hAnsi="Arial"/>
                <w:sz w:val="14"/>
                <w:szCs w:val="14"/>
                <w:b w:val="1"/>
                <w:bCs w:val="1"/>
                <w:color w:val="auto"/>
              </w:rPr>
              <w:t>Value Realized on</w:t>
            </w:r>
          </w:p>
        </w:tc>
      </w:tr>
      <w:tr>
        <w:trPr>
          <w:trHeight w:val="180"/>
        </w:trPr>
        <w:tc>
          <w:tcPr>
            <w:tcW w:w="2920" w:type="dxa"/>
            <w:vAlign w:val="bottom"/>
            <w:shd w:val="clear" w:color="auto" w:fill="F3F3F4"/>
          </w:tcPr>
          <w:p>
            <w:pPr>
              <w:spacing w:after="0"/>
              <w:rPr>
                <w:sz w:val="15"/>
                <w:szCs w:val="15"/>
                <w:color w:val="auto"/>
              </w:rPr>
            </w:pPr>
          </w:p>
        </w:tc>
        <w:tc>
          <w:tcPr>
            <w:tcW w:w="1860" w:type="dxa"/>
            <w:vAlign w:val="bottom"/>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Acquired on Exercise</w:t>
            </w:r>
          </w:p>
        </w:tc>
        <w:tc>
          <w:tcPr>
            <w:tcW w:w="1560" w:type="dxa"/>
            <w:vAlign w:val="bottom"/>
            <w:shd w:val="clear" w:color="auto" w:fill="F3F3F4"/>
          </w:tcPr>
          <w:p>
            <w:pPr>
              <w:jc w:val="right"/>
              <w:ind w:right="48"/>
              <w:spacing w:after="0"/>
              <w:rPr>
                <w:sz w:val="20"/>
                <w:szCs w:val="20"/>
                <w:color w:val="auto"/>
              </w:rPr>
            </w:pPr>
            <w:r>
              <w:rPr>
                <w:rFonts w:ascii="Arial" w:cs="Arial" w:eastAsia="Arial" w:hAnsi="Arial"/>
                <w:sz w:val="14"/>
                <w:szCs w:val="14"/>
                <w:b w:val="1"/>
                <w:bCs w:val="1"/>
                <w:color w:val="auto"/>
              </w:rPr>
              <w:t>Exercise</w:t>
            </w:r>
          </w:p>
        </w:tc>
        <w:tc>
          <w:tcPr>
            <w:tcW w:w="1840" w:type="dxa"/>
            <w:vAlign w:val="bottom"/>
            <w:shd w:val="clear" w:color="auto" w:fill="F3F3F4"/>
          </w:tcPr>
          <w:p>
            <w:pPr>
              <w:jc w:val="right"/>
              <w:ind w:right="108"/>
              <w:spacing w:after="0" w:line="180" w:lineRule="exact"/>
              <w:rPr>
                <w:sz w:val="20"/>
                <w:szCs w:val="20"/>
                <w:color w:val="auto"/>
              </w:rPr>
            </w:pPr>
            <w:r>
              <w:rPr>
                <w:rFonts w:ascii="Arial" w:cs="Arial" w:eastAsia="Arial" w:hAnsi="Arial"/>
                <w:sz w:val="14"/>
                <w:szCs w:val="14"/>
                <w:b w:val="1"/>
                <w:bCs w:val="1"/>
                <w:color w:val="auto"/>
              </w:rPr>
              <w:t>Acquired on Vesting</w:t>
            </w:r>
            <w:r>
              <w:rPr>
                <w:rFonts w:ascii="Arial" w:cs="Arial" w:eastAsia="Arial" w:hAnsi="Arial"/>
                <w:sz w:val="19"/>
                <w:szCs w:val="19"/>
                <w:b w:val="1"/>
                <w:bCs w:val="1"/>
                <w:color w:val="auto"/>
                <w:vertAlign w:val="superscript"/>
              </w:rPr>
              <w:t>(1)</w:t>
            </w:r>
          </w:p>
        </w:tc>
        <w:tc>
          <w:tcPr>
            <w:tcW w:w="1540" w:type="dxa"/>
            <w:vAlign w:val="bottom"/>
            <w:shd w:val="clear" w:color="auto" w:fill="F3F3F4"/>
          </w:tcPr>
          <w:p>
            <w:pPr>
              <w:jc w:val="right"/>
              <w:ind w:right="28"/>
              <w:spacing w:after="0" w:line="180" w:lineRule="exact"/>
              <w:rPr>
                <w:sz w:val="20"/>
                <w:szCs w:val="20"/>
                <w:color w:val="auto"/>
              </w:rPr>
            </w:pPr>
            <w:r>
              <w:rPr>
                <w:rFonts w:ascii="Arial" w:cs="Arial" w:eastAsia="Arial" w:hAnsi="Arial"/>
                <w:sz w:val="14"/>
                <w:szCs w:val="14"/>
                <w:b w:val="1"/>
                <w:bCs w:val="1"/>
                <w:color w:val="auto"/>
              </w:rPr>
              <w:t>Vesting</w:t>
            </w:r>
            <w:r>
              <w:rPr>
                <w:rFonts w:ascii="Arial" w:cs="Arial" w:eastAsia="Arial" w:hAnsi="Arial"/>
                <w:sz w:val="19"/>
                <w:szCs w:val="19"/>
                <w:b w:val="1"/>
                <w:bCs w:val="1"/>
                <w:color w:val="auto"/>
                <w:vertAlign w:val="superscript"/>
              </w:rPr>
              <w:t>(1)</w:t>
            </w:r>
          </w:p>
        </w:tc>
      </w:tr>
      <w:tr>
        <w:trPr>
          <w:trHeight w:val="171"/>
        </w:trPr>
        <w:tc>
          <w:tcPr>
            <w:tcW w:w="292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tcBorders>
              <w:bottom w:val="single" w:sz="8" w:color="auto"/>
            </w:tcBorders>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shd w:val="clear" w:color="auto" w:fill="F3F3F4"/>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shd w:val="clear" w:color="auto" w:fill="F3F3F4"/>
          </w:tcPr>
          <w:p>
            <w:pPr>
              <w:jc w:val="right"/>
              <w:ind w:right="10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156"/>
        </w:trPr>
        <w:tc>
          <w:tcPr>
            <w:tcW w:w="2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John J. Christmann IV</w:t>
            </w:r>
          </w:p>
        </w:tc>
        <w:tc>
          <w:tcPr>
            <w:tcW w:w="18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406,529</w:t>
            </w:r>
          </w:p>
        </w:tc>
        <w:tc>
          <w:tcPr>
            <w:tcW w:w="15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9,452,853</w:t>
            </w:r>
          </w:p>
        </w:tc>
      </w:tr>
      <w:tr>
        <w:trPr>
          <w:trHeight w:val="156"/>
        </w:trPr>
        <w:tc>
          <w:tcPr>
            <w:tcW w:w="2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Stephen J. Riney</w:t>
            </w:r>
          </w:p>
        </w:tc>
        <w:tc>
          <w:tcPr>
            <w:tcW w:w="18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186,273</w:t>
            </w:r>
          </w:p>
        </w:tc>
        <w:tc>
          <w:tcPr>
            <w:tcW w:w="15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4,325,335</w:t>
            </w:r>
          </w:p>
        </w:tc>
      </w:tr>
      <w:tr>
        <w:trPr>
          <w:trHeight w:val="155"/>
        </w:trPr>
        <w:tc>
          <w:tcPr>
            <w:tcW w:w="2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Ben C. Rodgers</w:t>
            </w:r>
          </w:p>
        </w:tc>
        <w:tc>
          <w:tcPr>
            <w:tcW w:w="18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53,836</w:t>
            </w:r>
          </w:p>
        </w:tc>
        <w:tc>
          <w:tcPr>
            <w:tcW w:w="15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1,250,486</w:t>
            </w:r>
          </w:p>
        </w:tc>
      </w:tr>
      <w:tr>
        <w:trPr>
          <w:trHeight w:val="156"/>
        </w:trPr>
        <w:tc>
          <w:tcPr>
            <w:tcW w:w="2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Tracey K. Henderson</w:t>
            </w:r>
          </w:p>
        </w:tc>
        <w:tc>
          <w:tcPr>
            <w:tcW w:w="18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76,260</w:t>
            </w:r>
          </w:p>
        </w:tc>
        <w:tc>
          <w:tcPr>
            <w:tcW w:w="15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1,738,348</w:t>
            </w:r>
          </w:p>
        </w:tc>
      </w:tr>
      <w:tr>
        <w:trPr>
          <w:trHeight w:val="155"/>
        </w:trPr>
        <w:tc>
          <w:tcPr>
            <w:tcW w:w="2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Kimberly O. Warnica</w:t>
            </w:r>
          </w:p>
        </w:tc>
        <w:tc>
          <w:tcPr>
            <w:tcW w:w="18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2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 Clay Bretches</w:t>
            </w:r>
          </w:p>
        </w:tc>
        <w:tc>
          <w:tcPr>
            <w:tcW w:w="18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112,895</w:t>
            </w:r>
          </w:p>
        </w:tc>
        <w:tc>
          <w:tcPr>
            <w:tcW w:w="15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2,624,841</w:t>
            </w:r>
          </w:p>
        </w:tc>
      </w:tr>
    </w:tbl>
    <w:p>
      <w:pPr>
        <w:spacing w:after="0" w:line="31" w:lineRule="exact"/>
        <w:rPr>
          <w:sz w:val="20"/>
          <w:szCs w:val="20"/>
          <w:color w:val="auto"/>
        </w:rPr>
      </w:pPr>
    </w:p>
    <w:p>
      <w:pPr>
        <w:ind w:left="660"/>
        <w:spacing w:after="0"/>
        <w:rPr>
          <w:sz w:val="20"/>
          <w:szCs w:val="20"/>
          <w:color w:val="auto"/>
        </w:rPr>
      </w:pPr>
      <w:r>
        <w:rPr>
          <w:rFonts w:ascii="Arial" w:cs="Arial" w:eastAsia="Arial" w:hAnsi="Arial"/>
          <w:sz w:val="14"/>
          <w:szCs w:val="14"/>
          <w:color w:val="595959"/>
        </w:rPr>
        <w:t>(1) Reflects RSUs vested under the terms of the 2016 Omnibus Compensation Plan.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Non-Qualified Deferred Compensation Table</w:t>
      </w:r>
    </w:p>
    <w:p>
      <w:pPr>
        <w:spacing w:after="0" w:line="124" w:lineRule="exact"/>
        <w:rPr>
          <w:sz w:val="20"/>
          <w:szCs w:val="20"/>
          <w:color w:val="auto"/>
        </w:rPr>
      </w:pPr>
    </w:p>
    <w:p>
      <w:pPr>
        <w:jc w:val="both"/>
        <w:ind w:left="660" w:right="960"/>
        <w:spacing w:after="0" w:line="286" w:lineRule="auto"/>
        <w:rPr>
          <w:sz w:val="20"/>
          <w:szCs w:val="20"/>
          <w:color w:val="auto"/>
        </w:rPr>
      </w:pPr>
      <w:r>
        <w:rPr>
          <w:rFonts w:ascii="Arial" w:cs="Arial" w:eastAsia="Arial" w:hAnsi="Arial"/>
          <w:sz w:val="16"/>
          <w:szCs w:val="16"/>
          <w:color w:val="auto"/>
        </w:rPr>
        <w:t>The table below provides supplemental information relating to compensation deferred during fiscal year 2025 under the terms of the Apache Corporation Non-Qualified Retirement/Savings Plan (NQ Plan) and/or the APA Deferred Delivery Plan (DDP) by the NEOs.</w:t>
      </w:r>
    </w:p>
    <w:p>
      <w:pPr>
        <w:spacing w:after="0" w:line="42" w:lineRule="exact"/>
        <w:rPr>
          <w:sz w:val="20"/>
          <w:szCs w:val="20"/>
          <w:color w:val="auto"/>
        </w:rPr>
      </w:pPr>
    </w:p>
    <w:tbl>
      <w:tblPr>
        <w:tblLayout w:type="fixed"/>
        <w:tblInd w:w="660" w:type="dxa"/>
        <w:tblCellMar>
          <w:top w:w="0" w:type="dxa"/>
          <w:left w:w="0" w:type="dxa"/>
          <w:bottom w:w="0" w:type="dxa"/>
          <w:right w:w="0" w:type="dxa"/>
        </w:tblCellMar>
      </w:tblPr>
      <w:tr>
        <w:trPr>
          <w:trHeight w:val="166"/>
        </w:trPr>
        <w:tc>
          <w:tcPr>
            <w:tcW w:w="2540" w:type="dxa"/>
            <w:vAlign w:val="bottom"/>
            <w:tcBorders>
              <w:top w:val="single" w:sz="8" w:color="auto"/>
            </w:tcBorders>
            <w:shd w:val="clear" w:color="auto" w:fill="F3F3F4"/>
          </w:tcPr>
          <w:p>
            <w:pPr>
              <w:spacing w:after="0"/>
              <w:rPr>
                <w:sz w:val="14"/>
                <w:szCs w:val="14"/>
                <w:color w:val="auto"/>
              </w:rPr>
            </w:pPr>
          </w:p>
        </w:tc>
        <w:tc>
          <w:tcPr>
            <w:tcW w:w="1180" w:type="dxa"/>
            <w:vAlign w:val="bottom"/>
            <w:tcBorders>
              <w:top w:val="single" w:sz="8" w:color="auto"/>
            </w:tcBorders>
            <w:shd w:val="clear" w:color="auto" w:fill="F3F3F4"/>
          </w:tcPr>
          <w:p>
            <w:pPr>
              <w:spacing w:after="0"/>
              <w:rPr>
                <w:sz w:val="14"/>
                <w:szCs w:val="14"/>
                <w:color w:val="auto"/>
              </w:rPr>
            </w:pPr>
          </w:p>
        </w:tc>
        <w:tc>
          <w:tcPr>
            <w:tcW w:w="1300" w:type="dxa"/>
            <w:vAlign w:val="bottom"/>
            <w:tcBorders>
              <w:top w:val="single" w:sz="8" w:color="auto"/>
            </w:tcBorders>
            <w:shd w:val="clear" w:color="auto" w:fill="F3F3F4"/>
          </w:tcPr>
          <w:p>
            <w:pPr>
              <w:jc w:val="right"/>
              <w:ind w:right="68"/>
              <w:spacing w:after="0"/>
              <w:rPr>
                <w:sz w:val="20"/>
                <w:szCs w:val="20"/>
                <w:color w:val="auto"/>
              </w:rPr>
            </w:pPr>
            <w:r>
              <w:rPr>
                <w:rFonts w:ascii="Arial" w:cs="Arial" w:eastAsia="Arial" w:hAnsi="Arial"/>
                <w:sz w:val="14"/>
                <w:szCs w:val="14"/>
                <w:b w:val="1"/>
                <w:bCs w:val="1"/>
                <w:color w:val="auto"/>
              </w:rPr>
              <w:t>Executive</w:t>
            </w:r>
          </w:p>
        </w:tc>
        <w:tc>
          <w:tcPr>
            <w:tcW w:w="1260" w:type="dxa"/>
            <w:vAlign w:val="bottom"/>
            <w:tcBorders>
              <w:top w:val="single" w:sz="8" w:color="auto"/>
            </w:tcBorders>
            <w:shd w:val="clear" w:color="auto" w:fill="F3F3F4"/>
          </w:tcPr>
          <w:p>
            <w:pPr>
              <w:jc w:val="right"/>
              <w:ind w:right="148"/>
              <w:spacing w:after="0"/>
              <w:rPr>
                <w:sz w:val="20"/>
                <w:szCs w:val="20"/>
                <w:color w:val="auto"/>
              </w:rPr>
            </w:pPr>
            <w:r>
              <w:rPr>
                <w:rFonts w:ascii="Arial" w:cs="Arial" w:eastAsia="Arial" w:hAnsi="Arial"/>
                <w:sz w:val="14"/>
                <w:szCs w:val="14"/>
                <w:b w:val="1"/>
                <w:bCs w:val="1"/>
                <w:color w:val="auto"/>
              </w:rPr>
              <w:t>Registrant</w:t>
            </w:r>
          </w:p>
        </w:tc>
        <w:tc>
          <w:tcPr>
            <w:tcW w:w="1100" w:type="dxa"/>
            <w:vAlign w:val="bottom"/>
            <w:tcBorders>
              <w:top w:val="single" w:sz="8" w:color="auto"/>
            </w:tcBorders>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Aggregate</w:t>
            </w:r>
          </w:p>
        </w:tc>
        <w:tc>
          <w:tcPr>
            <w:tcW w:w="1120" w:type="dxa"/>
            <w:vAlign w:val="bottom"/>
            <w:tcBorders>
              <w:top w:val="single" w:sz="8" w:color="auto"/>
            </w:tcBorders>
            <w:shd w:val="clear" w:color="auto" w:fill="F3F3F4"/>
          </w:tcPr>
          <w:p>
            <w:pPr>
              <w:jc w:val="right"/>
              <w:ind w:right="48"/>
              <w:spacing w:after="0"/>
              <w:rPr>
                <w:sz w:val="20"/>
                <w:szCs w:val="20"/>
                <w:color w:val="auto"/>
              </w:rPr>
            </w:pPr>
            <w:r>
              <w:rPr>
                <w:rFonts w:ascii="Arial" w:cs="Arial" w:eastAsia="Arial" w:hAnsi="Arial"/>
                <w:sz w:val="14"/>
                <w:szCs w:val="14"/>
                <w:b w:val="1"/>
                <w:bCs w:val="1"/>
                <w:color w:val="auto"/>
              </w:rPr>
              <w:t>Aggregate</w:t>
            </w:r>
          </w:p>
        </w:tc>
        <w:tc>
          <w:tcPr>
            <w:tcW w:w="1220" w:type="dxa"/>
            <w:vAlign w:val="bottom"/>
            <w:tcBorders>
              <w:top w:val="single" w:sz="8" w:color="auto"/>
            </w:tcBorders>
            <w:shd w:val="clear" w:color="auto" w:fill="F3F3F4"/>
          </w:tcPr>
          <w:p>
            <w:pPr>
              <w:jc w:val="right"/>
              <w:ind w:right="71"/>
              <w:spacing w:after="0"/>
              <w:rPr>
                <w:sz w:val="20"/>
                <w:szCs w:val="20"/>
                <w:color w:val="auto"/>
              </w:rPr>
            </w:pPr>
            <w:r>
              <w:rPr>
                <w:rFonts w:ascii="Arial" w:cs="Arial" w:eastAsia="Arial" w:hAnsi="Arial"/>
                <w:sz w:val="14"/>
                <w:szCs w:val="14"/>
                <w:b w:val="1"/>
                <w:bCs w:val="1"/>
                <w:color w:val="auto"/>
              </w:rPr>
              <w:t>Aggregate</w:t>
            </w:r>
          </w:p>
        </w:tc>
      </w:tr>
      <w:tr>
        <w:trPr>
          <w:trHeight w:val="144"/>
        </w:trPr>
        <w:tc>
          <w:tcPr>
            <w:tcW w:w="2540" w:type="dxa"/>
            <w:vAlign w:val="bottom"/>
            <w:shd w:val="clear" w:color="auto" w:fill="F3F3F4"/>
          </w:tcPr>
          <w:p>
            <w:pPr>
              <w:spacing w:after="0"/>
              <w:rPr>
                <w:sz w:val="12"/>
                <w:szCs w:val="12"/>
                <w:color w:val="auto"/>
              </w:rPr>
            </w:pPr>
          </w:p>
        </w:tc>
        <w:tc>
          <w:tcPr>
            <w:tcW w:w="1180" w:type="dxa"/>
            <w:vAlign w:val="bottom"/>
            <w:shd w:val="clear" w:color="auto" w:fill="F3F3F4"/>
          </w:tcPr>
          <w:p>
            <w:pPr>
              <w:spacing w:after="0"/>
              <w:rPr>
                <w:sz w:val="12"/>
                <w:szCs w:val="12"/>
                <w:color w:val="auto"/>
              </w:rPr>
            </w:pPr>
          </w:p>
        </w:tc>
        <w:tc>
          <w:tcPr>
            <w:tcW w:w="1300" w:type="dxa"/>
            <w:vAlign w:val="bottom"/>
            <w:shd w:val="clear" w:color="auto" w:fill="F3F3F4"/>
          </w:tcPr>
          <w:p>
            <w:pPr>
              <w:jc w:val="right"/>
              <w:ind w:right="68"/>
              <w:spacing w:after="0" w:line="145" w:lineRule="exact"/>
              <w:rPr>
                <w:sz w:val="20"/>
                <w:szCs w:val="20"/>
                <w:color w:val="auto"/>
              </w:rPr>
            </w:pPr>
            <w:r>
              <w:rPr>
                <w:rFonts w:ascii="Arial" w:cs="Arial" w:eastAsia="Arial" w:hAnsi="Arial"/>
                <w:sz w:val="14"/>
                <w:szCs w:val="14"/>
                <w:b w:val="1"/>
                <w:bCs w:val="1"/>
                <w:color w:val="auto"/>
              </w:rPr>
              <w:t>Contributions</w:t>
            </w:r>
          </w:p>
        </w:tc>
        <w:tc>
          <w:tcPr>
            <w:tcW w:w="1260" w:type="dxa"/>
            <w:vAlign w:val="bottom"/>
            <w:shd w:val="clear" w:color="auto" w:fill="F3F3F4"/>
          </w:tcPr>
          <w:p>
            <w:pPr>
              <w:jc w:val="right"/>
              <w:ind w:right="148"/>
              <w:spacing w:after="0" w:line="145" w:lineRule="exact"/>
              <w:rPr>
                <w:sz w:val="20"/>
                <w:szCs w:val="20"/>
                <w:color w:val="auto"/>
              </w:rPr>
            </w:pPr>
            <w:r>
              <w:rPr>
                <w:rFonts w:ascii="Arial" w:cs="Arial" w:eastAsia="Arial" w:hAnsi="Arial"/>
                <w:sz w:val="14"/>
                <w:szCs w:val="14"/>
                <w:b w:val="1"/>
                <w:bCs w:val="1"/>
                <w:color w:val="auto"/>
              </w:rPr>
              <w:t>Contributions</w:t>
            </w:r>
          </w:p>
        </w:tc>
        <w:tc>
          <w:tcPr>
            <w:tcW w:w="1100" w:type="dxa"/>
            <w:vAlign w:val="bottom"/>
            <w:shd w:val="clear" w:color="auto" w:fill="F3F3F4"/>
          </w:tcPr>
          <w:p>
            <w:pPr>
              <w:jc w:val="right"/>
              <w:ind w:right="88"/>
              <w:spacing w:after="0" w:line="145" w:lineRule="exact"/>
              <w:rPr>
                <w:sz w:val="20"/>
                <w:szCs w:val="20"/>
                <w:color w:val="auto"/>
              </w:rPr>
            </w:pPr>
            <w:r>
              <w:rPr>
                <w:rFonts w:ascii="Arial" w:cs="Arial" w:eastAsia="Arial" w:hAnsi="Arial"/>
                <w:sz w:val="14"/>
                <w:szCs w:val="14"/>
                <w:b w:val="1"/>
                <w:bCs w:val="1"/>
                <w:color w:val="auto"/>
              </w:rPr>
              <w:t>Earnings in</w:t>
            </w:r>
          </w:p>
        </w:tc>
        <w:tc>
          <w:tcPr>
            <w:tcW w:w="1120" w:type="dxa"/>
            <w:vAlign w:val="bottom"/>
            <w:shd w:val="clear" w:color="auto" w:fill="F3F3F4"/>
          </w:tcPr>
          <w:p>
            <w:pPr>
              <w:jc w:val="right"/>
              <w:ind w:right="48"/>
              <w:spacing w:after="0" w:line="145" w:lineRule="exact"/>
              <w:rPr>
                <w:sz w:val="20"/>
                <w:szCs w:val="20"/>
                <w:color w:val="auto"/>
              </w:rPr>
            </w:pPr>
            <w:r>
              <w:rPr>
                <w:rFonts w:ascii="Arial" w:cs="Arial" w:eastAsia="Arial" w:hAnsi="Arial"/>
                <w:sz w:val="14"/>
                <w:szCs w:val="14"/>
                <w:b w:val="1"/>
                <w:bCs w:val="1"/>
                <w:color w:val="auto"/>
              </w:rPr>
              <w:t>Withdrawals/</w:t>
            </w:r>
          </w:p>
        </w:tc>
        <w:tc>
          <w:tcPr>
            <w:tcW w:w="1220" w:type="dxa"/>
            <w:vAlign w:val="bottom"/>
            <w:shd w:val="clear" w:color="auto" w:fill="F3F3F4"/>
          </w:tcPr>
          <w:p>
            <w:pPr>
              <w:jc w:val="right"/>
              <w:ind w:right="71"/>
              <w:spacing w:after="0" w:line="145" w:lineRule="exact"/>
              <w:rPr>
                <w:sz w:val="20"/>
                <w:szCs w:val="20"/>
                <w:color w:val="auto"/>
              </w:rPr>
            </w:pPr>
            <w:r>
              <w:rPr>
                <w:rFonts w:ascii="Arial" w:cs="Arial" w:eastAsia="Arial" w:hAnsi="Arial"/>
                <w:sz w:val="14"/>
                <w:szCs w:val="14"/>
                <w:b w:val="1"/>
                <w:bCs w:val="1"/>
                <w:color w:val="auto"/>
              </w:rPr>
              <w:t>Balance at Last</w:t>
            </w:r>
          </w:p>
        </w:tc>
      </w:tr>
      <w:tr>
        <w:trPr>
          <w:trHeight w:val="162"/>
        </w:trPr>
        <w:tc>
          <w:tcPr>
            <w:tcW w:w="2540" w:type="dxa"/>
            <w:vAlign w:val="bottom"/>
            <w:shd w:val="clear" w:color="auto" w:fill="F3F3F4"/>
          </w:tcPr>
          <w:p>
            <w:pPr>
              <w:spacing w:after="0"/>
              <w:rPr>
                <w:sz w:val="14"/>
                <w:szCs w:val="14"/>
                <w:color w:val="auto"/>
              </w:rPr>
            </w:pPr>
          </w:p>
        </w:tc>
        <w:tc>
          <w:tcPr>
            <w:tcW w:w="1180" w:type="dxa"/>
            <w:vAlign w:val="bottom"/>
            <w:shd w:val="clear" w:color="auto" w:fill="F3F3F4"/>
          </w:tcPr>
          <w:p>
            <w:pPr>
              <w:spacing w:after="0"/>
              <w:rPr>
                <w:sz w:val="20"/>
                <w:szCs w:val="20"/>
                <w:color w:val="auto"/>
              </w:rPr>
            </w:pPr>
            <w:r>
              <w:rPr>
                <w:rFonts w:ascii="Arial" w:cs="Arial" w:eastAsia="Arial" w:hAnsi="Arial"/>
                <w:sz w:val="14"/>
                <w:szCs w:val="14"/>
                <w:b w:val="1"/>
                <w:bCs w:val="1"/>
                <w:color w:val="auto"/>
              </w:rPr>
              <w:t>Non-Qualified</w:t>
            </w:r>
          </w:p>
        </w:tc>
        <w:tc>
          <w:tcPr>
            <w:tcW w:w="1300" w:type="dxa"/>
            <w:vAlign w:val="bottom"/>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in Last FY</w:t>
            </w:r>
          </w:p>
        </w:tc>
        <w:tc>
          <w:tcPr>
            <w:tcW w:w="1260" w:type="dxa"/>
            <w:vAlign w:val="bottom"/>
            <w:shd w:val="clear" w:color="auto" w:fill="F3F3F4"/>
          </w:tcPr>
          <w:p>
            <w:pPr>
              <w:jc w:val="right"/>
              <w:ind w:right="108"/>
              <w:spacing w:after="0"/>
              <w:rPr>
                <w:sz w:val="20"/>
                <w:szCs w:val="20"/>
                <w:color w:val="auto"/>
              </w:rPr>
            </w:pPr>
            <w:r>
              <w:rPr>
                <w:rFonts w:ascii="Arial" w:cs="Arial" w:eastAsia="Arial" w:hAnsi="Arial"/>
                <w:sz w:val="14"/>
                <w:szCs w:val="14"/>
                <w:b w:val="1"/>
                <w:bCs w:val="1"/>
                <w:color w:val="auto"/>
              </w:rPr>
              <w:t>in Last FY</w:t>
            </w:r>
          </w:p>
        </w:tc>
        <w:tc>
          <w:tcPr>
            <w:tcW w:w="1100" w:type="dxa"/>
            <w:vAlign w:val="bottom"/>
            <w:shd w:val="clear" w:color="auto" w:fill="F3F3F4"/>
          </w:tcPr>
          <w:p>
            <w:pPr>
              <w:jc w:val="right"/>
              <w:ind w:right="48"/>
              <w:spacing w:after="0" w:line="162" w:lineRule="exact"/>
              <w:rPr>
                <w:sz w:val="20"/>
                <w:szCs w:val="20"/>
                <w:color w:val="auto"/>
              </w:rPr>
            </w:pPr>
            <w:r>
              <w:rPr>
                <w:rFonts w:ascii="Arial" w:cs="Arial" w:eastAsia="Arial" w:hAnsi="Arial"/>
                <w:sz w:val="14"/>
                <w:szCs w:val="14"/>
                <w:b w:val="1"/>
                <w:bCs w:val="1"/>
                <w:color w:val="auto"/>
              </w:rPr>
              <w:t>Last FY</w:t>
            </w:r>
            <w:r>
              <w:rPr>
                <w:rFonts w:ascii="Arial" w:cs="Arial" w:eastAsia="Arial" w:hAnsi="Arial"/>
                <w:sz w:val="18"/>
                <w:szCs w:val="18"/>
                <w:b w:val="1"/>
                <w:bCs w:val="1"/>
                <w:color w:val="auto"/>
                <w:vertAlign w:val="superscript"/>
              </w:rPr>
              <w:t>(2)</w:t>
            </w:r>
          </w:p>
        </w:tc>
        <w:tc>
          <w:tcPr>
            <w:tcW w:w="1120" w:type="dxa"/>
            <w:vAlign w:val="bottom"/>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Distributions</w:t>
            </w:r>
          </w:p>
        </w:tc>
        <w:tc>
          <w:tcPr>
            <w:tcW w:w="1220" w:type="dxa"/>
            <w:vAlign w:val="bottom"/>
            <w:shd w:val="clear" w:color="auto" w:fill="F3F3F4"/>
          </w:tcPr>
          <w:p>
            <w:pPr>
              <w:jc w:val="right"/>
              <w:ind w:right="31"/>
              <w:spacing w:after="0" w:line="162" w:lineRule="exact"/>
              <w:rPr>
                <w:sz w:val="20"/>
                <w:szCs w:val="20"/>
                <w:color w:val="auto"/>
              </w:rPr>
            </w:pPr>
            <w:r>
              <w:rPr>
                <w:rFonts w:ascii="Arial" w:cs="Arial" w:eastAsia="Arial" w:hAnsi="Arial"/>
                <w:sz w:val="18"/>
                <w:szCs w:val="18"/>
                <w:b w:val="1"/>
                <w:bCs w:val="1"/>
                <w:color w:val="auto"/>
                <w:vertAlign w:val="subscript"/>
              </w:rPr>
              <w:t>FYE</w:t>
            </w:r>
            <w:r>
              <w:rPr>
                <w:rFonts w:ascii="Arial" w:cs="Arial" w:eastAsia="Arial" w:hAnsi="Arial"/>
                <w:sz w:val="8"/>
                <w:szCs w:val="8"/>
                <w:b w:val="1"/>
                <w:bCs w:val="1"/>
                <w:color w:val="auto"/>
              </w:rPr>
              <w:t>(3)</w:t>
            </w:r>
          </w:p>
        </w:tc>
      </w:tr>
      <w:tr>
        <w:trPr>
          <w:trHeight w:val="189"/>
        </w:trPr>
        <w:tc>
          <w:tcPr>
            <w:tcW w:w="254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Borders>
              <w:bottom w:val="single" w:sz="8" w:color="auto"/>
            </w:tcBorders>
            <w:shd w:val="clear" w:color="auto" w:fill="F3F3F4"/>
          </w:tcPr>
          <w:p>
            <w:pPr>
              <w:spacing w:after="0" w:line="189" w:lineRule="exact"/>
              <w:rPr>
                <w:sz w:val="20"/>
                <w:szCs w:val="20"/>
                <w:color w:val="auto"/>
              </w:rPr>
            </w:pPr>
            <w:r>
              <w:rPr>
                <w:rFonts w:ascii="Arial" w:cs="Arial" w:eastAsia="Arial" w:hAnsi="Arial"/>
                <w:sz w:val="14"/>
                <w:szCs w:val="14"/>
                <w:b w:val="1"/>
                <w:bCs w:val="1"/>
                <w:color w:val="auto"/>
              </w:rPr>
              <w:t>Plan</w:t>
            </w:r>
            <w:r>
              <w:rPr>
                <w:rFonts w:ascii="Arial" w:cs="Arial" w:eastAsia="Arial" w:hAnsi="Arial"/>
                <w:sz w:val="19"/>
                <w:szCs w:val="19"/>
                <w:color w:val="auto"/>
                <w:vertAlign w:val="superscript"/>
              </w:rPr>
              <w:t>(1)</w:t>
            </w:r>
          </w:p>
        </w:tc>
        <w:tc>
          <w:tcPr>
            <w:tcW w:w="1300" w:type="dxa"/>
            <w:vAlign w:val="bottom"/>
            <w:tcBorders>
              <w:bottom w:val="single" w:sz="8" w:color="auto"/>
            </w:tcBorders>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F3F3F4"/>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F3F3F4"/>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F3F3F4"/>
          </w:tcPr>
          <w:p>
            <w:pPr>
              <w:jc w:val="right"/>
              <w:ind w:right="31"/>
              <w:spacing w:after="0"/>
              <w:rPr>
                <w:sz w:val="20"/>
                <w:szCs w:val="20"/>
                <w:color w:val="auto"/>
              </w:rPr>
            </w:pPr>
            <w:r>
              <w:rPr>
                <w:rFonts w:ascii="Arial" w:cs="Arial" w:eastAsia="Arial" w:hAnsi="Arial"/>
                <w:sz w:val="14"/>
                <w:szCs w:val="14"/>
                <w:b w:val="1"/>
                <w:bCs w:val="1"/>
                <w:color w:val="auto"/>
              </w:rPr>
              <w:t>($)</w:t>
            </w:r>
          </w:p>
        </w:tc>
      </w:tr>
      <w:tr>
        <w:trPr>
          <w:trHeight w:val="155"/>
        </w:trPr>
        <w:tc>
          <w:tcPr>
            <w:tcW w:w="2540" w:type="dxa"/>
            <w:vAlign w:val="bottom"/>
          </w:tcPr>
          <w:p>
            <w:pPr>
              <w:spacing w:after="0" w:line="155" w:lineRule="exact"/>
              <w:rPr>
                <w:sz w:val="20"/>
                <w:szCs w:val="20"/>
                <w:color w:val="auto"/>
              </w:rPr>
            </w:pPr>
            <w:r>
              <w:rPr>
                <w:rFonts w:ascii="Arial" w:cs="Arial" w:eastAsia="Arial" w:hAnsi="Arial"/>
                <w:sz w:val="14"/>
                <w:szCs w:val="14"/>
                <w:b w:val="1"/>
                <w:bCs w:val="1"/>
                <w:color w:val="auto"/>
              </w:rPr>
              <w:t>John J. Christmann IV</w:t>
            </w:r>
          </w:p>
        </w:tc>
        <w:tc>
          <w:tcPr>
            <w:tcW w:w="1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NQ Plan</w:t>
            </w:r>
          </w:p>
        </w:tc>
        <w:tc>
          <w:tcPr>
            <w:tcW w:w="13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231,704</w:t>
            </w:r>
          </w:p>
        </w:tc>
        <w:tc>
          <w:tcPr>
            <w:tcW w:w="1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413,232</w:t>
            </w:r>
          </w:p>
        </w:tc>
        <w:tc>
          <w:tcPr>
            <w:tcW w:w="11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2,051,823</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12,334,240</w:t>
            </w:r>
          </w:p>
        </w:tc>
      </w:tr>
      <w:tr>
        <w:trPr>
          <w:trHeight w:val="155"/>
        </w:trPr>
        <w:tc>
          <w:tcPr>
            <w:tcW w:w="25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DDP</w:t>
            </w:r>
          </w:p>
        </w:tc>
        <w:tc>
          <w:tcPr>
            <w:tcW w:w="13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150,450</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1,698,265</w:t>
            </w:r>
          </w:p>
        </w:tc>
      </w:tr>
      <w:tr>
        <w:trPr>
          <w:trHeight w:val="156"/>
        </w:trPr>
        <w:tc>
          <w:tcPr>
            <w:tcW w:w="2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Stephen J. Riney</w:t>
            </w:r>
          </w:p>
        </w:tc>
        <w:tc>
          <w:tcPr>
            <w:tcW w:w="1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NQ Plan</w:t>
            </w:r>
          </w:p>
        </w:tc>
        <w:tc>
          <w:tcPr>
            <w:tcW w:w="13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135,176</w:t>
            </w:r>
          </w:p>
        </w:tc>
        <w:tc>
          <w:tcPr>
            <w:tcW w:w="1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244,308</w:t>
            </w:r>
          </w:p>
        </w:tc>
        <w:tc>
          <w:tcPr>
            <w:tcW w:w="11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619,488</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5,615,792</w:t>
            </w:r>
          </w:p>
        </w:tc>
      </w:tr>
      <w:tr>
        <w:trPr>
          <w:trHeight w:val="155"/>
        </w:trPr>
        <w:tc>
          <w:tcPr>
            <w:tcW w:w="2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Ben C. Rodgers</w:t>
            </w:r>
          </w:p>
        </w:tc>
        <w:tc>
          <w:tcPr>
            <w:tcW w:w="1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NQ Plan</w:t>
            </w:r>
          </w:p>
        </w:tc>
        <w:tc>
          <w:tcPr>
            <w:tcW w:w="13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57,582</w:t>
            </w:r>
          </w:p>
        </w:tc>
        <w:tc>
          <w:tcPr>
            <w:tcW w:w="1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98,374</w:t>
            </w:r>
          </w:p>
        </w:tc>
        <w:tc>
          <w:tcPr>
            <w:tcW w:w="11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236,678</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1,221,364</w:t>
            </w:r>
          </w:p>
        </w:tc>
      </w:tr>
      <w:tr>
        <w:trPr>
          <w:trHeight w:val="155"/>
        </w:trPr>
        <w:tc>
          <w:tcPr>
            <w:tcW w:w="2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Tracey K. Henderson</w:t>
            </w:r>
          </w:p>
        </w:tc>
        <w:tc>
          <w:tcPr>
            <w:tcW w:w="1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NQ Plan</w:t>
            </w:r>
          </w:p>
        </w:tc>
        <w:tc>
          <w:tcPr>
            <w:tcW w:w="13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73,500</w:t>
            </w:r>
          </w:p>
        </w:tc>
        <w:tc>
          <w:tcPr>
            <w:tcW w:w="1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136,375</w:t>
            </w:r>
          </w:p>
        </w:tc>
        <w:tc>
          <w:tcPr>
            <w:tcW w:w="11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167,560</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1,100,395</w:t>
            </w:r>
          </w:p>
        </w:tc>
      </w:tr>
      <w:tr>
        <w:trPr>
          <w:trHeight w:val="155"/>
        </w:trPr>
        <w:tc>
          <w:tcPr>
            <w:tcW w:w="2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Kimberly O. Warnica</w:t>
            </w:r>
          </w:p>
        </w:tc>
        <w:tc>
          <w:tcPr>
            <w:tcW w:w="1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NQ Plan</w:t>
            </w:r>
          </w:p>
        </w:tc>
        <w:tc>
          <w:tcPr>
            <w:tcW w:w="13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17,549</w:t>
            </w:r>
          </w:p>
        </w:tc>
        <w:tc>
          <w:tcPr>
            <w:tcW w:w="1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38,460</w:t>
            </w:r>
          </w:p>
        </w:tc>
        <w:tc>
          <w:tcPr>
            <w:tcW w:w="11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727</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38,824</w:t>
            </w:r>
          </w:p>
        </w:tc>
      </w:tr>
      <w:tr>
        <w:trPr>
          <w:trHeight w:val="155"/>
        </w:trPr>
        <w:tc>
          <w:tcPr>
            <w:tcW w:w="2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 Clay Bretches</w:t>
            </w:r>
          </w:p>
        </w:tc>
        <w:tc>
          <w:tcPr>
            <w:tcW w:w="1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NQ Plan</w:t>
            </w:r>
          </w:p>
        </w:tc>
        <w:tc>
          <w:tcPr>
            <w:tcW w:w="13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47,369</w:t>
            </w:r>
          </w:p>
        </w:tc>
        <w:tc>
          <w:tcPr>
            <w:tcW w:w="1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54,119</w:t>
            </w:r>
          </w:p>
        </w:tc>
        <w:tc>
          <w:tcPr>
            <w:tcW w:w="11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305,963</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(2,314,631)</w:t>
            </w:r>
          </w:p>
        </w:tc>
        <w:tc>
          <w:tcPr>
            <w:tcW w:w="12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w:t>
            </w:r>
          </w:p>
        </w:tc>
      </w:tr>
    </w:tbl>
    <w:p>
      <w:pPr>
        <w:spacing w:after="0" w:line="112" w:lineRule="exact"/>
        <w:rPr>
          <w:sz w:val="20"/>
          <w:szCs w:val="20"/>
          <w:color w:val="auto"/>
        </w:rPr>
      </w:pPr>
    </w:p>
    <w:p>
      <w:pPr>
        <w:ind w:left="900" w:right="700" w:hanging="236"/>
        <w:spacing w:after="0" w:line="263" w:lineRule="auto"/>
        <w:tabs>
          <w:tab w:leader="none" w:pos="900" w:val="left"/>
        </w:tabs>
        <w:numPr>
          <w:ilvl w:val="0"/>
          <w:numId w:val="113"/>
        </w:numPr>
        <w:rPr>
          <w:rFonts w:ascii="Arial" w:cs="Arial" w:eastAsia="Arial" w:hAnsi="Arial"/>
          <w:sz w:val="14"/>
          <w:szCs w:val="14"/>
          <w:color w:val="404040"/>
        </w:rPr>
      </w:pPr>
      <w:r>
        <w:rPr>
          <w:rFonts w:ascii="Arial" w:cs="Arial" w:eastAsia="Arial" w:hAnsi="Arial"/>
          <w:sz w:val="14"/>
          <w:szCs w:val="14"/>
          <w:b w:val="1"/>
          <w:bCs w:val="1"/>
          <w:color w:val="404040"/>
        </w:rPr>
        <w:t>NQ Plan</w:t>
      </w:r>
      <w:r>
        <w:rPr>
          <w:rFonts w:ascii="Arial" w:cs="Arial" w:eastAsia="Arial" w:hAnsi="Arial"/>
          <w:sz w:val="14"/>
          <w:szCs w:val="14"/>
          <w:color w:val="404040"/>
        </w:rPr>
        <w:t>: See footnote (4)(a) to the Summary Compensation Table above for a description of this plan. The amounts in the executive contributions</w:t>
      </w:r>
      <w:r>
        <w:rPr>
          <w:rFonts w:ascii="Arial" w:cs="Arial" w:eastAsia="Arial" w:hAnsi="Arial"/>
          <w:sz w:val="14"/>
          <w:szCs w:val="14"/>
          <w:b w:val="1"/>
          <w:bCs w:val="1"/>
          <w:color w:val="404040"/>
        </w:rPr>
        <w:t xml:space="preserve"> </w:t>
      </w:r>
      <w:r>
        <w:rPr>
          <w:rFonts w:ascii="Arial" w:cs="Arial" w:eastAsia="Arial" w:hAnsi="Arial"/>
          <w:sz w:val="14"/>
          <w:szCs w:val="14"/>
          <w:color w:val="404040"/>
        </w:rPr>
        <w:t>column are also included in the Summary Compensation Table under Salary and Non-Equity Incentive Plan Compensation, as appropriate, for 2025. The amounts in the registrant contribution column are also included in the Summary Compensation Table under All Other Compensation for 2025.</w:t>
      </w:r>
    </w:p>
    <w:p>
      <w:pPr>
        <w:spacing w:after="0" w:line="10" w:lineRule="exact"/>
        <w:rPr>
          <w:rFonts w:ascii="Arial" w:cs="Arial" w:eastAsia="Arial" w:hAnsi="Arial"/>
          <w:sz w:val="14"/>
          <w:szCs w:val="14"/>
          <w:color w:val="404040"/>
        </w:rPr>
      </w:pPr>
    </w:p>
    <w:p>
      <w:pPr>
        <w:jc w:val="both"/>
        <w:ind w:left="900" w:right="940"/>
        <w:spacing w:after="0" w:line="263" w:lineRule="auto"/>
        <w:rPr>
          <w:rFonts w:ascii="Arial" w:cs="Arial" w:eastAsia="Arial" w:hAnsi="Arial"/>
          <w:sz w:val="14"/>
          <w:szCs w:val="14"/>
          <w:color w:val="404040"/>
        </w:rPr>
      </w:pPr>
      <w:r>
        <w:rPr>
          <w:rFonts w:ascii="Arial" w:cs="Arial" w:eastAsia="Arial" w:hAnsi="Arial"/>
          <w:sz w:val="14"/>
          <w:szCs w:val="14"/>
          <w:b w:val="1"/>
          <w:bCs w:val="1"/>
          <w:color w:val="404040"/>
        </w:rPr>
        <w:t>DDP</w:t>
      </w:r>
      <w:r>
        <w:rPr>
          <w:rFonts w:ascii="Arial" w:cs="Arial" w:eastAsia="Arial" w:hAnsi="Arial"/>
          <w:sz w:val="14"/>
          <w:szCs w:val="14"/>
          <w:color w:val="404040"/>
        </w:rPr>
        <w:t>: See footnote (4)(a) to the</w:t>
      </w:r>
      <w:r>
        <w:rPr>
          <w:rFonts w:ascii="Arial" w:cs="Arial" w:eastAsia="Arial" w:hAnsi="Arial"/>
          <w:sz w:val="14"/>
          <w:szCs w:val="14"/>
          <w:b w:val="1"/>
          <w:bCs w:val="1"/>
          <w:color w:val="404040"/>
        </w:rPr>
        <w:t xml:space="preserve"> </w:t>
      </w:r>
      <w:r>
        <w:rPr>
          <w:rFonts w:ascii="Arial" w:cs="Arial" w:eastAsia="Arial" w:hAnsi="Arial"/>
          <w:sz w:val="14"/>
          <w:szCs w:val="14"/>
          <w:i w:val="1"/>
          <w:iCs w:val="1"/>
          <w:color w:val="404040"/>
        </w:rPr>
        <w:t>Summary Compensation Table</w:t>
      </w:r>
      <w:r>
        <w:rPr>
          <w:rFonts w:ascii="Arial" w:cs="Arial" w:eastAsia="Arial" w:hAnsi="Arial"/>
          <w:sz w:val="14"/>
          <w:szCs w:val="14"/>
          <w:b w:val="1"/>
          <w:bCs w:val="1"/>
          <w:color w:val="404040"/>
        </w:rPr>
        <w:t xml:space="preserve"> </w:t>
      </w:r>
      <w:r>
        <w:rPr>
          <w:rFonts w:ascii="Arial" w:cs="Arial" w:eastAsia="Arial" w:hAnsi="Arial"/>
          <w:sz w:val="14"/>
          <w:szCs w:val="14"/>
          <w:color w:val="404040"/>
        </w:rPr>
        <w:t>above and footnote (2) to the table under</w:t>
      </w:r>
      <w:r>
        <w:rPr>
          <w:rFonts w:ascii="Arial" w:cs="Arial" w:eastAsia="Arial" w:hAnsi="Arial"/>
          <w:sz w:val="14"/>
          <w:szCs w:val="14"/>
          <w:b w:val="1"/>
          <w:bCs w:val="1"/>
          <w:color w:val="404040"/>
        </w:rPr>
        <w:t xml:space="preserve"> </w:t>
      </w:r>
      <w:r>
        <w:rPr>
          <w:rFonts w:ascii="Arial" w:cs="Arial" w:eastAsia="Arial" w:hAnsi="Arial"/>
          <w:sz w:val="14"/>
          <w:szCs w:val="14"/>
          <w:i w:val="1"/>
          <w:iCs w:val="1"/>
          <w:color w:val="404040"/>
        </w:rPr>
        <w:t>Equity Compensation Plan Information</w:t>
      </w:r>
      <w:r>
        <w:rPr>
          <w:rFonts w:ascii="Arial" w:cs="Arial" w:eastAsia="Arial" w:hAnsi="Arial"/>
          <w:sz w:val="14"/>
          <w:szCs w:val="14"/>
          <w:b w:val="1"/>
          <w:bCs w:val="1"/>
          <w:color w:val="404040"/>
        </w:rPr>
        <w:t xml:space="preserve"> </w:t>
      </w:r>
      <w:r>
        <w:rPr>
          <w:rFonts w:ascii="Arial" w:cs="Arial" w:eastAsia="Arial" w:hAnsi="Arial"/>
          <w:sz w:val="14"/>
          <w:szCs w:val="14"/>
          <w:color w:val="404040"/>
        </w:rPr>
        <w:t>below for a description of this plan. The amounts shown in the table below were previously reported in prior Summary Compensation Tables with respect to the officer’s holdings in the DDP.</w:t>
      </w:r>
    </w:p>
    <w:p>
      <w:pPr>
        <w:spacing w:after="0" w:line="10" w:lineRule="exact"/>
        <w:rPr>
          <w:rFonts w:ascii="Arial" w:cs="Arial" w:eastAsia="Arial" w:hAnsi="Arial"/>
          <w:sz w:val="14"/>
          <w:szCs w:val="14"/>
          <w:color w:val="404040"/>
        </w:rPr>
      </w:pPr>
    </w:p>
    <w:p>
      <w:pPr>
        <w:ind w:left="900" w:right="1500" w:hanging="236"/>
        <w:spacing w:after="0" w:line="281" w:lineRule="auto"/>
        <w:tabs>
          <w:tab w:leader="none" w:pos="900" w:val="left"/>
        </w:tabs>
        <w:numPr>
          <w:ilvl w:val="0"/>
          <w:numId w:val="113"/>
        </w:numPr>
        <w:rPr>
          <w:rFonts w:ascii="Arial" w:cs="Arial" w:eastAsia="Arial" w:hAnsi="Arial"/>
          <w:sz w:val="14"/>
          <w:szCs w:val="14"/>
          <w:color w:val="404040"/>
        </w:rPr>
      </w:pPr>
      <w:r>
        <w:rPr>
          <w:rFonts w:ascii="Arial" w:cs="Arial" w:eastAsia="Arial" w:hAnsi="Arial"/>
          <w:sz w:val="14"/>
          <w:szCs w:val="14"/>
          <w:color w:val="404040"/>
        </w:rPr>
        <w:t xml:space="preserve">Earnings are not included in the “Change in Pension Value and Nonqualified Deferred Compensation Earnings” column of the </w:t>
      </w:r>
      <w:r>
        <w:rPr>
          <w:rFonts w:ascii="Arial" w:cs="Arial" w:eastAsia="Arial" w:hAnsi="Arial"/>
          <w:sz w:val="14"/>
          <w:szCs w:val="14"/>
          <w:i w:val="1"/>
          <w:iCs w:val="1"/>
          <w:color w:val="404040"/>
        </w:rPr>
        <w:t>Summary</w:t>
      </w:r>
      <w:r>
        <w:rPr>
          <w:rFonts w:ascii="Arial" w:cs="Arial" w:eastAsia="Arial" w:hAnsi="Arial"/>
          <w:sz w:val="14"/>
          <w:szCs w:val="14"/>
          <w:color w:val="404040"/>
        </w:rPr>
        <w:t xml:space="preserve"> </w:t>
      </w:r>
      <w:r>
        <w:rPr>
          <w:rFonts w:ascii="Arial" w:cs="Arial" w:eastAsia="Arial" w:hAnsi="Arial"/>
          <w:sz w:val="14"/>
          <w:szCs w:val="14"/>
          <w:i w:val="1"/>
          <w:iCs w:val="1"/>
          <w:color w:val="404040"/>
        </w:rPr>
        <w:t xml:space="preserve">Compensation Table </w:t>
      </w:r>
      <w:r>
        <w:rPr>
          <w:rFonts w:ascii="Arial" w:cs="Arial" w:eastAsia="Arial" w:hAnsi="Arial"/>
          <w:sz w:val="14"/>
          <w:szCs w:val="14"/>
          <w:color w:val="404040"/>
        </w:rPr>
        <w:t>as they are not above-market or preferential earnings.</w:t>
      </w:r>
    </w:p>
    <w:p>
      <w:pPr>
        <w:spacing w:after="0" w:line="1" w:lineRule="exact"/>
        <w:rPr>
          <w:rFonts w:ascii="Arial" w:cs="Arial" w:eastAsia="Arial" w:hAnsi="Arial"/>
          <w:sz w:val="14"/>
          <w:szCs w:val="14"/>
          <w:color w:val="404040"/>
        </w:rPr>
      </w:pPr>
    </w:p>
    <w:p>
      <w:pPr>
        <w:ind w:left="900" w:hanging="236"/>
        <w:spacing w:after="0"/>
        <w:tabs>
          <w:tab w:leader="none" w:pos="900" w:val="left"/>
        </w:tabs>
        <w:numPr>
          <w:ilvl w:val="0"/>
          <w:numId w:val="113"/>
        </w:numPr>
        <w:rPr>
          <w:rFonts w:ascii="Arial" w:cs="Arial" w:eastAsia="Arial" w:hAnsi="Arial"/>
          <w:sz w:val="14"/>
          <w:szCs w:val="14"/>
          <w:color w:val="404040"/>
        </w:rPr>
      </w:pPr>
      <w:r>
        <w:rPr>
          <w:rFonts w:ascii="Arial" w:cs="Arial" w:eastAsia="Arial" w:hAnsi="Arial"/>
          <w:sz w:val="14"/>
          <w:szCs w:val="14"/>
          <w:color w:val="404040"/>
        </w:rPr>
        <w:t>The amounts in this column were previously reported in prior Summary Compensation Tables as follows:</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3100" w:type="dxa"/>
            <w:vAlign w:val="bottom"/>
            <w:tcBorders>
              <w:top w:val="single" w:sz="8" w:color="auto"/>
              <w:bottom w:val="single" w:sz="8" w:color="auto"/>
            </w:tcBorders>
            <w:shd w:val="clear" w:color="auto" w:fill="F3F3F4"/>
          </w:tcPr>
          <w:p>
            <w:pPr>
              <w:spacing w:after="0"/>
              <w:rPr>
                <w:sz w:val="16"/>
                <w:szCs w:val="16"/>
                <w:color w:val="auto"/>
              </w:rPr>
            </w:pPr>
          </w:p>
        </w:tc>
        <w:tc>
          <w:tcPr>
            <w:tcW w:w="1640" w:type="dxa"/>
            <w:vAlign w:val="bottom"/>
            <w:tcBorders>
              <w:top w:val="single" w:sz="8" w:color="auto"/>
              <w:bottom w:val="single" w:sz="8" w:color="auto"/>
            </w:tcBorders>
            <w:shd w:val="clear" w:color="auto" w:fill="F3F3F4"/>
          </w:tcPr>
          <w:p>
            <w:pPr>
              <w:jc w:val="right"/>
              <w:ind w:right="108"/>
              <w:spacing w:after="0"/>
              <w:rPr>
                <w:sz w:val="20"/>
                <w:szCs w:val="20"/>
                <w:color w:val="auto"/>
              </w:rPr>
            </w:pPr>
            <w:r>
              <w:rPr>
                <w:rFonts w:ascii="Arial" w:cs="Arial" w:eastAsia="Arial" w:hAnsi="Arial"/>
                <w:sz w:val="14"/>
                <w:szCs w:val="14"/>
                <w:b w:val="1"/>
                <w:bCs w:val="1"/>
                <w:color w:val="auto"/>
              </w:rPr>
              <w:t>Christmann</w:t>
            </w:r>
          </w:p>
        </w:tc>
        <w:tc>
          <w:tcPr>
            <w:tcW w:w="1040" w:type="dxa"/>
            <w:vAlign w:val="bottom"/>
            <w:tcBorders>
              <w:top w:val="single" w:sz="8" w:color="auto"/>
              <w:bottom w:val="single" w:sz="8" w:color="auto"/>
            </w:tcBorders>
            <w:shd w:val="clear" w:color="auto" w:fill="F3F3F4"/>
          </w:tcPr>
          <w:p>
            <w:pPr>
              <w:jc w:val="right"/>
              <w:ind w:right="128"/>
              <w:spacing w:after="0"/>
              <w:rPr>
                <w:sz w:val="20"/>
                <w:szCs w:val="20"/>
                <w:color w:val="auto"/>
              </w:rPr>
            </w:pPr>
            <w:r>
              <w:rPr>
                <w:rFonts w:ascii="Arial" w:cs="Arial" w:eastAsia="Arial" w:hAnsi="Arial"/>
                <w:sz w:val="14"/>
                <w:szCs w:val="14"/>
                <w:b w:val="1"/>
                <w:bCs w:val="1"/>
                <w:color w:val="auto"/>
              </w:rPr>
              <w:t>Riney</w:t>
            </w:r>
          </w:p>
        </w:tc>
        <w:tc>
          <w:tcPr>
            <w:tcW w:w="920" w:type="dxa"/>
            <w:vAlign w:val="bottom"/>
            <w:tcBorders>
              <w:top w:val="single" w:sz="8" w:color="auto"/>
              <w:bottom w:val="single" w:sz="8" w:color="auto"/>
            </w:tcBorders>
            <w:shd w:val="clear" w:color="auto" w:fill="F3F3F4"/>
          </w:tcPr>
          <w:p>
            <w:pPr>
              <w:jc w:val="right"/>
              <w:ind w:right="68"/>
              <w:spacing w:after="0"/>
              <w:rPr>
                <w:sz w:val="20"/>
                <w:szCs w:val="20"/>
                <w:color w:val="auto"/>
              </w:rPr>
            </w:pPr>
            <w:r>
              <w:rPr>
                <w:rFonts w:ascii="Arial" w:cs="Arial" w:eastAsia="Arial" w:hAnsi="Arial"/>
                <w:sz w:val="14"/>
                <w:szCs w:val="14"/>
                <w:b w:val="1"/>
                <w:bCs w:val="1"/>
                <w:color w:val="auto"/>
              </w:rPr>
              <w:t>Rodgers</w:t>
            </w:r>
          </w:p>
        </w:tc>
        <w:tc>
          <w:tcPr>
            <w:tcW w:w="1080" w:type="dxa"/>
            <w:vAlign w:val="bottom"/>
            <w:tcBorders>
              <w:top w:val="single" w:sz="8" w:color="auto"/>
              <w:bottom w:val="single" w:sz="8" w:color="auto"/>
            </w:tcBorders>
            <w:shd w:val="clear" w:color="auto" w:fill="F3F3F4"/>
          </w:tcPr>
          <w:p>
            <w:pPr>
              <w:jc w:val="right"/>
              <w:ind w:right="108"/>
              <w:spacing w:after="0"/>
              <w:rPr>
                <w:sz w:val="20"/>
                <w:szCs w:val="20"/>
                <w:color w:val="auto"/>
              </w:rPr>
            </w:pPr>
            <w:r>
              <w:rPr>
                <w:rFonts w:ascii="Arial" w:cs="Arial" w:eastAsia="Arial" w:hAnsi="Arial"/>
                <w:sz w:val="14"/>
                <w:szCs w:val="14"/>
                <w:b w:val="1"/>
                <w:bCs w:val="1"/>
                <w:color w:val="auto"/>
              </w:rPr>
              <w:t>Henderson</w:t>
            </w:r>
          </w:p>
        </w:tc>
        <w:tc>
          <w:tcPr>
            <w:tcW w:w="960" w:type="dxa"/>
            <w:vAlign w:val="bottom"/>
            <w:tcBorders>
              <w:top w:val="single" w:sz="8" w:color="auto"/>
              <w:bottom w:val="single" w:sz="8" w:color="auto"/>
            </w:tcBorders>
            <w:shd w:val="clear" w:color="auto" w:fill="F3F3F4"/>
          </w:tcPr>
          <w:p>
            <w:pPr>
              <w:jc w:val="right"/>
              <w:ind w:right="148"/>
              <w:spacing w:after="0"/>
              <w:rPr>
                <w:sz w:val="20"/>
                <w:szCs w:val="20"/>
                <w:color w:val="auto"/>
              </w:rPr>
            </w:pPr>
            <w:r>
              <w:rPr>
                <w:rFonts w:ascii="Arial" w:cs="Arial" w:eastAsia="Arial" w:hAnsi="Arial"/>
                <w:sz w:val="14"/>
                <w:szCs w:val="14"/>
                <w:b w:val="1"/>
                <w:bCs w:val="1"/>
                <w:color w:val="auto"/>
              </w:rPr>
              <w:t>Warnica</w:t>
            </w:r>
          </w:p>
        </w:tc>
        <w:tc>
          <w:tcPr>
            <w:tcW w:w="980" w:type="dxa"/>
            <w:vAlign w:val="bottom"/>
            <w:tcBorders>
              <w:top w:val="single" w:sz="8" w:color="auto"/>
              <w:bottom w:val="single" w:sz="8" w:color="auto"/>
            </w:tcBorders>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Bretches</w:t>
            </w:r>
          </w:p>
        </w:tc>
      </w:tr>
      <w:tr>
        <w:trPr>
          <w:trHeight w:val="156"/>
        </w:trPr>
        <w:tc>
          <w:tcPr>
            <w:tcW w:w="3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Previously Reported for NQ Plan ($)</w:t>
            </w:r>
          </w:p>
        </w:tc>
        <w:tc>
          <w:tcPr>
            <w:tcW w:w="16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7,139,157</w:t>
            </w:r>
          </w:p>
        </w:tc>
        <w:tc>
          <w:tcPr>
            <w:tcW w:w="10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3,137,849</w:t>
            </w: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449,635</w:t>
            </w:r>
          </w:p>
        </w:tc>
        <w:tc>
          <w:tcPr>
            <w:tcW w:w="9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1,294,449</w:t>
            </w:r>
          </w:p>
        </w:tc>
      </w:tr>
      <w:tr>
        <w:trPr>
          <w:trHeight w:val="155"/>
        </w:trPr>
        <w:tc>
          <w:tcPr>
            <w:tcW w:w="3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Previously Reported for DDP ($)</w:t>
            </w:r>
          </w:p>
        </w:tc>
        <w:tc>
          <w:tcPr>
            <w:tcW w:w="16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3,843,120</w:t>
            </w:r>
          </w:p>
        </w:tc>
        <w:tc>
          <w:tcPr>
            <w:tcW w:w="10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37</w:t>
            </w:r>
          </w:p>
        </w:tc>
      </w:tr>
      <w:tr>
        <w:trPr>
          <w:trHeight w:val="879"/>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83" w:right="439" w:bottom="1440" w:gutter="0" w:footer="0" w:header="0"/>
        </w:sectPr>
      </w:pPr>
    </w:p>
    <w:bookmarkStart w:id="43" w:name="page44"/>
    <w:bookmarkEnd w:id="43"/>
    <w:p>
      <w:pPr>
        <w:spacing w:after="0"/>
        <w:rPr>
          <w:sz w:val="20"/>
          <w:szCs w:val="20"/>
          <w:color w:val="auto"/>
        </w:rPr>
      </w:pPr>
      <w:r>
        <w:rPr>
          <w:rFonts w:ascii="Arial" w:cs="Arial" w:eastAsia="Arial" w:hAnsi="Arial"/>
          <w:sz w:val="25"/>
          <w:szCs w:val="25"/>
          <w:b w:val="1"/>
          <w:bCs w:val="1"/>
          <w:i w:val="1"/>
          <w:iCs w:val="1"/>
          <w:color w:val="auto"/>
        </w:rPr>
        <w:t>Potential Payments upon Termination or Change in Control</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Company is party to agreements and maintains plans that require the Company to provide compensation to the NEOs in the event of a termination of employment or a change in control of the Company. The amount of compensation payable to each NEO in each situation is listed in the following table for fiscal year 2025, assuming termination had occurred on December 31, 2025. All equity awards have been valued as of December 31,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20" w:type="dxa"/>
            <w:vAlign w:val="bottom"/>
            <w:tcBorders>
              <w:top w:val="single" w:sz="8" w:color="auto"/>
            </w:tcBorders>
            <w:shd w:val="clear" w:color="auto" w:fill="F3F3F4"/>
          </w:tcPr>
          <w:p>
            <w:pPr>
              <w:spacing w:after="0"/>
              <w:rPr>
                <w:sz w:val="14"/>
                <w:szCs w:val="14"/>
                <w:color w:val="auto"/>
              </w:rPr>
            </w:pPr>
          </w:p>
        </w:tc>
        <w:tc>
          <w:tcPr>
            <w:tcW w:w="2300" w:type="dxa"/>
            <w:vAlign w:val="bottom"/>
            <w:tcBorders>
              <w:top w:val="single" w:sz="8" w:color="auto"/>
            </w:tcBorders>
            <w:shd w:val="clear" w:color="auto" w:fill="F3F3F4"/>
          </w:tcPr>
          <w:p>
            <w:pPr>
              <w:spacing w:after="0"/>
              <w:rPr>
                <w:sz w:val="14"/>
                <w:szCs w:val="14"/>
                <w:color w:val="auto"/>
              </w:rPr>
            </w:pPr>
          </w:p>
        </w:tc>
        <w:tc>
          <w:tcPr>
            <w:tcW w:w="1120" w:type="dxa"/>
            <w:vAlign w:val="bottom"/>
            <w:tcBorders>
              <w:top w:val="single" w:sz="8" w:color="auto"/>
            </w:tcBorders>
            <w:shd w:val="clear" w:color="auto" w:fill="F3F3F4"/>
          </w:tcPr>
          <w:p>
            <w:pPr>
              <w:ind w:left="100"/>
              <w:spacing w:after="0"/>
              <w:rPr>
                <w:sz w:val="20"/>
                <w:szCs w:val="20"/>
                <w:color w:val="auto"/>
              </w:rPr>
            </w:pPr>
            <w:r>
              <w:rPr>
                <w:rFonts w:ascii="Arial" w:cs="Arial" w:eastAsia="Arial" w:hAnsi="Arial"/>
                <w:sz w:val="14"/>
                <w:szCs w:val="14"/>
                <w:b w:val="1"/>
                <w:bCs w:val="1"/>
                <w:color w:val="auto"/>
              </w:rPr>
              <w:t>Retirement or</w:t>
            </w:r>
          </w:p>
        </w:tc>
        <w:tc>
          <w:tcPr>
            <w:tcW w:w="960" w:type="dxa"/>
            <w:vAlign w:val="bottom"/>
            <w:tcBorders>
              <w:top w:val="single" w:sz="8" w:color="auto"/>
            </w:tcBorders>
            <w:shd w:val="clear" w:color="auto" w:fill="F3F3F4"/>
          </w:tcPr>
          <w:p>
            <w:pPr>
              <w:spacing w:after="0"/>
              <w:rPr>
                <w:sz w:val="14"/>
                <w:szCs w:val="14"/>
                <w:color w:val="auto"/>
              </w:rPr>
            </w:pPr>
          </w:p>
        </w:tc>
        <w:tc>
          <w:tcPr>
            <w:tcW w:w="1300" w:type="dxa"/>
            <w:vAlign w:val="bottom"/>
            <w:tcBorders>
              <w:top w:val="single" w:sz="8" w:color="auto"/>
            </w:tcBorders>
            <w:shd w:val="clear" w:color="auto" w:fill="F3F3F4"/>
          </w:tcPr>
          <w:p>
            <w:pPr>
              <w:spacing w:after="0"/>
              <w:rPr>
                <w:sz w:val="14"/>
                <w:szCs w:val="14"/>
                <w:color w:val="auto"/>
              </w:rPr>
            </w:pPr>
          </w:p>
        </w:tc>
        <w:tc>
          <w:tcPr>
            <w:tcW w:w="1180" w:type="dxa"/>
            <w:vAlign w:val="bottom"/>
            <w:tcBorders>
              <w:top w:val="single" w:sz="8" w:color="auto"/>
            </w:tcBorders>
            <w:shd w:val="clear" w:color="auto" w:fill="F3F3F4"/>
          </w:tcPr>
          <w:p>
            <w:pPr>
              <w:jc w:val="right"/>
              <w:ind w:right="88"/>
              <w:spacing w:after="0"/>
              <w:rPr>
                <w:sz w:val="20"/>
                <w:szCs w:val="20"/>
                <w:color w:val="auto"/>
              </w:rPr>
            </w:pPr>
            <w:r>
              <w:rPr>
                <w:rFonts w:ascii="Arial" w:cs="Arial" w:eastAsia="Arial" w:hAnsi="Arial"/>
                <w:sz w:val="14"/>
                <w:szCs w:val="14"/>
                <w:b w:val="1"/>
                <w:bCs w:val="1"/>
                <w:color w:val="auto"/>
              </w:rPr>
              <w:t>Change in</w:t>
            </w:r>
          </w:p>
        </w:tc>
        <w:tc>
          <w:tcPr>
            <w:tcW w:w="940" w:type="dxa"/>
            <w:vAlign w:val="bottom"/>
            <w:tcBorders>
              <w:top w:val="single" w:sz="8" w:color="auto"/>
            </w:tcBorders>
            <w:shd w:val="clear" w:color="auto" w:fill="F3F3F4"/>
          </w:tcPr>
          <w:p>
            <w:pPr>
              <w:spacing w:after="0"/>
              <w:rPr>
                <w:sz w:val="14"/>
                <w:szCs w:val="14"/>
                <w:color w:val="auto"/>
              </w:rPr>
            </w:pPr>
          </w:p>
        </w:tc>
      </w:tr>
      <w:tr>
        <w:trPr>
          <w:trHeight w:val="144"/>
        </w:trPr>
        <w:tc>
          <w:tcPr>
            <w:tcW w:w="1920" w:type="dxa"/>
            <w:vAlign w:val="bottom"/>
            <w:shd w:val="clear" w:color="auto" w:fill="F3F3F4"/>
          </w:tcPr>
          <w:p>
            <w:pPr>
              <w:spacing w:after="0"/>
              <w:rPr>
                <w:sz w:val="12"/>
                <w:szCs w:val="12"/>
                <w:color w:val="auto"/>
              </w:rPr>
            </w:pPr>
          </w:p>
        </w:tc>
        <w:tc>
          <w:tcPr>
            <w:tcW w:w="2300" w:type="dxa"/>
            <w:vAlign w:val="bottom"/>
            <w:shd w:val="clear" w:color="auto" w:fill="F3F3F4"/>
          </w:tcPr>
          <w:p>
            <w:pPr>
              <w:spacing w:after="0"/>
              <w:rPr>
                <w:sz w:val="12"/>
                <w:szCs w:val="12"/>
                <w:color w:val="auto"/>
              </w:rPr>
            </w:pPr>
          </w:p>
        </w:tc>
        <w:tc>
          <w:tcPr>
            <w:tcW w:w="1120" w:type="dxa"/>
            <w:vAlign w:val="bottom"/>
            <w:shd w:val="clear" w:color="auto" w:fill="F3F3F4"/>
          </w:tcPr>
          <w:p>
            <w:pPr>
              <w:jc w:val="right"/>
              <w:ind w:right="48"/>
              <w:spacing w:after="0" w:line="145" w:lineRule="exact"/>
              <w:rPr>
                <w:sz w:val="20"/>
                <w:szCs w:val="20"/>
                <w:color w:val="auto"/>
              </w:rPr>
            </w:pPr>
            <w:r>
              <w:rPr>
                <w:rFonts w:ascii="Arial" w:cs="Arial" w:eastAsia="Arial" w:hAnsi="Arial"/>
                <w:sz w:val="14"/>
                <w:szCs w:val="14"/>
                <w:b w:val="1"/>
                <w:bCs w:val="1"/>
                <w:color w:val="auto"/>
              </w:rPr>
              <w:t>Voluntary</w:t>
            </w:r>
          </w:p>
        </w:tc>
        <w:tc>
          <w:tcPr>
            <w:tcW w:w="960" w:type="dxa"/>
            <w:vAlign w:val="bottom"/>
            <w:shd w:val="clear" w:color="auto" w:fill="F3F3F4"/>
          </w:tcPr>
          <w:p>
            <w:pPr>
              <w:jc w:val="right"/>
              <w:ind w:right="48"/>
              <w:spacing w:after="0" w:line="145" w:lineRule="exact"/>
              <w:rPr>
                <w:sz w:val="20"/>
                <w:szCs w:val="20"/>
                <w:color w:val="auto"/>
              </w:rPr>
            </w:pPr>
            <w:r>
              <w:rPr>
                <w:rFonts w:ascii="Arial" w:cs="Arial" w:eastAsia="Arial" w:hAnsi="Arial"/>
                <w:sz w:val="14"/>
                <w:szCs w:val="14"/>
                <w:b w:val="1"/>
                <w:bCs w:val="1"/>
                <w:color w:val="auto"/>
              </w:rPr>
              <w:t>For Cause</w:t>
            </w:r>
          </w:p>
        </w:tc>
        <w:tc>
          <w:tcPr>
            <w:tcW w:w="1300" w:type="dxa"/>
            <w:vAlign w:val="bottom"/>
            <w:shd w:val="clear" w:color="auto" w:fill="F3F3F4"/>
          </w:tcPr>
          <w:p>
            <w:pPr>
              <w:jc w:val="right"/>
              <w:ind w:right="88"/>
              <w:spacing w:after="0" w:line="145" w:lineRule="exact"/>
              <w:rPr>
                <w:sz w:val="20"/>
                <w:szCs w:val="20"/>
                <w:color w:val="auto"/>
              </w:rPr>
            </w:pPr>
            <w:r>
              <w:rPr>
                <w:rFonts w:ascii="Arial" w:cs="Arial" w:eastAsia="Arial" w:hAnsi="Arial"/>
                <w:sz w:val="14"/>
                <w:szCs w:val="14"/>
                <w:b w:val="1"/>
                <w:bCs w:val="1"/>
                <w:color w:val="auto"/>
              </w:rPr>
              <w:t>Termination</w:t>
            </w:r>
          </w:p>
        </w:tc>
        <w:tc>
          <w:tcPr>
            <w:tcW w:w="1180" w:type="dxa"/>
            <w:vAlign w:val="bottom"/>
            <w:shd w:val="clear" w:color="auto" w:fill="F3F3F4"/>
          </w:tcPr>
          <w:p>
            <w:pPr>
              <w:jc w:val="right"/>
              <w:ind w:right="88"/>
              <w:spacing w:after="0" w:line="145" w:lineRule="exact"/>
              <w:rPr>
                <w:sz w:val="20"/>
                <w:szCs w:val="20"/>
                <w:color w:val="auto"/>
              </w:rPr>
            </w:pPr>
            <w:r>
              <w:rPr>
                <w:rFonts w:ascii="Arial" w:cs="Arial" w:eastAsia="Arial" w:hAnsi="Arial"/>
                <w:sz w:val="14"/>
                <w:szCs w:val="14"/>
                <w:b w:val="1"/>
                <w:bCs w:val="1"/>
                <w:color w:val="auto"/>
              </w:rPr>
              <w:t>Control</w:t>
            </w:r>
          </w:p>
        </w:tc>
        <w:tc>
          <w:tcPr>
            <w:tcW w:w="940" w:type="dxa"/>
            <w:vAlign w:val="bottom"/>
            <w:shd w:val="clear" w:color="auto" w:fill="F3F3F4"/>
          </w:tcPr>
          <w:p>
            <w:pPr>
              <w:jc w:val="right"/>
              <w:ind w:right="68"/>
              <w:spacing w:after="0" w:line="145" w:lineRule="exact"/>
              <w:rPr>
                <w:sz w:val="20"/>
                <w:szCs w:val="20"/>
                <w:color w:val="auto"/>
              </w:rPr>
            </w:pPr>
            <w:r>
              <w:rPr>
                <w:rFonts w:ascii="Arial" w:cs="Arial" w:eastAsia="Arial" w:hAnsi="Arial"/>
                <w:sz w:val="14"/>
                <w:szCs w:val="14"/>
                <w:b w:val="1"/>
                <w:bCs w:val="1"/>
                <w:color w:val="auto"/>
              </w:rPr>
              <w:t>Death or</w:t>
            </w:r>
          </w:p>
        </w:tc>
      </w:tr>
      <w:tr>
        <w:trPr>
          <w:trHeight w:val="180"/>
        </w:trPr>
        <w:tc>
          <w:tcPr>
            <w:tcW w:w="1920" w:type="dxa"/>
            <w:vAlign w:val="bottom"/>
            <w:shd w:val="clear" w:color="auto" w:fill="F3F3F4"/>
          </w:tcPr>
          <w:p>
            <w:pPr>
              <w:spacing w:after="0"/>
              <w:rPr>
                <w:sz w:val="15"/>
                <w:szCs w:val="15"/>
                <w:color w:val="auto"/>
              </w:rPr>
            </w:pPr>
          </w:p>
        </w:tc>
        <w:tc>
          <w:tcPr>
            <w:tcW w:w="2300" w:type="dxa"/>
            <w:vAlign w:val="bottom"/>
            <w:shd w:val="clear" w:color="auto" w:fill="F3F3F4"/>
          </w:tcPr>
          <w:p>
            <w:pPr>
              <w:spacing w:after="0"/>
              <w:rPr>
                <w:sz w:val="15"/>
                <w:szCs w:val="15"/>
                <w:color w:val="auto"/>
              </w:rPr>
            </w:pPr>
          </w:p>
        </w:tc>
        <w:tc>
          <w:tcPr>
            <w:tcW w:w="1120" w:type="dxa"/>
            <w:vAlign w:val="bottom"/>
            <w:shd w:val="clear" w:color="auto" w:fill="F3F3F4"/>
          </w:tcPr>
          <w:p>
            <w:pPr>
              <w:ind w:left="100"/>
              <w:spacing w:after="0" w:line="180" w:lineRule="exact"/>
              <w:rPr>
                <w:sz w:val="20"/>
                <w:szCs w:val="20"/>
                <w:color w:val="auto"/>
              </w:rPr>
            </w:pPr>
            <w:r>
              <w:rPr>
                <w:rFonts w:ascii="Arial" w:cs="Arial" w:eastAsia="Arial" w:hAnsi="Arial"/>
                <w:sz w:val="14"/>
                <w:szCs w:val="14"/>
                <w:b w:val="1"/>
                <w:bCs w:val="1"/>
                <w:color w:val="auto"/>
              </w:rPr>
              <w:t>Termination</w:t>
            </w:r>
            <w:r>
              <w:rPr>
                <w:rFonts w:ascii="Arial" w:cs="Arial" w:eastAsia="Arial" w:hAnsi="Arial"/>
                <w:sz w:val="19"/>
                <w:szCs w:val="19"/>
                <w:color w:val="auto"/>
                <w:vertAlign w:val="superscript"/>
              </w:rPr>
              <w:t>(1)</w:t>
            </w:r>
          </w:p>
        </w:tc>
        <w:tc>
          <w:tcPr>
            <w:tcW w:w="960" w:type="dxa"/>
            <w:vAlign w:val="bottom"/>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Termination</w:t>
            </w:r>
          </w:p>
        </w:tc>
        <w:tc>
          <w:tcPr>
            <w:tcW w:w="1300" w:type="dxa"/>
            <w:vAlign w:val="bottom"/>
            <w:shd w:val="clear" w:color="auto" w:fill="F3F3F4"/>
          </w:tcPr>
          <w:p>
            <w:pPr>
              <w:jc w:val="right"/>
              <w:ind w:right="48"/>
              <w:spacing w:after="0" w:line="180" w:lineRule="exact"/>
              <w:rPr>
                <w:sz w:val="20"/>
                <w:szCs w:val="20"/>
                <w:color w:val="auto"/>
              </w:rPr>
            </w:pPr>
            <w:r>
              <w:rPr>
                <w:rFonts w:ascii="Arial" w:cs="Arial" w:eastAsia="Arial" w:hAnsi="Arial"/>
                <w:sz w:val="14"/>
                <w:szCs w:val="14"/>
                <w:b w:val="1"/>
                <w:bCs w:val="1"/>
                <w:color w:val="auto"/>
              </w:rPr>
              <w:t>without Cause</w:t>
            </w:r>
            <w:r>
              <w:rPr>
                <w:rFonts w:ascii="Arial" w:cs="Arial" w:eastAsia="Arial" w:hAnsi="Arial"/>
                <w:sz w:val="19"/>
                <w:szCs w:val="19"/>
                <w:color w:val="auto"/>
                <w:vertAlign w:val="superscript"/>
              </w:rPr>
              <w:t>(2)</w:t>
            </w:r>
          </w:p>
        </w:tc>
        <w:tc>
          <w:tcPr>
            <w:tcW w:w="1180" w:type="dxa"/>
            <w:vAlign w:val="bottom"/>
            <w:shd w:val="clear" w:color="auto" w:fill="F3F3F4"/>
          </w:tcPr>
          <w:p>
            <w:pPr>
              <w:jc w:val="right"/>
              <w:ind w:right="48"/>
              <w:spacing w:after="0" w:line="180" w:lineRule="exact"/>
              <w:rPr>
                <w:sz w:val="20"/>
                <w:szCs w:val="20"/>
                <w:color w:val="auto"/>
              </w:rPr>
            </w:pPr>
            <w:r>
              <w:rPr>
                <w:rFonts w:ascii="Arial" w:cs="Arial" w:eastAsia="Arial" w:hAnsi="Arial"/>
                <w:sz w:val="14"/>
                <w:szCs w:val="14"/>
                <w:b w:val="1"/>
                <w:bCs w:val="1"/>
                <w:color w:val="auto"/>
              </w:rPr>
              <w:t>Termination</w:t>
            </w:r>
            <w:r>
              <w:rPr>
                <w:rFonts w:ascii="Arial" w:cs="Arial" w:eastAsia="Arial" w:hAnsi="Arial"/>
                <w:sz w:val="19"/>
                <w:szCs w:val="19"/>
                <w:color w:val="auto"/>
                <w:vertAlign w:val="superscript"/>
              </w:rPr>
              <w:t>(3)</w:t>
            </w:r>
          </w:p>
        </w:tc>
        <w:tc>
          <w:tcPr>
            <w:tcW w:w="940" w:type="dxa"/>
            <w:vAlign w:val="bottom"/>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Disability</w:t>
            </w:r>
          </w:p>
        </w:tc>
      </w:tr>
      <w:tr>
        <w:trPr>
          <w:trHeight w:val="171"/>
        </w:trPr>
        <w:tc>
          <w:tcPr>
            <w:tcW w:w="192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4"/>
                <w:szCs w:val="14"/>
                <w:b w:val="1"/>
                <w:bCs w:val="1"/>
                <w:color w:val="auto"/>
              </w:rPr>
              <w:t>Type of Compensation</w:t>
            </w:r>
          </w:p>
        </w:tc>
        <w:tc>
          <w:tcPr>
            <w:tcW w:w="1120" w:type="dxa"/>
            <w:vAlign w:val="bottom"/>
            <w:tcBorders>
              <w:bottom w:val="single" w:sz="8" w:color="auto"/>
            </w:tcBorders>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F3F3F4"/>
          </w:tcPr>
          <w:p>
            <w:pPr>
              <w:jc w:val="right"/>
              <w:ind w:right="4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F3F3F4"/>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155"/>
        </w:trPr>
        <w:tc>
          <w:tcPr>
            <w:tcW w:w="1920" w:type="dxa"/>
            <w:vAlign w:val="bottom"/>
          </w:tcPr>
          <w:p>
            <w:pPr>
              <w:spacing w:after="0" w:line="155" w:lineRule="exact"/>
              <w:rPr>
                <w:sz w:val="20"/>
                <w:szCs w:val="20"/>
                <w:color w:val="auto"/>
              </w:rPr>
            </w:pPr>
            <w:r>
              <w:rPr>
                <w:rFonts w:ascii="Arial" w:cs="Arial" w:eastAsia="Arial" w:hAnsi="Arial"/>
                <w:sz w:val="14"/>
                <w:szCs w:val="14"/>
                <w:b w:val="1"/>
                <w:bCs w:val="1"/>
                <w:color w:val="auto"/>
              </w:rPr>
              <w:t>John J. Christmann IV</w:t>
            </w: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Cash Benefits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4,420,000</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12,680,900</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Health Insurance</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29,703</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59,406</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Life Insurance</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33,462</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Unvested &amp; Accelerated Awards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20,436,858</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12,709,287</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20,436,858</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20,436,858</w:t>
            </w:r>
          </w:p>
        </w:tc>
      </w:tr>
      <w:tr>
        <w:trPr>
          <w:trHeight w:val="156"/>
        </w:trPr>
        <w:tc>
          <w:tcPr>
            <w:tcW w:w="19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Stock Options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155,672</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50,611</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155,672</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155,672</w:t>
            </w:r>
          </w:p>
        </w:tc>
      </w:tr>
      <w:tr>
        <w:trPr>
          <w:trHeight w:val="155"/>
        </w:trPr>
        <w:tc>
          <w:tcPr>
            <w:tcW w:w="1920" w:type="dxa"/>
            <w:vAlign w:val="bottom"/>
            <w:tcBorders>
              <w:bottom w:val="single" w:sz="8" w:color="auto"/>
            </w:tcBorders>
            <w:shd w:val="clear" w:color="auto" w:fill="F3F3F4"/>
          </w:tcPr>
          <w:p>
            <w:pPr>
              <w:spacing w:after="0"/>
              <w:rPr>
                <w:sz w:val="13"/>
                <w:szCs w:val="13"/>
                <w:color w:val="auto"/>
              </w:rPr>
            </w:pPr>
          </w:p>
        </w:tc>
        <w:tc>
          <w:tcPr>
            <w:tcW w:w="2300" w:type="dxa"/>
            <w:vAlign w:val="bottom"/>
            <w:tcBorders>
              <w:bottom w:val="single" w:sz="8" w:color="auto"/>
            </w:tcBorders>
            <w:shd w:val="clear" w:color="auto" w:fill="F3F3F4"/>
          </w:tcPr>
          <w:p>
            <w:pPr>
              <w:spacing w:after="0" w:line="155" w:lineRule="exact"/>
              <w:rPr>
                <w:sz w:val="20"/>
                <w:szCs w:val="20"/>
                <w:color w:val="auto"/>
              </w:rPr>
            </w:pPr>
            <w:r>
              <w:rPr>
                <w:rFonts w:ascii="Arial" w:cs="Arial" w:eastAsia="Arial" w:hAnsi="Arial"/>
                <w:sz w:val="14"/>
                <w:szCs w:val="14"/>
                <w:b w:val="1"/>
                <w:bCs w:val="1"/>
                <w:color w:val="auto"/>
              </w:rPr>
              <w:t>Total</w:t>
            </w:r>
          </w:p>
        </w:tc>
        <w:tc>
          <w:tcPr>
            <w:tcW w:w="1120" w:type="dxa"/>
            <w:vAlign w:val="bottom"/>
            <w:tcBorders>
              <w:bottom w:val="single" w:sz="8" w:color="auto"/>
            </w:tcBorders>
            <w:shd w:val="clear" w:color="auto" w:fill="F3F3F4"/>
          </w:tcPr>
          <w:p>
            <w:pPr>
              <w:jc w:val="right"/>
              <w:ind w:right="8"/>
              <w:spacing w:after="0" w:line="155" w:lineRule="exact"/>
              <w:rPr>
                <w:sz w:val="20"/>
                <w:szCs w:val="20"/>
                <w:color w:val="auto"/>
              </w:rPr>
            </w:pPr>
            <w:r>
              <w:rPr>
                <w:rFonts w:ascii="Arial" w:cs="Arial" w:eastAsia="Arial" w:hAnsi="Arial"/>
                <w:sz w:val="14"/>
                <w:szCs w:val="14"/>
                <w:b w:val="1"/>
                <w:bCs w:val="1"/>
                <w:color w:val="auto"/>
              </w:rPr>
              <w:t>20,592,530</w:t>
            </w:r>
          </w:p>
        </w:tc>
        <w:tc>
          <w:tcPr>
            <w:tcW w:w="960" w:type="dxa"/>
            <w:vAlign w:val="bottom"/>
            <w:tcBorders>
              <w:bottom w:val="single" w:sz="8" w:color="auto"/>
            </w:tcBorders>
            <w:shd w:val="clear" w:color="auto" w:fill="F3F3F4"/>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17,209,601</w:t>
            </w:r>
          </w:p>
        </w:tc>
        <w:tc>
          <w:tcPr>
            <w:tcW w:w="1180" w:type="dxa"/>
            <w:vAlign w:val="bottom"/>
            <w:tcBorders>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33,366,298</w:t>
            </w:r>
          </w:p>
        </w:tc>
        <w:tc>
          <w:tcPr>
            <w:tcW w:w="940" w:type="dxa"/>
            <w:vAlign w:val="bottom"/>
            <w:tcBorders>
              <w:bottom w:val="single" w:sz="8" w:color="auto"/>
            </w:tcBorders>
            <w:shd w:val="clear" w:color="auto" w:fill="F3F3F4"/>
          </w:tcPr>
          <w:p>
            <w:pPr>
              <w:jc w:val="right"/>
              <w:ind w:right="28"/>
              <w:spacing w:after="0" w:line="155" w:lineRule="exact"/>
              <w:rPr>
                <w:sz w:val="20"/>
                <w:szCs w:val="20"/>
                <w:color w:val="auto"/>
              </w:rPr>
            </w:pPr>
            <w:r>
              <w:rPr>
                <w:rFonts w:ascii="Arial" w:cs="Arial" w:eastAsia="Arial" w:hAnsi="Arial"/>
                <w:sz w:val="14"/>
                <w:szCs w:val="14"/>
                <w:b w:val="1"/>
                <w:bCs w:val="1"/>
                <w:color w:val="auto"/>
              </w:rPr>
              <w:t>20,592,530</w:t>
            </w:r>
          </w:p>
        </w:tc>
      </w:tr>
      <w:tr>
        <w:trPr>
          <w:trHeight w:val="156"/>
        </w:trPr>
        <w:tc>
          <w:tcPr>
            <w:tcW w:w="1920" w:type="dxa"/>
            <w:vAlign w:val="bottom"/>
          </w:tcPr>
          <w:p>
            <w:pPr>
              <w:spacing w:after="0" w:line="156" w:lineRule="exact"/>
              <w:rPr>
                <w:sz w:val="20"/>
                <w:szCs w:val="20"/>
                <w:color w:val="auto"/>
              </w:rPr>
            </w:pPr>
            <w:r>
              <w:rPr>
                <w:rFonts w:ascii="Arial" w:cs="Arial" w:eastAsia="Arial" w:hAnsi="Arial"/>
                <w:sz w:val="14"/>
                <w:szCs w:val="14"/>
                <w:b w:val="1"/>
                <w:bCs w:val="1"/>
                <w:color w:val="auto"/>
              </w:rPr>
              <w:t>Stephen J. Riney</w:t>
            </w:r>
            <w:r>
              <w:rPr>
                <w:rFonts w:ascii="Arial" w:cs="Arial" w:eastAsia="Arial" w:hAnsi="Arial"/>
                <w:sz w:val="18"/>
                <w:szCs w:val="18"/>
                <w:color w:val="auto"/>
                <w:vertAlign w:val="superscript"/>
              </w:rPr>
              <w:t>(4)</w:t>
            </w: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Cash Benefits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2,655,000</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7,378,755</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Health Insurance</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10,249</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20,499</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Life Insurance</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19,880</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6" w:lineRule="exact"/>
              <w:rPr>
                <w:sz w:val="20"/>
                <w:szCs w:val="20"/>
                <w:color w:val="auto"/>
              </w:rPr>
            </w:pPr>
            <w:r>
              <w:rPr>
                <w:rFonts w:ascii="Arial" w:cs="Arial" w:eastAsia="Arial" w:hAnsi="Arial"/>
                <w:sz w:val="14"/>
                <w:szCs w:val="14"/>
                <w:color w:val="auto"/>
              </w:rPr>
              <w:t>Unvested &amp; Accelerated Awards</w:t>
            </w:r>
            <w:r>
              <w:rPr>
                <w:rFonts w:ascii="Arial" w:cs="Arial" w:eastAsia="Arial" w:hAnsi="Arial"/>
                <w:sz w:val="18"/>
                <w:szCs w:val="18"/>
                <w:color w:val="auto"/>
                <w:vertAlign w:val="superscript"/>
              </w:rPr>
              <w:t>(4)</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11,029,526</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6,633,071</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11,029,526</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11,029,526</w:t>
            </w:r>
          </w:p>
        </w:tc>
      </w:tr>
      <w:tr>
        <w:trPr>
          <w:trHeight w:val="156"/>
        </w:trPr>
        <w:tc>
          <w:tcPr>
            <w:tcW w:w="19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Stock Options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88,580</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28,798</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88,580</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88,580</w:t>
            </w:r>
          </w:p>
        </w:tc>
      </w:tr>
      <w:tr>
        <w:trPr>
          <w:trHeight w:val="156"/>
        </w:trPr>
        <w:tc>
          <w:tcPr>
            <w:tcW w:w="1920" w:type="dxa"/>
            <w:vAlign w:val="bottom"/>
            <w:tcBorders>
              <w:bottom w:val="single" w:sz="8" w:color="auto"/>
            </w:tcBorders>
            <w:shd w:val="clear" w:color="auto" w:fill="F3F3F4"/>
          </w:tcPr>
          <w:p>
            <w:pPr>
              <w:spacing w:after="0"/>
              <w:rPr>
                <w:sz w:val="13"/>
                <w:szCs w:val="13"/>
                <w:color w:val="auto"/>
              </w:rPr>
            </w:pPr>
          </w:p>
        </w:tc>
        <w:tc>
          <w:tcPr>
            <w:tcW w:w="2300" w:type="dxa"/>
            <w:vAlign w:val="bottom"/>
            <w:tcBorders>
              <w:bottom w:val="single" w:sz="8" w:color="auto"/>
            </w:tcBorders>
            <w:shd w:val="clear" w:color="auto" w:fill="F3F3F4"/>
          </w:tcPr>
          <w:p>
            <w:pPr>
              <w:spacing w:after="0" w:line="155" w:lineRule="exact"/>
              <w:rPr>
                <w:sz w:val="20"/>
                <w:szCs w:val="20"/>
                <w:color w:val="auto"/>
              </w:rPr>
            </w:pPr>
            <w:r>
              <w:rPr>
                <w:rFonts w:ascii="Arial" w:cs="Arial" w:eastAsia="Arial" w:hAnsi="Arial"/>
                <w:sz w:val="14"/>
                <w:szCs w:val="14"/>
                <w:b w:val="1"/>
                <w:bCs w:val="1"/>
                <w:color w:val="auto"/>
              </w:rPr>
              <w:t>Total</w:t>
            </w:r>
          </w:p>
        </w:tc>
        <w:tc>
          <w:tcPr>
            <w:tcW w:w="1120" w:type="dxa"/>
            <w:vAlign w:val="bottom"/>
            <w:tcBorders>
              <w:bottom w:val="single" w:sz="8" w:color="auto"/>
            </w:tcBorders>
            <w:shd w:val="clear" w:color="auto" w:fill="F3F3F4"/>
          </w:tcPr>
          <w:p>
            <w:pPr>
              <w:jc w:val="right"/>
              <w:ind w:right="8"/>
              <w:spacing w:after="0" w:line="155" w:lineRule="exact"/>
              <w:rPr>
                <w:sz w:val="20"/>
                <w:szCs w:val="20"/>
                <w:color w:val="auto"/>
              </w:rPr>
            </w:pPr>
            <w:r>
              <w:rPr>
                <w:rFonts w:ascii="Arial" w:cs="Arial" w:eastAsia="Arial" w:hAnsi="Arial"/>
                <w:sz w:val="14"/>
                <w:szCs w:val="14"/>
                <w:b w:val="1"/>
                <w:bCs w:val="1"/>
                <w:color w:val="auto"/>
              </w:rPr>
              <w:t>11,118,106</w:t>
            </w:r>
          </w:p>
        </w:tc>
        <w:tc>
          <w:tcPr>
            <w:tcW w:w="960" w:type="dxa"/>
            <w:vAlign w:val="bottom"/>
            <w:tcBorders>
              <w:bottom w:val="single" w:sz="8" w:color="auto"/>
            </w:tcBorders>
            <w:shd w:val="clear" w:color="auto" w:fill="F3F3F4"/>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9,327,118</w:t>
            </w:r>
          </w:p>
        </w:tc>
        <w:tc>
          <w:tcPr>
            <w:tcW w:w="1180" w:type="dxa"/>
            <w:vAlign w:val="bottom"/>
            <w:tcBorders>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18,537,240</w:t>
            </w:r>
          </w:p>
        </w:tc>
        <w:tc>
          <w:tcPr>
            <w:tcW w:w="940" w:type="dxa"/>
            <w:vAlign w:val="bottom"/>
            <w:tcBorders>
              <w:bottom w:val="single" w:sz="8" w:color="auto"/>
            </w:tcBorders>
            <w:shd w:val="clear" w:color="auto" w:fill="F3F3F4"/>
          </w:tcPr>
          <w:p>
            <w:pPr>
              <w:jc w:val="right"/>
              <w:ind w:right="28"/>
              <w:spacing w:after="0" w:line="155" w:lineRule="exact"/>
              <w:rPr>
                <w:sz w:val="20"/>
                <w:szCs w:val="20"/>
                <w:color w:val="auto"/>
              </w:rPr>
            </w:pPr>
            <w:r>
              <w:rPr>
                <w:rFonts w:ascii="Arial" w:cs="Arial" w:eastAsia="Arial" w:hAnsi="Arial"/>
                <w:sz w:val="14"/>
                <w:szCs w:val="14"/>
                <w:b w:val="1"/>
                <w:bCs w:val="1"/>
                <w:color w:val="auto"/>
              </w:rPr>
              <w:t>11,118,106</w:t>
            </w:r>
          </w:p>
        </w:tc>
      </w:tr>
      <w:tr>
        <w:trPr>
          <w:trHeight w:val="155"/>
        </w:trPr>
        <w:tc>
          <w:tcPr>
            <w:tcW w:w="1920" w:type="dxa"/>
            <w:vAlign w:val="bottom"/>
          </w:tcPr>
          <w:p>
            <w:pPr>
              <w:spacing w:after="0" w:line="155" w:lineRule="exact"/>
              <w:rPr>
                <w:sz w:val="20"/>
                <w:szCs w:val="20"/>
                <w:color w:val="auto"/>
              </w:rPr>
            </w:pPr>
            <w:r>
              <w:rPr>
                <w:rFonts w:ascii="Arial" w:cs="Arial" w:eastAsia="Arial" w:hAnsi="Arial"/>
                <w:sz w:val="14"/>
                <w:szCs w:val="14"/>
                <w:b w:val="1"/>
                <w:bCs w:val="1"/>
                <w:color w:val="auto"/>
              </w:rPr>
              <w:t>Ben C. Rodgers</w:t>
            </w: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Cash Benefits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1,543,576</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4,051,813</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Health Insurance</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29,703</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59,406</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Life Insurance</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7,016</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Unvested &amp; Accelerated Awards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1,981,792</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3,203,204</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3,203,204</w:t>
            </w:r>
          </w:p>
        </w:tc>
      </w:tr>
      <w:tr>
        <w:trPr>
          <w:trHeight w:val="156"/>
        </w:trPr>
        <w:tc>
          <w:tcPr>
            <w:tcW w:w="19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Stock Options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7,999</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24,605</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24,605</w:t>
            </w:r>
          </w:p>
        </w:tc>
      </w:tr>
      <w:tr>
        <w:trPr>
          <w:trHeight w:val="155"/>
        </w:trPr>
        <w:tc>
          <w:tcPr>
            <w:tcW w:w="1920" w:type="dxa"/>
            <w:vAlign w:val="bottom"/>
            <w:tcBorders>
              <w:bottom w:val="single" w:sz="8" w:color="auto"/>
            </w:tcBorders>
            <w:shd w:val="clear" w:color="auto" w:fill="F3F3F4"/>
          </w:tcPr>
          <w:p>
            <w:pPr>
              <w:spacing w:after="0"/>
              <w:rPr>
                <w:sz w:val="13"/>
                <w:szCs w:val="13"/>
                <w:color w:val="auto"/>
              </w:rPr>
            </w:pPr>
          </w:p>
        </w:tc>
        <w:tc>
          <w:tcPr>
            <w:tcW w:w="2300" w:type="dxa"/>
            <w:vAlign w:val="bottom"/>
            <w:tcBorders>
              <w:bottom w:val="single" w:sz="8" w:color="auto"/>
            </w:tcBorders>
            <w:shd w:val="clear" w:color="auto" w:fill="F3F3F4"/>
          </w:tcPr>
          <w:p>
            <w:pPr>
              <w:spacing w:after="0" w:line="155" w:lineRule="exact"/>
              <w:rPr>
                <w:sz w:val="20"/>
                <w:szCs w:val="20"/>
                <w:color w:val="auto"/>
              </w:rPr>
            </w:pPr>
            <w:r>
              <w:rPr>
                <w:rFonts w:ascii="Arial" w:cs="Arial" w:eastAsia="Arial" w:hAnsi="Arial"/>
                <w:sz w:val="14"/>
                <w:szCs w:val="14"/>
                <w:b w:val="1"/>
                <w:bCs w:val="1"/>
                <w:color w:val="auto"/>
              </w:rPr>
              <w:t>Total</w:t>
            </w:r>
          </w:p>
        </w:tc>
        <w:tc>
          <w:tcPr>
            <w:tcW w:w="1120" w:type="dxa"/>
            <w:vAlign w:val="bottom"/>
            <w:tcBorders>
              <w:bottom w:val="single" w:sz="8" w:color="auto"/>
            </w:tcBorders>
            <w:shd w:val="clear" w:color="auto" w:fill="F3F3F4"/>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F3F3F4"/>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3,563,070</w:t>
            </w:r>
          </w:p>
        </w:tc>
        <w:tc>
          <w:tcPr>
            <w:tcW w:w="1180" w:type="dxa"/>
            <w:vAlign w:val="bottom"/>
            <w:tcBorders>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7,346,044</w:t>
            </w:r>
          </w:p>
        </w:tc>
        <w:tc>
          <w:tcPr>
            <w:tcW w:w="940" w:type="dxa"/>
            <w:vAlign w:val="bottom"/>
            <w:tcBorders>
              <w:bottom w:val="single" w:sz="8" w:color="auto"/>
            </w:tcBorders>
            <w:shd w:val="clear" w:color="auto" w:fill="F3F3F4"/>
          </w:tcPr>
          <w:p>
            <w:pPr>
              <w:jc w:val="right"/>
              <w:ind w:right="28"/>
              <w:spacing w:after="0" w:line="155" w:lineRule="exact"/>
              <w:rPr>
                <w:sz w:val="20"/>
                <w:szCs w:val="20"/>
                <w:color w:val="auto"/>
              </w:rPr>
            </w:pPr>
            <w:r>
              <w:rPr>
                <w:rFonts w:ascii="Arial" w:cs="Arial" w:eastAsia="Arial" w:hAnsi="Arial"/>
                <w:sz w:val="14"/>
                <w:szCs w:val="14"/>
                <w:b w:val="1"/>
                <w:bCs w:val="1"/>
                <w:color w:val="auto"/>
              </w:rPr>
              <w:t>3,227,809</w:t>
            </w:r>
          </w:p>
        </w:tc>
      </w:tr>
      <w:tr>
        <w:trPr>
          <w:trHeight w:val="156"/>
        </w:trPr>
        <w:tc>
          <w:tcPr>
            <w:tcW w:w="1920" w:type="dxa"/>
            <w:vAlign w:val="bottom"/>
          </w:tcPr>
          <w:p>
            <w:pPr>
              <w:spacing w:after="0" w:line="155" w:lineRule="exact"/>
              <w:rPr>
                <w:sz w:val="20"/>
                <w:szCs w:val="20"/>
                <w:color w:val="auto"/>
              </w:rPr>
            </w:pPr>
            <w:r>
              <w:rPr>
                <w:rFonts w:ascii="Arial" w:cs="Arial" w:eastAsia="Arial" w:hAnsi="Arial"/>
                <w:sz w:val="14"/>
                <w:szCs w:val="14"/>
                <w:b w:val="1"/>
                <w:bCs w:val="1"/>
                <w:color w:val="auto"/>
              </w:rPr>
              <w:t>Tracey K. Henderson</w:t>
            </w: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Cash Benefits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1,718,750</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4,833,550</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Health Insurance</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19,601</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39,201</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Life Insurance</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19,944</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Unvested &amp; Accelerated Awards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3,017,216</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4,847,562</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4,847,562</w:t>
            </w:r>
          </w:p>
        </w:tc>
      </w:tr>
      <w:tr>
        <w:trPr>
          <w:trHeight w:val="155"/>
        </w:trPr>
        <w:tc>
          <w:tcPr>
            <w:tcW w:w="19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Stock Options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11,666</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35,883</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35,883</w:t>
            </w:r>
          </w:p>
        </w:tc>
      </w:tr>
      <w:tr>
        <w:trPr>
          <w:trHeight w:val="155"/>
        </w:trPr>
        <w:tc>
          <w:tcPr>
            <w:tcW w:w="1920" w:type="dxa"/>
            <w:vAlign w:val="bottom"/>
            <w:tcBorders>
              <w:bottom w:val="single" w:sz="8" w:color="auto"/>
            </w:tcBorders>
            <w:shd w:val="clear" w:color="auto" w:fill="F3F3F4"/>
          </w:tcPr>
          <w:p>
            <w:pPr>
              <w:spacing w:after="0"/>
              <w:rPr>
                <w:sz w:val="13"/>
                <w:szCs w:val="13"/>
                <w:color w:val="auto"/>
              </w:rPr>
            </w:pPr>
          </w:p>
        </w:tc>
        <w:tc>
          <w:tcPr>
            <w:tcW w:w="2300" w:type="dxa"/>
            <w:vAlign w:val="bottom"/>
            <w:tcBorders>
              <w:bottom w:val="single" w:sz="8" w:color="auto"/>
            </w:tcBorders>
            <w:shd w:val="clear" w:color="auto" w:fill="F3F3F4"/>
          </w:tcPr>
          <w:p>
            <w:pPr>
              <w:spacing w:after="0" w:line="155" w:lineRule="exact"/>
              <w:rPr>
                <w:sz w:val="20"/>
                <w:szCs w:val="20"/>
                <w:color w:val="auto"/>
              </w:rPr>
            </w:pPr>
            <w:r>
              <w:rPr>
                <w:rFonts w:ascii="Arial" w:cs="Arial" w:eastAsia="Arial" w:hAnsi="Arial"/>
                <w:sz w:val="14"/>
                <w:szCs w:val="14"/>
                <w:b w:val="1"/>
                <w:bCs w:val="1"/>
                <w:color w:val="auto"/>
              </w:rPr>
              <w:t>Total</w:t>
            </w:r>
          </w:p>
        </w:tc>
        <w:tc>
          <w:tcPr>
            <w:tcW w:w="1120" w:type="dxa"/>
            <w:vAlign w:val="bottom"/>
            <w:tcBorders>
              <w:bottom w:val="single" w:sz="8" w:color="auto"/>
            </w:tcBorders>
            <w:shd w:val="clear" w:color="auto" w:fill="F3F3F4"/>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F3F3F4"/>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4,767,233</w:t>
            </w:r>
          </w:p>
        </w:tc>
        <w:tc>
          <w:tcPr>
            <w:tcW w:w="1180" w:type="dxa"/>
            <w:vAlign w:val="bottom"/>
            <w:tcBorders>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9,776,140</w:t>
            </w:r>
          </w:p>
        </w:tc>
        <w:tc>
          <w:tcPr>
            <w:tcW w:w="940" w:type="dxa"/>
            <w:vAlign w:val="bottom"/>
            <w:tcBorders>
              <w:bottom w:val="single" w:sz="8" w:color="auto"/>
            </w:tcBorders>
            <w:shd w:val="clear" w:color="auto" w:fill="F3F3F4"/>
          </w:tcPr>
          <w:p>
            <w:pPr>
              <w:jc w:val="right"/>
              <w:ind w:right="28"/>
              <w:spacing w:after="0" w:line="155" w:lineRule="exact"/>
              <w:rPr>
                <w:sz w:val="20"/>
                <w:szCs w:val="20"/>
                <w:color w:val="auto"/>
              </w:rPr>
            </w:pPr>
            <w:r>
              <w:rPr>
                <w:rFonts w:ascii="Arial" w:cs="Arial" w:eastAsia="Arial" w:hAnsi="Arial"/>
                <w:sz w:val="14"/>
                <w:szCs w:val="14"/>
                <w:b w:val="1"/>
                <w:bCs w:val="1"/>
                <w:color w:val="auto"/>
              </w:rPr>
              <w:t>4,883,445</w:t>
            </w:r>
          </w:p>
        </w:tc>
      </w:tr>
      <w:tr>
        <w:trPr>
          <w:trHeight w:val="155"/>
        </w:trPr>
        <w:tc>
          <w:tcPr>
            <w:tcW w:w="1920" w:type="dxa"/>
            <w:vAlign w:val="bottom"/>
          </w:tcPr>
          <w:p>
            <w:pPr>
              <w:spacing w:after="0" w:line="155" w:lineRule="exact"/>
              <w:rPr>
                <w:sz w:val="20"/>
                <w:szCs w:val="20"/>
                <w:color w:val="auto"/>
              </w:rPr>
            </w:pPr>
            <w:r>
              <w:rPr>
                <w:rFonts w:ascii="Arial" w:cs="Arial" w:eastAsia="Arial" w:hAnsi="Arial"/>
                <w:sz w:val="14"/>
                <w:szCs w:val="14"/>
                <w:b w:val="1"/>
                <w:bCs w:val="1"/>
                <w:color w:val="auto"/>
              </w:rPr>
              <w:t>Kimberly O. Warnica</w:t>
            </w: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Cash Benefits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1,668,861</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4,341,011</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Health Insurance</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32,478</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64,955</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Life Insurance</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19,041</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Unvested &amp; Accelerated Awards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580,247</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1,754,017</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1,754,017</w:t>
            </w:r>
          </w:p>
        </w:tc>
      </w:tr>
      <w:tr>
        <w:trPr>
          <w:trHeight w:val="155"/>
        </w:trPr>
        <w:tc>
          <w:tcPr>
            <w:tcW w:w="19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Stock Options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11,666</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35,883</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35,883</w:t>
            </w:r>
          </w:p>
        </w:tc>
      </w:tr>
      <w:tr>
        <w:trPr>
          <w:trHeight w:val="155"/>
        </w:trPr>
        <w:tc>
          <w:tcPr>
            <w:tcW w:w="1920" w:type="dxa"/>
            <w:vAlign w:val="bottom"/>
            <w:tcBorders>
              <w:bottom w:val="single" w:sz="8" w:color="auto"/>
            </w:tcBorders>
            <w:shd w:val="clear" w:color="auto" w:fill="F3F3F4"/>
          </w:tcPr>
          <w:p>
            <w:pPr>
              <w:spacing w:after="0"/>
              <w:rPr>
                <w:sz w:val="13"/>
                <w:szCs w:val="13"/>
                <w:color w:val="auto"/>
              </w:rPr>
            </w:pPr>
          </w:p>
        </w:tc>
        <w:tc>
          <w:tcPr>
            <w:tcW w:w="2300" w:type="dxa"/>
            <w:vAlign w:val="bottom"/>
            <w:tcBorders>
              <w:bottom w:val="single" w:sz="8" w:color="auto"/>
            </w:tcBorders>
            <w:shd w:val="clear" w:color="auto" w:fill="F3F3F4"/>
          </w:tcPr>
          <w:p>
            <w:pPr>
              <w:spacing w:after="0" w:line="155" w:lineRule="exact"/>
              <w:rPr>
                <w:sz w:val="20"/>
                <w:szCs w:val="20"/>
                <w:color w:val="auto"/>
              </w:rPr>
            </w:pPr>
            <w:r>
              <w:rPr>
                <w:rFonts w:ascii="Arial" w:cs="Arial" w:eastAsia="Arial" w:hAnsi="Arial"/>
                <w:sz w:val="14"/>
                <w:szCs w:val="14"/>
                <w:b w:val="1"/>
                <w:bCs w:val="1"/>
                <w:color w:val="auto"/>
              </w:rPr>
              <w:t>Total</w:t>
            </w:r>
          </w:p>
        </w:tc>
        <w:tc>
          <w:tcPr>
            <w:tcW w:w="1120" w:type="dxa"/>
            <w:vAlign w:val="bottom"/>
            <w:tcBorders>
              <w:bottom w:val="single" w:sz="8" w:color="auto"/>
            </w:tcBorders>
            <w:shd w:val="clear" w:color="auto" w:fill="F3F3F4"/>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F3F3F4"/>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2,293,252</w:t>
            </w:r>
          </w:p>
        </w:tc>
        <w:tc>
          <w:tcPr>
            <w:tcW w:w="1180" w:type="dxa"/>
            <w:vAlign w:val="bottom"/>
            <w:tcBorders>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6,214,907</w:t>
            </w:r>
          </w:p>
        </w:tc>
        <w:tc>
          <w:tcPr>
            <w:tcW w:w="940" w:type="dxa"/>
            <w:vAlign w:val="bottom"/>
            <w:tcBorders>
              <w:bottom w:val="single" w:sz="8" w:color="auto"/>
            </w:tcBorders>
            <w:shd w:val="clear" w:color="auto" w:fill="F3F3F4"/>
          </w:tcPr>
          <w:p>
            <w:pPr>
              <w:jc w:val="right"/>
              <w:ind w:right="28"/>
              <w:spacing w:after="0" w:line="155" w:lineRule="exact"/>
              <w:rPr>
                <w:sz w:val="20"/>
                <w:szCs w:val="20"/>
                <w:color w:val="auto"/>
              </w:rPr>
            </w:pPr>
            <w:r>
              <w:rPr>
                <w:rFonts w:ascii="Arial" w:cs="Arial" w:eastAsia="Arial" w:hAnsi="Arial"/>
                <w:sz w:val="14"/>
                <w:szCs w:val="14"/>
                <w:b w:val="1"/>
                <w:bCs w:val="1"/>
                <w:color w:val="auto"/>
              </w:rPr>
              <w:t>1,789,900</w:t>
            </w:r>
          </w:p>
        </w:tc>
      </w:tr>
      <w:tr>
        <w:trPr>
          <w:trHeight w:val="155"/>
        </w:trPr>
        <w:tc>
          <w:tcPr>
            <w:tcW w:w="1920" w:type="dxa"/>
            <w:vAlign w:val="bottom"/>
          </w:tcPr>
          <w:p>
            <w:pPr>
              <w:spacing w:after="0" w:line="156" w:lineRule="exact"/>
              <w:rPr>
                <w:sz w:val="20"/>
                <w:szCs w:val="20"/>
                <w:color w:val="auto"/>
              </w:rPr>
            </w:pPr>
            <w:r>
              <w:rPr>
                <w:rFonts w:ascii="Arial" w:cs="Arial" w:eastAsia="Arial" w:hAnsi="Arial"/>
                <w:sz w:val="14"/>
                <w:szCs w:val="14"/>
                <w:b w:val="1"/>
                <w:bCs w:val="1"/>
                <w:color w:val="auto"/>
              </w:rPr>
              <w:t>D. Clay Bretches</w:t>
            </w:r>
            <w:r>
              <w:rPr>
                <w:rFonts w:ascii="Arial" w:cs="Arial" w:eastAsia="Arial" w:hAnsi="Arial"/>
                <w:sz w:val="18"/>
                <w:szCs w:val="18"/>
                <w:color w:val="auto"/>
                <w:vertAlign w:val="superscript"/>
              </w:rPr>
              <w:t>(5)</w:t>
            </w: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Cash Benefits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1,468,125</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6"/>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Health Insurance</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19,601</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Life Insurance</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Unvested &amp; Accelerated Awards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2,473,268</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Stock Options</w:t>
            </w: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6,245</w:t>
            </w:r>
          </w:p>
        </w:tc>
        <w:tc>
          <w:tcPr>
            <w:tcW w:w="11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r>
      <w:tr>
        <w:trPr>
          <w:trHeight w:val="155"/>
        </w:trPr>
        <w:tc>
          <w:tcPr>
            <w:tcW w:w="1920" w:type="dxa"/>
            <w:vAlign w:val="bottom"/>
            <w:tcBorders>
              <w:bottom w:val="single" w:sz="8" w:color="auto"/>
            </w:tcBorders>
            <w:shd w:val="clear" w:color="auto" w:fill="F3F3F4"/>
          </w:tcPr>
          <w:p>
            <w:pPr>
              <w:spacing w:after="0"/>
              <w:rPr>
                <w:sz w:val="13"/>
                <w:szCs w:val="13"/>
                <w:color w:val="auto"/>
              </w:rPr>
            </w:pPr>
          </w:p>
        </w:tc>
        <w:tc>
          <w:tcPr>
            <w:tcW w:w="2300" w:type="dxa"/>
            <w:vAlign w:val="bottom"/>
            <w:tcBorders>
              <w:bottom w:val="single" w:sz="8" w:color="auto"/>
            </w:tcBorders>
            <w:shd w:val="clear" w:color="auto" w:fill="F3F3F4"/>
          </w:tcPr>
          <w:p>
            <w:pPr>
              <w:spacing w:after="0" w:line="155" w:lineRule="exact"/>
              <w:rPr>
                <w:sz w:val="20"/>
                <w:szCs w:val="20"/>
                <w:color w:val="auto"/>
              </w:rPr>
            </w:pPr>
            <w:r>
              <w:rPr>
                <w:rFonts w:ascii="Arial" w:cs="Arial" w:eastAsia="Arial" w:hAnsi="Arial"/>
                <w:sz w:val="14"/>
                <w:szCs w:val="14"/>
                <w:b w:val="1"/>
                <w:bCs w:val="1"/>
                <w:color w:val="auto"/>
              </w:rPr>
              <w:t>Total</w:t>
            </w:r>
          </w:p>
        </w:tc>
        <w:tc>
          <w:tcPr>
            <w:tcW w:w="1120" w:type="dxa"/>
            <w:vAlign w:val="bottom"/>
            <w:tcBorders>
              <w:bottom w:val="single" w:sz="8" w:color="auto"/>
            </w:tcBorders>
            <w:shd w:val="clear" w:color="auto" w:fill="F3F3F4"/>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F3F3F4"/>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3,967,239</w:t>
            </w:r>
          </w:p>
        </w:tc>
        <w:tc>
          <w:tcPr>
            <w:tcW w:w="1180" w:type="dxa"/>
            <w:vAlign w:val="bottom"/>
            <w:tcBorders>
              <w:bottom w:val="single" w:sz="8" w:color="auto"/>
            </w:tcBorders>
            <w:shd w:val="clear" w:color="auto" w:fill="F3F3F4"/>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F3F3F4"/>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r>
    </w:tbl>
    <w:p>
      <w:pPr>
        <w:spacing w:after="0" w:line="58" w:lineRule="exact"/>
        <w:rPr>
          <w:sz w:val="20"/>
          <w:szCs w:val="20"/>
          <w:color w:val="auto"/>
        </w:rPr>
      </w:pPr>
    </w:p>
    <w:p>
      <w:pPr>
        <w:ind w:left="240" w:right="60" w:hanging="232"/>
        <w:spacing w:after="0" w:line="256" w:lineRule="auto"/>
        <w:rPr>
          <w:sz w:val="20"/>
          <w:szCs w:val="20"/>
          <w:color w:val="auto"/>
        </w:rPr>
      </w:pPr>
      <w:r>
        <w:rPr>
          <w:rFonts w:ascii="Arial" w:cs="Arial" w:eastAsia="Arial" w:hAnsi="Arial"/>
          <w:sz w:val="14"/>
          <w:szCs w:val="14"/>
          <w:color w:val="404040"/>
        </w:rPr>
        <w:t>(1) The awards allow continued vesting beyond retirement after attaining age 55 and a specified combination of age and years of service. This provision also applies to performance awards for eligible participants, provided that such retirement occurs after the first three months of the performance period and not before. As of December 31, 2025, each NEO’s age and years of service would have resulted in continued vesting of such NEO’s outstanding awards beyond retirement, subject to compliance with conditions set forth in the plan and the awards, in the following percentages:</w:t>
      </w:r>
    </w:p>
    <w:p>
      <w:pPr>
        <w:spacing w:after="0" w:line="31"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140" w:type="dxa"/>
            <w:vAlign w:val="bottom"/>
            <w:tcBorders>
              <w:top w:val="single" w:sz="8" w:color="auto"/>
              <w:bottom w:val="single" w:sz="8" w:color="auto"/>
            </w:tcBorders>
            <w:shd w:val="clear" w:color="auto" w:fill="F3F3F4"/>
          </w:tcPr>
          <w:p>
            <w:pPr>
              <w:spacing w:after="0"/>
              <w:rPr>
                <w:sz w:val="16"/>
                <w:szCs w:val="16"/>
                <w:color w:val="auto"/>
              </w:rPr>
            </w:pPr>
          </w:p>
        </w:tc>
        <w:tc>
          <w:tcPr>
            <w:tcW w:w="1520" w:type="dxa"/>
            <w:vAlign w:val="bottom"/>
            <w:tcBorders>
              <w:top w:val="single" w:sz="8" w:color="auto"/>
              <w:bottom w:val="single" w:sz="8" w:color="auto"/>
            </w:tcBorders>
            <w:shd w:val="clear" w:color="auto" w:fill="F3F3F4"/>
          </w:tcPr>
          <w:p>
            <w:pPr>
              <w:jc w:val="right"/>
              <w:ind w:right="208"/>
              <w:spacing w:after="0"/>
              <w:rPr>
                <w:sz w:val="20"/>
                <w:szCs w:val="20"/>
                <w:color w:val="auto"/>
              </w:rPr>
            </w:pPr>
            <w:r>
              <w:rPr>
                <w:rFonts w:ascii="Arial" w:cs="Arial" w:eastAsia="Arial" w:hAnsi="Arial"/>
                <w:sz w:val="14"/>
                <w:szCs w:val="14"/>
                <w:b w:val="1"/>
                <w:bCs w:val="1"/>
                <w:color w:val="auto"/>
              </w:rPr>
              <w:t>Christmann</w:t>
            </w:r>
          </w:p>
        </w:tc>
        <w:tc>
          <w:tcPr>
            <w:tcW w:w="800" w:type="dxa"/>
            <w:vAlign w:val="bottom"/>
            <w:tcBorders>
              <w:top w:val="single" w:sz="8" w:color="auto"/>
              <w:bottom w:val="single" w:sz="8" w:color="auto"/>
            </w:tcBorders>
            <w:shd w:val="clear" w:color="auto" w:fill="F3F3F4"/>
          </w:tcPr>
          <w:p>
            <w:pPr>
              <w:jc w:val="right"/>
              <w:ind w:right="68"/>
              <w:spacing w:after="0"/>
              <w:rPr>
                <w:sz w:val="20"/>
                <w:szCs w:val="20"/>
                <w:color w:val="auto"/>
              </w:rPr>
            </w:pPr>
            <w:r>
              <w:rPr>
                <w:rFonts w:ascii="Arial" w:cs="Arial" w:eastAsia="Arial" w:hAnsi="Arial"/>
                <w:sz w:val="14"/>
                <w:szCs w:val="14"/>
                <w:b w:val="1"/>
                <w:bCs w:val="1"/>
                <w:color w:val="auto"/>
              </w:rPr>
              <w:t>Riney</w:t>
            </w:r>
          </w:p>
        </w:tc>
        <w:tc>
          <w:tcPr>
            <w:tcW w:w="860" w:type="dxa"/>
            <w:vAlign w:val="bottom"/>
            <w:tcBorders>
              <w:top w:val="single" w:sz="8" w:color="auto"/>
              <w:bottom w:val="single" w:sz="8" w:color="auto"/>
            </w:tcBorders>
            <w:shd w:val="clear" w:color="auto" w:fill="F3F3F4"/>
          </w:tcPr>
          <w:p>
            <w:pPr>
              <w:jc w:val="right"/>
              <w:ind w:right="48"/>
              <w:spacing w:after="0"/>
              <w:rPr>
                <w:sz w:val="20"/>
                <w:szCs w:val="20"/>
                <w:color w:val="auto"/>
              </w:rPr>
            </w:pPr>
            <w:r>
              <w:rPr>
                <w:rFonts w:ascii="Arial" w:cs="Arial" w:eastAsia="Arial" w:hAnsi="Arial"/>
                <w:sz w:val="14"/>
                <w:szCs w:val="14"/>
                <w:b w:val="1"/>
                <w:bCs w:val="1"/>
                <w:color w:val="auto"/>
              </w:rPr>
              <w:t>Rodgers</w:t>
            </w:r>
          </w:p>
        </w:tc>
        <w:tc>
          <w:tcPr>
            <w:tcW w:w="1080" w:type="dxa"/>
            <w:vAlign w:val="bottom"/>
            <w:tcBorders>
              <w:top w:val="single" w:sz="8" w:color="auto"/>
              <w:bottom w:val="single" w:sz="8" w:color="auto"/>
            </w:tcBorders>
            <w:shd w:val="clear" w:color="auto" w:fill="F3F3F4"/>
          </w:tcPr>
          <w:p>
            <w:pPr>
              <w:jc w:val="right"/>
              <w:ind w:right="148"/>
              <w:spacing w:after="0"/>
              <w:rPr>
                <w:sz w:val="20"/>
                <w:szCs w:val="20"/>
                <w:color w:val="auto"/>
              </w:rPr>
            </w:pPr>
            <w:r>
              <w:rPr>
                <w:rFonts w:ascii="Arial" w:cs="Arial" w:eastAsia="Arial" w:hAnsi="Arial"/>
                <w:sz w:val="14"/>
                <w:szCs w:val="14"/>
                <w:b w:val="1"/>
                <w:bCs w:val="1"/>
                <w:color w:val="auto"/>
              </w:rPr>
              <w:t>Henderson</w:t>
            </w:r>
          </w:p>
        </w:tc>
        <w:tc>
          <w:tcPr>
            <w:tcW w:w="1040" w:type="dxa"/>
            <w:vAlign w:val="bottom"/>
            <w:tcBorders>
              <w:top w:val="single" w:sz="8" w:color="auto"/>
              <w:bottom w:val="single" w:sz="8" w:color="auto"/>
            </w:tcBorders>
            <w:shd w:val="clear" w:color="auto" w:fill="F3F3F4"/>
          </w:tcPr>
          <w:p>
            <w:pPr>
              <w:jc w:val="right"/>
              <w:ind w:right="168"/>
              <w:spacing w:after="0"/>
              <w:rPr>
                <w:sz w:val="20"/>
                <w:szCs w:val="20"/>
                <w:color w:val="auto"/>
              </w:rPr>
            </w:pPr>
            <w:r>
              <w:rPr>
                <w:rFonts w:ascii="Arial" w:cs="Arial" w:eastAsia="Arial" w:hAnsi="Arial"/>
                <w:sz w:val="14"/>
                <w:szCs w:val="14"/>
                <w:b w:val="1"/>
                <w:bCs w:val="1"/>
                <w:color w:val="auto"/>
              </w:rPr>
              <w:t>Warnica</w:t>
            </w:r>
          </w:p>
        </w:tc>
        <w:tc>
          <w:tcPr>
            <w:tcW w:w="880" w:type="dxa"/>
            <w:vAlign w:val="bottom"/>
            <w:tcBorders>
              <w:top w:val="single" w:sz="8" w:color="auto"/>
              <w:bottom w:val="single" w:sz="8" w:color="auto"/>
            </w:tcBorders>
            <w:shd w:val="clear" w:color="auto" w:fill="F3F3F4"/>
          </w:tcPr>
          <w:p>
            <w:pPr>
              <w:jc w:val="right"/>
              <w:spacing w:after="0"/>
              <w:rPr>
                <w:sz w:val="20"/>
                <w:szCs w:val="20"/>
                <w:color w:val="auto"/>
              </w:rPr>
            </w:pPr>
            <w:r>
              <w:rPr>
                <w:rFonts w:ascii="Arial" w:cs="Arial" w:eastAsia="Arial" w:hAnsi="Arial"/>
                <w:sz w:val="14"/>
                <w:szCs w:val="14"/>
                <w:b w:val="1"/>
                <w:bCs w:val="1"/>
                <w:color w:val="auto"/>
              </w:rPr>
              <w:t>Bretches</w:t>
            </w:r>
          </w:p>
        </w:tc>
      </w:tr>
      <w:tr>
        <w:trPr>
          <w:trHeight w:val="155"/>
        </w:trPr>
        <w:tc>
          <w:tcPr>
            <w:tcW w:w="2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Continued Vesting Beyond Retirement (%)</w:t>
            </w:r>
          </w:p>
        </w:tc>
        <w:tc>
          <w:tcPr>
            <w:tcW w:w="152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100</w:t>
            </w:r>
          </w:p>
        </w:tc>
        <w:tc>
          <w:tcPr>
            <w:tcW w:w="8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100</w:t>
            </w: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404040"/>
        </w:rPr>
        <w:t>(2) Reflects amounts in accordance with the Executive Termination Policy (ETP) as amended and restated on March 1, 2021. Under the ETP, each</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4"/>
          <w:szCs w:val="14"/>
          <w:color w:val="404040"/>
        </w:rPr>
        <w:t>NEO would be entitled to receive the following benefits in connection with a termination of employment without cause:</w:t>
      </w:r>
    </w:p>
    <w:p>
      <w:pPr>
        <w:spacing w:after="0" w:line="15" w:lineRule="exact"/>
        <w:rPr>
          <w:sz w:val="20"/>
          <w:szCs w:val="20"/>
          <w:color w:val="auto"/>
        </w:rPr>
      </w:pPr>
    </w:p>
    <w:p>
      <w:pPr>
        <w:ind w:left="240" w:right="4020"/>
        <w:spacing w:after="0" w:line="262" w:lineRule="auto"/>
        <w:rPr>
          <w:sz w:val="20"/>
          <w:szCs w:val="20"/>
          <w:color w:val="auto"/>
        </w:rPr>
      </w:pPr>
      <w:r>
        <w:rPr>
          <w:rFonts w:ascii="Arial" w:cs="Arial" w:eastAsia="Arial" w:hAnsi="Arial"/>
          <w:sz w:val="14"/>
          <w:szCs w:val="14"/>
          <w:color w:val="595959"/>
        </w:rPr>
        <w:t xml:space="preserve">(i) </w:t>
      </w:r>
      <w:r>
        <w:rPr>
          <w:rFonts w:ascii="Arial" w:cs="Arial" w:eastAsia="Arial" w:hAnsi="Arial"/>
          <w:sz w:val="14"/>
          <w:szCs w:val="14"/>
          <w:color w:val="404040"/>
        </w:rPr>
        <w:t>two times base salary for the CEO and 1.75 times base salary for the other NEOs;</w:t>
      </w:r>
      <w:r>
        <w:rPr>
          <w:rFonts w:ascii="Arial" w:cs="Arial" w:eastAsia="Arial" w:hAnsi="Arial"/>
          <w:sz w:val="14"/>
          <w:szCs w:val="14"/>
          <w:color w:val="595959"/>
        </w:rPr>
        <w:t xml:space="preserve"> (ii) </w:t>
      </w:r>
      <w:r>
        <w:rPr>
          <w:rFonts w:ascii="Arial" w:cs="Arial" w:eastAsia="Arial" w:hAnsi="Arial"/>
          <w:sz w:val="14"/>
          <w:szCs w:val="14"/>
          <w:color w:val="404040"/>
        </w:rPr>
        <w:t>a prorated target bonus;</w:t>
      </w:r>
    </w:p>
    <w:p>
      <w:pPr>
        <w:ind w:left="240"/>
        <w:spacing w:after="0"/>
        <w:rPr>
          <w:sz w:val="20"/>
          <w:szCs w:val="20"/>
          <w:color w:val="auto"/>
        </w:rPr>
      </w:pPr>
      <w:r>
        <w:rPr>
          <w:rFonts w:ascii="Arial" w:cs="Arial" w:eastAsia="Arial" w:hAnsi="Arial"/>
          <w:sz w:val="14"/>
          <w:szCs w:val="14"/>
          <w:color w:val="595959"/>
        </w:rPr>
        <w:t xml:space="preserve">(iii) </w:t>
      </w:r>
      <w:r>
        <w:rPr>
          <w:rFonts w:ascii="Arial" w:cs="Arial" w:eastAsia="Arial" w:hAnsi="Arial"/>
          <w:sz w:val="14"/>
          <w:szCs w:val="14"/>
          <w:color w:val="404040"/>
        </w:rPr>
        <w:t>twelve months’ COBRA subsidy at active employee rates;</w:t>
      </w:r>
    </w:p>
    <w:p>
      <w:pPr>
        <w:spacing w:after="0" w:line="27" w:lineRule="exact"/>
        <w:rPr>
          <w:sz w:val="20"/>
          <w:szCs w:val="20"/>
          <w:color w:val="auto"/>
        </w:rPr>
      </w:pPr>
    </w:p>
    <w:p>
      <w:pPr>
        <w:ind w:left="480" w:right="140" w:hanging="232"/>
        <w:spacing w:after="0" w:line="251" w:lineRule="auto"/>
        <w:rPr>
          <w:sz w:val="20"/>
          <w:szCs w:val="20"/>
          <w:color w:val="auto"/>
        </w:rPr>
      </w:pPr>
      <w:r>
        <w:rPr>
          <w:rFonts w:ascii="Arial" w:cs="Arial" w:eastAsia="Arial" w:hAnsi="Arial"/>
          <w:sz w:val="14"/>
          <w:szCs w:val="14"/>
          <w:color w:val="595959"/>
        </w:rPr>
        <w:t xml:space="preserve">(iv) </w:t>
      </w:r>
      <w:r>
        <w:rPr>
          <w:rFonts w:ascii="Arial" w:cs="Arial" w:eastAsia="Arial" w:hAnsi="Arial"/>
          <w:sz w:val="14"/>
          <w:szCs w:val="14"/>
          <w:color w:val="404040"/>
        </w:rPr>
        <w:t>three years’ service credit toward retiree medical, which would apply only to Ms. Henderson, given her age and years of service, but the service</w:t>
      </w:r>
      <w:r>
        <w:rPr>
          <w:rFonts w:ascii="Arial" w:cs="Arial" w:eastAsia="Arial" w:hAnsi="Arial"/>
          <w:sz w:val="14"/>
          <w:szCs w:val="14"/>
          <w:color w:val="595959"/>
        </w:rPr>
        <w:t xml:space="preserve"> </w:t>
      </w:r>
      <w:r>
        <w:rPr>
          <w:rFonts w:ascii="Arial" w:cs="Arial" w:eastAsia="Arial" w:hAnsi="Arial"/>
          <w:sz w:val="14"/>
          <w:szCs w:val="14"/>
          <w:color w:val="404040"/>
        </w:rPr>
        <w:t>credit would not be of benefit to any of the other NEOs based on their age and/or years of service;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595959"/>
        </w:rPr>
        <w:t xml:space="preserve">(v) </w:t>
      </w:r>
      <w:r>
        <w:rPr>
          <w:rFonts w:ascii="Arial" w:cs="Arial" w:eastAsia="Arial" w:hAnsi="Arial"/>
          <w:sz w:val="14"/>
          <w:szCs w:val="14"/>
          <w:color w:val="404040"/>
        </w:rPr>
        <w:t>prorated vesting for RSUs and stock options and extension of exercise period to full life of original stock option award; and</w:t>
      </w:r>
    </w:p>
    <w:p>
      <w:pPr>
        <w:spacing w:after="0" w:line="15" w:lineRule="exact"/>
        <w:rPr>
          <w:sz w:val="20"/>
          <w:szCs w:val="20"/>
          <w:color w:val="auto"/>
        </w:rPr>
      </w:pPr>
    </w:p>
    <w:p>
      <w:pPr>
        <w:ind w:left="480" w:right="180" w:hanging="232"/>
        <w:spacing w:after="0" w:line="262" w:lineRule="auto"/>
        <w:rPr>
          <w:sz w:val="20"/>
          <w:szCs w:val="20"/>
          <w:color w:val="auto"/>
        </w:rPr>
      </w:pPr>
      <w:r>
        <w:rPr>
          <w:rFonts w:ascii="Arial" w:cs="Arial" w:eastAsia="Arial" w:hAnsi="Arial"/>
          <w:sz w:val="14"/>
          <w:szCs w:val="14"/>
          <w:color w:val="595959"/>
        </w:rPr>
        <w:t xml:space="preserve">(vi) </w:t>
      </w:r>
      <w:r>
        <w:rPr>
          <w:rFonts w:ascii="Arial" w:cs="Arial" w:eastAsia="Arial" w:hAnsi="Arial"/>
          <w:sz w:val="14"/>
          <w:szCs w:val="14"/>
          <w:color w:val="404040"/>
        </w:rPr>
        <w:t>prorated vesting based on time in performance period for performance awards, provided the NEO has participated in the performance program</w:t>
      </w:r>
      <w:r>
        <w:rPr>
          <w:rFonts w:ascii="Arial" w:cs="Arial" w:eastAsia="Arial" w:hAnsi="Arial"/>
          <w:sz w:val="14"/>
          <w:szCs w:val="14"/>
          <w:color w:val="595959"/>
        </w:rPr>
        <w:t xml:space="preserve"> </w:t>
      </w:r>
      <w:r>
        <w:rPr>
          <w:rFonts w:ascii="Arial" w:cs="Arial" w:eastAsia="Arial" w:hAnsi="Arial"/>
          <w:sz w:val="14"/>
          <w:szCs w:val="14"/>
          <w:color w:val="404040"/>
        </w:rPr>
        <w:t>for at least one year of the performance period (calculated at the end of the performance period and, if a payout is warranted, paid in cash according to the performance program’s vesting schedule).</w:t>
      </w:r>
    </w:p>
    <w:p>
      <w:pPr>
        <w:spacing w:after="0" w:line="182"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38</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53" w:right="1099" w:bottom="1440" w:gutter="0" w:footer="0" w:header="0"/>
        </w:sectPr>
      </w:pPr>
    </w:p>
    <w:bookmarkStart w:id="44" w:name="page45"/>
    <w:bookmarkEnd w:id="44"/>
    <w:p>
      <w:pPr>
        <w:ind w:left="900" w:right="660"/>
        <w:spacing w:after="0" w:line="256" w:lineRule="auto"/>
        <w:rPr>
          <w:sz w:val="20"/>
          <w:szCs w:val="20"/>
          <w:color w:val="auto"/>
        </w:rPr>
      </w:pPr>
      <w:r>
        <w:rPr>
          <w:rFonts w:ascii="Arial" w:cs="Arial" w:eastAsia="Arial" w:hAnsi="Arial"/>
          <w:sz w:val="14"/>
          <w:szCs w:val="14"/>
          <w:color w:val="404040"/>
        </w:rPr>
        <w:t>The value included in the table for accelerated vesting of RSUs assumes that target performance is achieved with respect to any RSUs that vest based on the achievement of performance measures. NEOs will not be entitled to any payments under the ETP if they are entitled to payments under the Income Continuance Plan (discussed below). A condition precedent to an NEO receiving the benefits under the ETP is the execution of a full and final release of all claims against the Company in a form approved by the Company.</w:t>
      </w:r>
    </w:p>
    <w:p>
      <w:pPr>
        <w:spacing w:after="0" w:line="15" w:lineRule="exact"/>
        <w:rPr>
          <w:sz w:val="20"/>
          <w:szCs w:val="20"/>
          <w:color w:val="auto"/>
        </w:rPr>
      </w:pPr>
    </w:p>
    <w:p>
      <w:pPr>
        <w:ind w:left="900" w:right="680" w:hanging="236"/>
        <w:spacing w:after="0" w:line="251" w:lineRule="auto"/>
        <w:tabs>
          <w:tab w:leader="none" w:pos="900" w:val="left"/>
        </w:tabs>
        <w:numPr>
          <w:ilvl w:val="0"/>
          <w:numId w:val="114"/>
        </w:numPr>
        <w:rPr>
          <w:rFonts w:ascii="Arial" w:cs="Arial" w:eastAsia="Arial" w:hAnsi="Arial"/>
          <w:sz w:val="14"/>
          <w:szCs w:val="14"/>
          <w:color w:val="595959"/>
        </w:rPr>
      </w:pPr>
      <w:r>
        <w:rPr>
          <w:rFonts w:ascii="Arial" w:cs="Arial" w:eastAsia="Arial" w:hAnsi="Arial"/>
          <w:sz w:val="14"/>
          <w:szCs w:val="14"/>
          <w:color w:val="404040"/>
        </w:rPr>
        <w:t>The Company has established the Income Continuance Plan (ICP) as amended and restated on March 1, 2021. The plan provides that all officers of the Company, including the NEOs, and all employees who have reached the age of 40, served the Company for more than ten years, or have been designated for participation based upon special skills or experience will receive the following payments and benefits if their employment is terminated in connection with or within two years following a “change in control” of the Company (as defined in the plan):</w:t>
      </w:r>
    </w:p>
    <w:p>
      <w:pPr>
        <w:spacing w:after="0" w:line="2" w:lineRule="exact"/>
        <w:rPr>
          <w:rFonts w:ascii="Arial" w:cs="Arial" w:eastAsia="Arial" w:hAnsi="Arial"/>
          <w:sz w:val="14"/>
          <w:szCs w:val="14"/>
          <w:color w:val="595959"/>
        </w:rPr>
      </w:pPr>
    </w:p>
    <w:p>
      <w:pPr>
        <w:ind w:left="1140" w:hanging="243"/>
        <w:spacing w:after="0"/>
        <w:tabs>
          <w:tab w:leader="none" w:pos="1140" w:val="left"/>
        </w:tabs>
        <w:numPr>
          <w:ilvl w:val="1"/>
          <w:numId w:val="114"/>
        </w:numPr>
        <w:rPr>
          <w:rFonts w:ascii="Arial" w:cs="Arial" w:eastAsia="Arial" w:hAnsi="Arial"/>
          <w:sz w:val="14"/>
          <w:szCs w:val="14"/>
          <w:color w:val="595959"/>
        </w:rPr>
      </w:pPr>
      <w:r>
        <w:rPr>
          <w:rFonts w:ascii="Arial" w:cs="Arial" w:eastAsia="Arial" w:hAnsi="Arial"/>
          <w:sz w:val="14"/>
          <w:szCs w:val="14"/>
          <w:color w:val="404040"/>
        </w:rPr>
        <w:t>for executive officers only, a lump sum payment equal to 12 times the employee’s “monthly compensation;”</w:t>
      </w:r>
    </w:p>
    <w:p>
      <w:pPr>
        <w:spacing w:after="0" w:line="14" w:lineRule="exact"/>
        <w:rPr>
          <w:rFonts w:ascii="Arial" w:cs="Arial" w:eastAsia="Arial" w:hAnsi="Arial"/>
          <w:sz w:val="14"/>
          <w:szCs w:val="14"/>
          <w:color w:val="595959"/>
        </w:rPr>
      </w:pPr>
    </w:p>
    <w:p>
      <w:pPr>
        <w:ind w:left="1140" w:hanging="243"/>
        <w:spacing w:after="0"/>
        <w:tabs>
          <w:tab w:leader="none" w:pos="1140" w:val="left"/>
        </w:tabs>
        <w:numPr>
          <w:ilvl w:val="1"/>
          <w:numId w:val="114"/>
        </w:numPr>
        <w:rPr>
          <w:rFonts w:ascii="Arial" w:cs="Arial" w:eastAsia="Arial" w:hAnsi="Arial"/>
          <w:sz w:val="14"/>
          <w:szCs w:val="14"/>
          <w:color w:val="595959"/>
        </w:rPr>
      </w:pPr>
      <w:r>
        <w:rPr>
          <w:rFonts w:ascii="Arial" w:cs="Arial" w:eastAsia="Arial" w:hAnsi="Arial"/>
          <w:sz w:val="14"/>
          <w:szCs w:val="14"/>
          <w:color w:val="404040"/>
        </w:rPr>
        <w:t>payment of the monthly compensation on a monthly basis for 24 months following termination of employment;</w:t>
      </w:r>
    </w:p>
    <w:p>
      <w:pPr>
        <w:spacing w:after="0" w:line="15" w:lineRule="exact"/>
        <w:rPr>
          <w:rFonts w:ascii="Arial" w:cs="Arial" w:eastAsia="Arial" w:hAnsi="Arial"/>
          <w:sz w:val="14"/>
          <w:szCs w:val="14"/>
          <w:color w:val="595959"/>
        </w:rPr>
      </w:pPr>
    </w:p>
    <w:p>
      <w:pPr>
        <w:ind w:left="1140" w:hanging="243"/>
        <w:spacing w:after="0"/>
        <w:tabs>
          <w:tab w:leader="none" w:pos="1140" w:val="left"/>
        </w:tabs>
        <w:numPr>
          <w:ilvl w:val="1"/>
          <w:numId w:val="114"/>
        </w:numPr>
        <w:rPr>
          <w:rFonts w:ascii="Arial" w:cs="Arial" w:eastAsia="Arial" w:hAnsi="Arial"/>
          <w:sz w:val="14"/>
          <w:szCs w:val="14"/>
          <w:color w:val="595959"/>
        </w:rPr>
      </w:pPr>
      <w:r>
        <w:rPr>
          <w:rFonts w:ascii="Arial" w:cs="Arial" w:eastAsia="Arial" w:hAnsi="Arial"/>
          <w:sz w:val="14"/>
          <w:szCs w:val="14"/>
          <w:color w:val="404040"/>
        </w:rPr>
        <w:t>a prorated bonus;</w:t>
      </w:r>
    </w:p>
    <w:p>
      <w:pPr>
        <w:spacing w:after="0" w:line="27" w:lineRule="exact"/>
        <w:rPr>
          <w:rFonts w:ascii="Arial" w:cs="Arial" w:eastAsia="Arial" w:hAnsi="Arial"/>
          <w:sz w:val="14"/>
          <w:szCs w:val="14"/>
          <w:color w:val="595959"/>
        </w:rPr>
      </w:pPr>
    </w:p>
    <w:p>
      <w:pPr>
        <w:ind w:left="1140" w:right="760" w:hanging="243"/>
        <w:spacing w:after="0" w:line="251" w:lineRule="auto"/>
        <w:tabs>
          <w:tab w:leader="none" w:pos="1140" w:val="left"/>
        </w:tabs>
        <w:numPr>
          <w:ilvl w:val="1"/>
          <w:numId w:val="114"/>
        </w:numPr>
        <w:rPr>
          <w:rFonts w:ascii="Arial" w:cs="Arial" w:eastAsia="Arial" w:hAnsi="Arial"/>
          <w:sz w:val="14"/>
          <w:szCs w:val="14"/>
          <w:color w:val="595959"/>
        </w:rPr>
      </w:pPr>
      <w:r>
        <w:rPr>
          <w:rFonts w:ascii="Arial" w:cs="Arial" w:eastAsia="Arial" w:hAnsi="Arial"/>
          <w:sz w:val="14"/>
          <w:szCs w:val="14"/>
          <w:color w:val="404040"/>
        </w:rPr>
        <w:t>two years of employer contributions that would have been made to the Company’s qualified retirement plans on the employee’s behalf had such termination of employment not occurred;</w:t>
      </w:r>
    </w:p>
    <w:p>
      <w:pPr>
        <w:ind w:left="1140" w:right="740" w:hanging="243"/>
        <w:spacing w:after="0" w:line="252" w:lineRule="auto"/>
        <w:tabs>
          <w:tab w:leader="none" w:pos="1140" w:val="left"/>
        </w:tabs>
        <w:numPr>
          <w:ilvl w:val="1"/>
          <w:numId w:val="114"/>
        </w:numPr>
        <w:rPr>
          <w:rFonts w:ascii="Arial" w:cs="Arial" w:eastAsia="Arial" w:hAnsi="Arial"/>
          <w:sz w:val="14"/>
          <w:szCs w:val="14"/>
          <w:color w:val="595959"/>
        </w:rPr>
      </w:pPr>
      <w:r>
        <w:rPr>
          <w:rFonts w:ascii="Arial" w:cs="Arial" w:eastAsia="Arial" w:hAnsi="Arial"/>
          <w:sz w:val="14"/>
          <w:szCs w:val="14"/>
          <w:color w:val="404040"/>
        </w:rPr>
        <w:t>continuation of medical, dental, vision, and employee assistance benefits for 24 months at no greater than active employee rates, grossed up for any amounts that are paid on an after-tax basis; and</w:t>
      </w:r>
    </w:p>
    <w:p>
      <w:pPr>
        <w:ind w:left="1140" w:hanging="243"/>
        <w:spacing w:after="0"/>
        <w:tabs>
          <w:tab w:leader="none" w:pos="1140" w:val="left"/>
        </w:tabs>
        <w:numPr>
          <w:ilvl w:val="1"/>
          <w:numId w:val="114"/>
        </w:numPr>
        <w:rPr>
          <w:rFonts w:ascii="Arial" w:cs="Arial" w:eastAsia="Arial" w:hAnsi="Arial"/>
          <w:sz w:val="14"/>
          <w:szCs w:val="14"/>
          <w:color w:val="595959"/>
        </w:rPr>
      </w:pPr>
      <w:r>
        <w:rPr>
          <w:rFonts w:ascii="Arial" w:cs="Arial" w:eastAsia="Arial" w:hAnsi="Arial"/>
          <w:sz w:val="14"/>
          <w:szCs w:val="14"/>
          <w:color w:val="404040"/>
        </w:rPr>
        <w:t>continued life insurance benefits for 24 months at no greater than active employee rates.</w:t>
      </w:r>
    </w:p>
    <w:p>
      <w:pPr>
        <w:spacing w:after="0" w:line="28" w:lineRule="exact"/>
        <w:rPr>
          <w:sz w:val="20"/>
          <w:szCs w:val="20"/>
          <w:color w:val="auto"/>
        </w:rPr>
      </w:pPr>
    </w:p>
    <w:p>
      <w:pPr>
        <w:ind w:left="900" w:right="820"/>
        <w:spacing w:after="0" w:line="248" w:lineRule="auto"/>
        <w:rPr>
          <w:sz w:val="20"/>
          <w:szCs w:val="20"/>
          <w:color w:val="auto"/>
        </w:rPr>
      </w:pPr>
      <w:r>
        <w:rPr>
          <w:rFonts w:ascii="Arial" w:cs="Arial" w:eastAsia="Arial" w:hAnsi="Arial"/>
          <w:sz w:val="14"/>
          <w:szCs w:val="14"/>
          <w:color w:val="404040"/>
        </w:rPr>
        <w:t>For the purposes of the ICP, “monthly compensation” means one-twelfth of all cash compensation, including salary, incentive compensation, and bonuses, but excluding any cash paid pursuant to the Company’s long-term incentive programs, paid to the employee during the year immediately preceding the termination date; provided, that for purposes of determining monthly compensation, bonuses shall be valued at the greater of (A) the target bonus for the year in which the termination occurs or (B) the average bonus paid to the employee during the three years immediately preceding the termination date. In addition, under our equity compensation plans and award agreements, each NEO would receive full accelerated vesting of all equity awards, with vesting based on target performance being achieved with respect to any performance awards that have not been completed as of the termination date.</w:t>
      </w:r>
    </w:p>
    <w:p>
      <w:pPr>
        <w:spacing w:after="0" w:line="22" w:lineRule="exact"/>
        <w:rPr>
          <w:sz w:val="20"/>
          <w:szCs w:val="20"/>
          <w:color w:val="auto"/>
        </w:rPr>
      </w:pPr>
    </w:p>
    <w:p>
      <w:pPr>
        <w:jc w:val="both"/>
        <w:ind w:left="900" w:right="840" w:hanging="236"/>
        <w:spacing w:after="0" w:line="263" w:lineRule="auto"/>
        <w:tabs>
          <w:tab w:leader="none" w:pos="900" w:val="left"/>
        </w:tabs>
        <w:numPr>
          <w:ilvl w:val="0"/>
          <w:numId w:val="115"/>
        </w:numPr>
        <w:rPr>
          <w:rFonts w:ascii="Arial" w:cs="Arial" w:eastAsia="Arial" w:hAnsi="Arial"/>
          <w:sz w:val="14"/>
          <w:szCs w:val="14"/>
          <w:color w:val="404040"/>
        </w:rPr>
      </w:pPr>
      <w:r>
        <w:rPr>
          <w:rFonts w:ascii="Arial" w:cs="Arial" w:eastAsia="Arial" w:hAnsi="Arial"/>
          <w:sz w:val="14"/>
          <w:szCs w:val="14"/>
          <w:color w:val="404040"/>
        </w:rPr>
        <w:t>On February 18, 2015, Mr. Riney was granted 45,000 RSUs, which have since fully vested, and 60% of these shares will not be eligible for sale by Mr. Riney until such time as he retires or terminates employment with the Company. If Mr. Riney is terminated by the Company without cause and not by reason of becoming disabled or if he terminates employment for good reason, the above restriction will lapse.</w:t>
      </w:r>
    </w:p>
    <w:p>
      <w:pPr>
        <w:spacing w:after="0" w:line="10" w:lineRule="exact"/>
        <w:rPr>
          <w:rFonts w:ascii="Arial" w:cs="Arial" w:eastAsia="Arial" w:hAnsi="Arial"/>
          <w:sz w:val="14"/>
          <w:szCs w:val="14"/>
          <w:color w:val="404040"/>
        </w:rPr>
      </w:pPr>
    </w:p>
    <w:p>
      <w:pPr>
        <w:ind w:left="900" w:right="700" w:hanging="236"/>
        <w:spacing w:after="0" w:line="285" w:lineRule="auto"/>
        <w:tabs>
          <w:tab w:leader="none" w:pos="900" w:val="left"/>
        </w:tabs>
        <w:numPr>
          <w:ilvl w:val="0"/>
          <w:numId w:val="115"/>
        </w:numPr>
        <w:rPr>
          <w:rFonts w:ascii="Arial" w:cs="Arial" w:eastAsia="Arial" w:hAnsi="Arial"/>
          <w:sz w:val="14"/>
          <w:szCs w:val="14"/>
          <w:color w:val="404040"/>
        </w:rPr>
      </w:pPr>
      <w:r>
        <w:rPr>
          <w:rFonts w:ascii="Arial" w:cs="Arial" w:eastAsia="Arial" w:hAnsi="Arial"/>
          <w:sz w:val="14"/>
          <w:szCs w:val="14"/>
          <w:color w:val="404040"/>
        </w:rPr>
        <w:t>Mr. Bretches was terminated without cause effective June 4, 2025. The amounts shown reflect payments or entitlements as described in footnote (2) above.</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Payments Made Upon Death or Disability</w:t>
      </w:r>
    </w:p>
    <w:p>
      <w:pPr>
        <w:spacing w:after="0" w:line="112" w:lineRule="exact"/>
        <w:rPr>
          <w:sz w:val="20"/>
          <w:szCs w:val="20"/>
          <w:color w:val="auto"/>
        </w:rPr>
      </w:pPr>
    </w:p>
    <w:p>
      <w:pPr>
        <w:ind w:left="660" w:right="760"/>
        <w:spacing w:after="0" w:line="259" w:lineRule="auto"/>
        <w:rPr>
          <w:sz w:val="20"/>
          <w:szCs w:val="20"/>
          <w:color w:val="auto"/>
        </w:rPr>
      </w:pPr>
      <w:r>
        <w:rPr>
          <w:rFonts w:ascii="Arial" w:cs="Arial" w:eastAsia="Arial" w:hAnsi="Arial"/>
          <w:sz w:val="16"/>
          <w:szCs w:val="16"/>
          <w:color w:val="auto"/>
        </w:rPr>
        <w:t>Our equity plans provide for full acceleration of outstanding equity awards upon a termination of employment due to death or disability. In addition to the benefits listed in the preceding table, payments will also be made under the Company’s life insurance plan in the event of death for the officers listed above. In the event of disability, these executive officers would benefit under the Company’s disability insurance plan.</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CEO Pay Ratio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accordance with the requirements of Section 953(b) of the Dodd-Frank Wall Street Reform and Consumer Protection Act (the Dodd-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Frank Act) and Item 402(u) of Regulation S-K, the following is a reasonable estimate of the ratio of the annual total compensation of our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CEO to the annual total compensation of our median employee.</w:t>
      </w:r>
    </w:p>
    <w:p>
      <w:pPr>
        <w:spacing w:after="0" w:line="97" w:lineRule="exact"/>
        <w:rPr>
          <w:sz w:val="20"/>
          <w:szCs w:val="20"/>
          <w:color w:val="auto"/>
        </w:rPr>
      </w:pPr>
    </w:p>
    <w:p>
      <w:pPr>
        <w:jc w:val="both"/>
        <w:ind w:left="660" w:right="880"/>
        <w:spacing w:after="0" w:line="271" w:lineRule="auto"/>
        <w:rPr>
          <w:sz w:val="20"/>
          <w:szCs w:val="20"/>
          <w:color w:val="auto"/>
        </w:rPr>
      </w:pPr>
      <w:r>
        <w:rPr>
          <w:rFonts w:ascii="Arial" w:cs="Arial" w:eastAsia="Arial" w:hAnsi="Arial"/>
          <w:sz w:val="16"/>
          <w:szCs w:val="16"/>
          <w:color w:val="auto"/>
        </w:rPr>
        <w:t xml:space="preserve">The annual total compensation of our median employee for 2025 was $237,527. As disclosed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our CEO’s annual total compensation for 2025 was $13,202,517. Based on the foregoing, our estimate of the ratio of the annual total compensation of our CEO to the annual total compensation of our median employee was </w:t>
      </w:r>
      <w:r>
        <w:rPr>
          <w:rFonts w:ascii="Arial" w:cs="Arial" w:eastAsia="Arial" w:hAnsi="Arial"/>
          <w:sz w:val="16"/>
          <w:szCs w:val="16"/>
          <w:b w:val="1"/>
          <w:bCs w:val="1"/>
          <w:color w:val="auto"/>
        </w:rPr>
        <w:t>56:1</w:t>
      </w:r>
      <w:r>
        <w:rPr>
          <w:rFonts w:ascii="Arial" w:cs="Arial" w:eastAsia="Arial" w:hAnsi="Arial"/>
          <w:sz w:val="16"/>
          <w:szCs w:val="16"/>
          <w:color w:val="auto"/>
        </w:rPr>
        <w:t>.</w:t>
      </w:r>
    </w:p>
    <w:p>
      <w:pPr>
        <w:spacing w:after="0" w:line="52" w:lineRule="exact"/>
        <w:rPr>
          <w:sz w:val="20"/>
          <w:szCs w:val="20"/>
          <w:color w:val="auto"/>
        </w:rPr>
      </w:pPr>
    </w:p>
    <w:p>
      <w:pPr>
        <w:ind w:left="660" w:right="720"/>
        <w:spacing w:after="0" w:line="256" w:lineRule="auto"/>
        <w:rPr>
          <w:sz w:val="20"/>
          <w:szCs w:val="20"/>
          <w:color w:val="auto"/>
        </w:rPr>
      </w:pPr>
      <w:r>
        <w:rPr>
          <w:rFonts w:ascii="Arial" w:cs="Arial" w:eastAsia="Arial" w:hAnsi="Arial"/>
          <w:sz w:val="16"/>
          <w:szCs w:val="16"/>
          <w:color w:val="auto"/>
        </w:rPr>
        <w:t>We did not have any substantial changes in our workforce population that we believe would significantly impact our pay ratio calculation. Therefore, we utilized the same median employee that we identified in our 2024 pay ratio analysis. We identified the median employee using the employee population on November 30, 2023, that received taxable compensation (other than our CEO) for the calendar year 2023. We evaluated gross compensation, excluding equity, as a consistently applied compensation measure. We did not annualize the wages for new employees who were employed for less than the full fiscal year or make cost of living adjustments.</w:t>
      </w:r>
    </w:p>
    <w:p>
      <w:pPr>
        <w:spacing w:after="0" w:line="72" w:lineRule="exact"/>
        <w:rPr>
          <w:sz w:val="20"/>
          <w:szCs w:val="20"/>
          <w:color w:val="auto"/>
        </w:rPr>
      </w:pPr>
    </w:p>
    <w:p>
      <w:pPr>
        <w:ind w:left="660" w:right="780"/>
        <w:spacing w:after="0" w:line="286" w:lineRule="auto"/>
        <w:rPr>
          <w:sz w:val="20"/>
          <w:szCs w:val="20"/>
          <w:color w:val="auto"/>
        </w:rPr>
      </w:pPr>
      <w:r>
        <w:rPr>
          <w:rFonts w:ascii="Arial" w:cs="Arial" w:eastAsia="Arial" w:hAnsi="Arial"/>
          <w:sz w:val="16"/>
          <w:szCs w:val="16"/>
          <w:color w:val="auto"/>
        </w:rPr>
        <w:t>This information is being provided for compliance purposes. Neither the MD&amp;C Committee nor the executives of our Company use the pay ratio measure in making compensation decisions.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Pay versus Performance</w:t>
      </w:r>
    </w:p>
    <w:p>
      <w:pPr>
        <w:spacing w:after="0" w:line="124" w:lineRule="exact"/>
        <w:rPr>
          <w:sz w:val="20"/>
          <w:szCs w:val="20"/>
          <w:color w:val="auto"/>
        </w:rPr>
      </w:pPr>
    </w:p>
    <w:p>
      <w:pPr>
        <w:ind w:left="660" w:right="980"/>
        <w:spacing w:after="0" w:line="266" w:lineRule="auto"/>
        <w:rPr>
          <w:sz w:val="20"/>
          <w:szCs w:val="20"/>
          <w:color w:val="auto"/>
        </w:rPr>
      </w:pPr>
      <w:r>
        <w:rPr>
          <w:rFonts w:ascii="Arial" w:cs="Arial" w:eastAsia="Arial" w:hAnsi="Arial"/>
          <w:sz w:val="16"/>
          <w:szCs w:val="16"/>
          <w:color w:val="auto"/>
        </w:rPr>
        <w:t>As required by Section 953(a) of the Dodd-Frank Act and Item 402(v) of Regulation S-K (the PvP Rule), we provide the following disclosure regarding executive “compensation actually paid” (CAP), calculated in accordance with SEC rules, and certain Company performance for the fiscal years listed below.</w:t>
      </w:r>
    </w:p>
    <w:p>
      <w:pPr>
        <w:spacing w:after="0" w:line="63" w:lineRule="exact"/>
        <w:rPr>
          <w:sz w:val="20"/>
          <w:szCs w:val="20"/>
          <w:color w:val="auto"/>
        </w:rPr>
      </w:pPr>
    </w:p>
    <w:p>
      <w:pPr>
        <w:ind w:left="660" w:right="840"/>
        <w:spacing w:after="0" w:line="254" w:lineRule="auto"/>
        <w:rPr>
          <w:sz w:val="20"/>
          <w:szCs w:val="20"/>
          <w:color w:val="auto"/>
        </w:rPr>
      </w:pPr>
      <w:r>
        <w:rPr>
          <w:rFonts w:ascii="Arial" w:cs="Arial" w:eastAsia="Arial" w:hAnsi="Arial"/>
          <w:sz w:val="16"/>
          <w:szCs w:val="16"/>
          <w:color w:val="auto"/>
        </w:rPr>
        <w:t>This disclosure was prepared in accordance with the requirements of the PvP Rule and does not necessarily reflect the value actually realized by our executives, how our executives’ compensation relates to Company performance, or how the MD&amp;C Committee evaluates compensation decisions in light of Company or individual performance. For example, the MD&amp;C Committee does not use CAP as a basis for making compensation decisions, nor does it use net income (as reflected below) for purposes of determining our executives’ incentive compensation. Please refer to our Compensation Discussion and Analysis for a complete description of how executive compensation relates to Company performance and how the MD&amp;C Committee makes its compensation decisions.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39</w:t>
            </w:r>
          </w:p>
        </w:tc>
      </w:tr>
      <w:tr>
        <w:trPr>
          <w:trHeight w:val="865"/>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83" w:right="439" w:bottom="1440" w:gutter="0" w:footer="0" w:header="0"/>
        </w:sectPr>
      </w:pPr>
    </w:p>
    <w:bookmarkStart w:id="45" w:name="page46"/>
    <w:bookmarkEnd w:id="45"/>
    <w:p>
      <w:pPr>
        <w:ind w:right="100"/>
        <w:spacing w:after="0" w:line="265" w:lineRule="auto"/>
        <w:rPr>
          <w:sz w:val="20"/>
          <w:szCs w:val="20"/>
          <w:color w:val="auto"/>
        </w:rPr>
      </w:pPr>
      <w:r>
        <w:rPr>
          <w:rFonts w:ascii="Arial" w:cs="Arial" w:eastAsia="Arial" w:hAnsi="Arial"/>
          <w:sz w:val="16"/>
          <w:szCs w:val="16"/>
          <w:i w:val="1"/>
          <w:iCs w:val="1"/>
          <w:color w:val="auto"/>
        </w:rPr>
        <w:t>The information provided under this Pay versus Performance section will not be deemed to be incorporated by reference into any filing made by the Company under the Securities Act or the Exchange Act, except to the extent the Company specifically incorporates it by reference.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40" w:type="dxa"/>
            <w:vAlign w:val="bottom"/>
            <w:tcBorders>
              <w:top w:val="single" w:sz="8" w:color="auto"/>
            </w:tcBorders>
            <w:shd w:val="clear" w:color="auto" w:fill="F2F2F2"/>
          </w:tcPr>
          <w:p>
            <w:pPr>
              <w:spacing w:after="0"/>
              <w:rPr>
                <w:sz w:val="12"/>
                <w:szCs w:val="12"/>
                <w:color w:val="auto"/>
              </w:rPr>
            </w:pPr>
          </w:p>
        </w:tc>
        <w:tc>
          <w:tcPr>
            <w:tcW w:w="1020" w:type="dxa"/>
            <w:vAlign w:val="bottom"/>
            <w:tcBorders>
              <w:top w:val="single" w:sz="8" w:color="auto"/>
            </w:tcBorders>
            <w:shd w:val="clear" w:color="auto" w:fill="F2F2F2"/>
          </w:tcPr>
          <w:p>
            <w:pPr>
              <w:spacing w:after="0"/>
              <w:rPr>
                <w:sz w:val="12"/>
                <w:szCs w:val="12"/>
                <w:color w:val="auto"/>
              </w:rPr>
            </w:pPr>
          </w:p>
        </w:tc>
        <w:tc>
          <w:tcPr>
            <w:tcW w:w="1080" w:type="dxa"/>
            <w:vAlign w:val="bottom"/>
            <w:tcBorders>
              <w:top w:val="single" w:sz="8" w:color="auto"/>
            </w:tcBorders>
            <w:shd w:val="clear" w:color="auto" w:fill="F2F2F2"/>
          </w:tcPr>
          <w:p>
            <w:pPr>
              <w:spacing w:after="0"/>
              <w:rPr>
                <w:sz w:val="12"/>
                <w:szCs w:val="12"/>
                <w:color w:val="auto"/>
              </w:rPr>
            </w:pPr>
          </w:p>
        </w:tc>
        <w:tc>
          <w:tcPr>
            <w:tcW w:w="1760" w:type="dxa"/>
            <w:vAlign w:val="bottom"/>
            <w:tcBorders>
              <w:top w:val="single" w:sz="8" w:color="auto"/>
            </w:tcBorders>
            <w:shd w:val="clear" w:color="auto" w:fill="F2F2F2"/>
          </w:tcPr>
          <w:p>
            <w:pPr>
              <w:spacing w:after="0"/>
              <w:rPr>
                <w:sz w:val="12"/>
                <w:szCs w:val="12"/>
                <w:color w:val="auto"/>
              </w:rPr>
            </w:pPr>
          </w:p>
        </w:tc>
        <w:tc>
          <w:tcPr>
            <w:tcW w:w="1620" w:type="dxa"/>
            <w:vAlign w:val="bottom"/>
            <w:tcBorders>
              <w:top w:val="single" w:sz="8" w:color="auto"/>
            </w:tcBorders>
            <w:shd w:val="clear" w:color="auto" w:fill="F2F2F2"/>
          </w:tcPr>
          <w:p>
            <w:pPr>
              <w:spacing w:after="0"/>
              <w:rPr>
                <w:sz w:val="12"/>
                <w:szCs w:val="12"/>
                <w:color w:val="auto"/>
              </w:rPr>
            </w:pPr>
          </w:p>
        </w:tc>
        <w:tc>
          <w:tcPr>
            <w:tcW w:w="1920" w:type="dxa"/>
            <w:vAlign w:val="bottom"/>
            <w:tcBorders>
              <w:top w:val="single" w:sz="8" w:color="auto"/>
            </w:tcBorders>
            <w:gridSpan w:val="2"/>
            <w:shd w:val="clear" w:color="auto" w:fill="F2F2F2"/>
          </w:tcPr>
          <w:p>
            <w:pPr>
              <w:jc w:val="right"/>
              <w:ind w:right="133"/>
              <w:spacing w:after="0" w:line="148" w:lineRule="exact"/>
              <w:rPr>
                <w:sz w:val="20"/>
                <w:szCs w:val="20"/>
                <w:color w:val="auto"/>
              </w:rPr>
            </w:pPr>
            <w:r>
              <w:rPr>
                <w:rFonts w:ascii="Arial" w:cs="Arial" w:eastAsia="Arial" w:hAnsi="Arial"/>
                <w:sz w:val="13"/>
                <w:szCs w:val="13"/>
                <w:b w:val="1"/>
                <w:bCs w:val="1"/>
                <w:color w:val="auto"/>
              </w:rPr>
              <w:t>Value of Initial Fixed $100</w:t>
            </w:r>
          </w:p>
        </w:tc>
        <w:tc>
          <w:tcPr>
            <w:tcW w:w="980" w:type="dxa"/>
            <w:vAlign w:val="bottom"/>
            <w:tcBorders>
              <w:top w:val="single" w:sz="8" w:color="auto"/>
            </w:tcBorders>
            <w:shd w:val="clear" w:color="auto" w:fill="F2F2F2"/>
          </w:tcPr>
          <w:p>
            <w:pPr>
              <w:spacing w:after="0"/>
              <w:rPr>
                <w:sz w:val="12"/>
                <w:szCs w:val="12"/>
                <w:color w:val="auto"/>
              </w:rPr>
            </w:pPr>
          </w:p>
        </w:tc>
        <w:tc>
          <w:tcPr>
            <w:tcW w:w="900" w:type="dxa"/>
            <w:vAlign w:val="bottom"/>
            <w:tcBorders>
              <w:top w:val="single" w:sz="8" w:color="auto"/>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0" w:type="dxa"/>
            <w:vAlign w:val="bottom"/>
            <w:tcBorders>
              <w:bottom w:val="single" w:sz="8" w:color="F2F2F2"/>
            </w:tcBorders>
            <w:shd w:val="clear" w:color="auto" w:fill="F2F2F2"/>
          </w:tcPr>
          <w:p>
            <w:pPr>
              <w:spacing w:after="0"/>
              <w:rPr>
                <w:sz w:val="14"/>
                <w:szCs w:val="14"/>
                <w:color w:val="auto"/>
              </w:rPr>
            </w:pPr>
          </w:p>
        </w:tc>
        <w:tc>
          <w:tcPr>
            <w:tcW w:w="1020" w:type="dxa"/>
            <w:vAlign w:val="bottom"/>
            <w:tcBorders>
              <w:bottom w:val="single" w:sz="8" w:color="F2F2F2"/>
            </w:tcBorders>
            <w:shd w:val="clear" w:color="auto" w:fill="F2F2F2"/>
          </w:tcPr>
          <w:p>
            <w:pPr>
              <w:spacing w:after="0"/>
              <w:rPr>
                <w:sz w:val="14"/>
                <w:szCs w:val="14"/>
                <w:color w:val="auto"/>
              </w:rPr>
            </w:pPr>
          </w:p>
        </w:tc>
        <w:tc>
          <w:tcPr>
            <w:tcW w:w="1080" w:type="dxa"/>
            <w:vAlign w:val="bottom"/>
            <w:tcBorders>
              <w:bottom w:val="single" w:sz="8" w:color="F2F2F2"/>
            </w:tcBorders>
            <w:shd w:val="clear" w:color="auto" w:fill="F2F2F2"/>
          </w:tcPr>
          <w:p>
            <w:pPr>
              <w:spacing w:after="0"/>
              <w:rPr>
                <w:sz w:val="14"/>
                <w:szCs w:val="14"/>
                <w:color w:val="auto"/>
              </w:rPr>
            </w:pPr>
          </w:p>
        </w:tc>
        <w:tc>
          <w:tcPr>
            <w:tcW w:w="1760" w:type="dxa"/>
            <w:vAlign w:val="bottom"/>
            <w:tcBorders>
              <w:bottom w:val="single" w:sz="8" w:color="F2F2F2"/>
            </w:tcBorders>
            <w:shd w:val="clear" w:color="auto" w:fill="F2F2F2"/>
          </w:tcPr>
          <w:p>
            <w:pPr>
              <w:spacing w:after="0"/>
              <w:rPr>
                <w:sz w:val="14"/>
                <w:szCs w:val="14"/>
                <w:color w:val="auto"/>
              </w:rPr>
            </w:pPr>
          </w:p>
        </w:tc>
        <w:tc>
          <w:tcPr>
            <w:tcW w:w="1620" w:type="dxa"/>
            <w:vAlign w:val="bottom"/>
            <w:tcBorders>
              <w:bottom w:val="single" w:sz="8" w:color="F2F2F2"/>
            </w:tcBorders>
            <w:vMerge w:val="restart"/>
            <w:shd w:val="clear" w:color="auto" w:fill="F2F2F2"/>
          </w:tcPr>
          <w:p>
            <w:pPr>
              <w:jc w:val="right"/>
              <w:ind w:right="73"/>
              <w:spacing w:after="0"/>
              <w:rPr>
                <w:sz w:val="20"/>
                <w:szCs w:val="20"/>
                <w:color w:val="auto"/>
              </w:rPr>
            </w:pPr>
            <w:r>
              <w:rPr>
                <w:rFonts w:ascii="Arial" w:cs="Arial" w:eastAsia="Arial" w:hAnsi="Arial"/>
                <w:sz w:val="13"/>
                <w:szCs w:val="13"/>
                <w:b w:val="1"/>
                <w:bCs w:val="1"/>
                <w:color w:val="auto"/>
              </w:rPr>
              <w:t>Average</w:t>
            </w:r>
          </w:p>
        </w:tc>
        <w:tc>
          <w:tcPr>
            <w:tcW w:w="1920" w:type="dxa"/>
            <w:vAlign w:val="bottom"/>
            <w:tcBorders>
              <w:bottom w:val="single" w:sz="8" w:color="auto"/>
            </w:tcBorders>
            <w:gridSpan w:val="2"/>
            <w:shd w:val="clear" w:color="auto" w:fill="F2F2F2"/>
          </w:tcPr>
          <w:p>
            <w:pPr>
              <w:jc w:val="right"/>
              <w:ind w:right="233"/>
              <w:spacing w:after="0"/>
              <w:rPr>
                <w:sz w:val="20"/>
                <w:szCs w:val="20"/>
                <w:color w:val="auto"/>
              </w:rPr>
            </w:pPr>
            <w:r>
              <w:rPr>
                <w:rFonts w:ascii="Arial" w:cs="Arial" w:eastAsia="Arial" w:hAnsi="Arial"/>
                <w:sz w:val="13"/>
                <w:szCs w:val="13"/>
                <w:b w:val="1"/>
                <w:bCs w:val="1"/>
                <w:color w:val="auto"/>
              </w:rPr>
              <w:t>Investment Based On:</w:t>
            </w:r>
          </w:p>
        </w:tc>
        <w:tc>
          <w:tcPr>
            <w:tcW w:w="980" w:type="dxa"/>
            <w:vAlign w:val="bottom"/>
            <w:tcBorders>
              <w:bottom w:val="single" w:sz="8" w:color="F2F2F2"/>
            </w:tcBorders>
            <w:shd w:val="clear" w:color="auto" w:fill="F2F2F2"/>
          </w:tcPr>
          <w:p>
            <w:pPr>
              <w:spacing w:after="0"/>
              <w:rPr>
                <w:sz w:val="14"/>
                <w:szCs w:val="14"/>
                <w:color w:val="auto"/>
              </w:rPr>
            </w:pPr>
          </w:p>
        </w:tc>
        <w:tc>
          <w:tcPr>
            <w:tcW w:w="900" w:type="dxa"/>
            <w:vAlign w:val="bottom"/>
            <w:tcBorders>
              <w:bottom w:val="single" w:sz="8" w:color="F2F2F2"/>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40" w:type="dxa"/>
            <w:vAlign w:val="bottom"/>
            <w:shd w:val="clear" w:color="auto" w:fill="F2F2F2"/>
          </w:tcPr>
          <w:p>
            <w:pPr>
              <w:spacing w:after="0"/>
              <w:rPr>
                <w:sz w:val="11"/>
                <w:szCs w:val="11"/>
                <w:color w:val="auto"/>
              </w:rPr>
            </w:pPr>
          </w:p>
        </w:tc>
        <w:tc>
          <w:tcPr>
            <w:tcW w:w="1020" w:type="dxa"/>
            <w:vAlign w:val="bottom"/>
            <w:vMerge w:val="restart"/>
            <w:shd w:val="clear" w:color="auto" w:fill="F2F2F2"/>
          </w:tcPr>
          <w:p>
            <w:pPr>
              <w:jc w:val="right"/>
              <w:ind w:right="33"/>
              <w:spacing w:after="0"/>
              <w:rPr>
                <w:sz w:val="20"/>
                <w:szCs w:val="20"/>
                <w:color w:val="auto"/>
              </w:rPr>
            </w:pPr>
            <w:r>
              <w:rPr>
                <w:rFonts w:ascii="Arial" w:cs="Arial" w:eastAsia="Arial" w:hAnsi="Arial"/>
                <w:sz w:val="13"/>
                <w:szCs w:val="13"/>
                <w:b w:val="1"/>
                <w:bCs w:val="1"/>
                <w:color w:val="auto"/>
              </w:rPr>
              <w:t>Summary</w:t>
            </w:r>
          </w:p>
        </w:tc>
        <w:tc>
          <w:tcPr>
            <w:tcW w:w="1080" w:type="dxa"/>
            <w:vAlign w:val="bottom"/>
            <w:shd w:val="clear" w:color="auto" w:fill="F2F2F2"/>
          </w:tcPr>
          <w:p>
            <w:pPr>
              <w:spacing w:after="0"/>
              <w:rPr>
                <w:sz w:val="11"/>
                <w:szCs w:val="11"/>
                <w:color w:val="auto"/>
              </w:rPr>
            </w:pPr>
          </w:p>
        </w:tc>
        <w:tc>
          <w:tcPr>
            <w:tcW w:w="1760" w:type="dxa"/>
            <w:vAlign w:val="bottom"/>
            <w:vMerge w:val="restart"/>
            <w:shd w:val="clear" w:color="auto" w:fill="F2F2F2"/>
          </w:tcPr>
          <w:p>
            <w:pPr>
              <w:jc w:val="right"/>
              <w:ind w:right="13"/>
              <w:spacing w:after="0"/>
              <w:rPr>
                <w:sz w:val="20"/>
                <w:szCs w:val="20"/>
                <w:color w:val="auto"/>
              </w:rPr>
            </w:pPr>
            <w:r>
              <w:rPr>
                <w:rFonts w:ascii="Arial" w:cs="Arial" w:eastAsia="Arial" w:hAnsi="Arial"/>
                <w:sz w:val="13"/>
                <w:szCs w:val="13"/>
                <w:b w:val="1"/>
                <w:bCs w:val="1"/>
                <w:color w:val="auto"/>
              </w:rPr>
              <w:t>Average Summary</w:t>
            </w:r>
          </w:p>
        </w:tc>
        <w:tc>
          <w:tcPr>
            <w:tcW w:w="1620" w:type="dxa"/>
            <w:vAlign w:val="bottom"/>
            <w:vMerge w:val="continue"/>
            <w:shd w:val="clear" w:color="auto" w:fill="F2F2F2"/>
          </w:tcPr>
          <w:p>
            <w:pPr>
              <w:spacing w:after="0"/>
              <w:rPr>
                <w:sz w:val="11"/>
                <w:szCs w:val="11"/>
                <w:color w:val="auto"/>
              </w:rPr>
            </w:pPr>
          </w:p>
        </w:tc>
        <w:tc>
          <w:tcPr>
            <w:tcW w:w="920" w:type="dxa"/>
            <w:vAlign w:val="bottom"/>
            <w:shd w:val="clear" w:color="auto" w:fill="F2F2F2"/>
          </w:tcPr>
          <w:p>
            <w:pPr>
              <w:spacing w:after="0"/>
              <w:rPr>
                <w:sz w:val="11"/>
                <w:szCs w:val="11"/>
                <w:color w:val="auto"/>
              </w:rPr>
            </w:pPr>
          </w:p>
        </w:tc>
        <w:tc>
          <w:tcPr>
            <w:tcW w:w="1000" w:type="dxa"/>
            <w:vAlign w:val="bottom"/>
            <w:vMerge w:val="restart"/>
            <w:shd w:val="clear" w:color="auto" w:fill="F2F2F2"/>
          </w:tcPr>
          <w:p>
            <w:pPr>
              <w:jc w:val="right"/>
              <w:ind w:right="73"/>
              <w:spacing w:after="0"/>
              <w:rPr>
                <w:sz w:val="20"/>
                <w:szCs w:val="20"/>
                <w:color w:val="auto"/>
              </w:rPr>
            </w:pPr>
            <w:r>
              <w:rPr>
                <w:rFonts w:ascii="Arial" w:cs="Arial" w:eastAsia="Arial" w:hAnsi="Arial"/>
                <w:sz w:val="13"/>
                <w:szCs w:val="13"/>
                <w:b w:val="1"/>
                <w:bCs w:val="1"/>
                <w:color w:val="auto"/>
              </w:rPr>
              <w:t>Peer Group</w:t>
            </w:r>
          </w:p>
        </w:tc>
        <w:tc>
          <w:tcPr>
            <w:tcW w:w="98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 w:type="dxa"/>
            <w:vAlign w:val="bottom"/>
            <w:shd w:val="clear" w:color="auto" w:fill="F2F2F2"/>
          </w:tcPr>
          <w:p>
            <w:pPr>
              <w:spacing w:after="0"/>
              <w:rPr>
                <w:sz w:val="12"/>
                <w:szCs w:val="12"/>
                <w:color w:val="auto"/>
              </w:rPr>
            </w:pPr>
          </w:p>
        </w:tc>
        <w:tc>
          <w:tcPr>
            <w:tcW w:w="1020" w:type="dxa"/>
            <w:vAlign w:val="bottom"/>
            <w:vMerge w:val="continue"/>
            <w:shd w:val="clear" w:color="auto" w:fill="F2F2F2"/>
          </w:tcPr>
          <w:p>
            <w:pPr>
              <w:spacing w:after="0"/>
              <w:rPr>
                <w:sz w:val="12"/>
                <w:szCs w:val="12"/>
                <w:color w:val="auto"/>
              </w:rPr>
            </w:pPr>
          </w:p>
        </w:tc>
        <w:tc>
          <w:tcPr>
            <w:tcW w:w="1080" w:type="dxa"/>
            <w:vAlign w:val="bottom"/>
            <w:vMerge w:val="restart"/>
            <w:shd w:val="clear" w:color="auto" w:fill="F2F2F2"/>
          </w:tcPr>
          <w:p>
            <w:pPr>
              <w:jc w:val="right"/>
              <w:ind w:right="16"/>
              <w:spacing w:after="0"/>
              <w:rPr>
                <w:sz w:val="20"/>
                <w:szCs w:val="20"/>
                <w:color w:val="auto"/>
              </w:rPr>
            </w:pPr>
            <w:r>
              <w:rPr>
                <w:rFonts w:ascii="Arial" w:cs="Arial" w:eastAsia="Arial" w:hAnsi="Arial"/>
                <w:sz w:val="13"/>
                <w:szCs w:val="13"/>
                <w:b w:val="1"/>
                <w:bCs w:val="1"/>
                <w:color w:val="auto"/>
              </w:rPr>
              <w:t>Compensation</w:t>
            </w:r>
          </w:p>
        </w:tc>
        <w:tc>
          <w:tcPr>
            <w:tcW w:w="1760" w:type="dxa"/>
            <w:vAlign w:val="bottom"/>
            <w:vMerge w:val="continue"/>
            <w:shd w:val="clear" w:color="auto" w:fill="F2F2F2"/>
          </w:tcPr>
          <w:p>
            <w:pPr>
              <w:spacing w:after="0"/>
              <w:rPr>
                <w:sz w:val="12"/>
                <w:szCs w:val="12"/>
                <w:color w:val="auto"/>
              </w:rPr>
            </w:pPr>
          </w:p>
        </w:tc>
        <w:tc>
          <w:tcPr>
            <w:tcW w:w="1620" w:type="dxa"/>
            <w:vAlign w:val="bottom"/>
            <w:shd w:val="clear" w:color="auto" w:fill="F2F2F2"/>
          </w:tcPr>
          <w:p>
            <w:pPr>
              <w:jc w:val="right"/>
              <w:ind w:right="73"/>
              <w:spacing w:after="0"/>
              <w:rPr>
                <w:sz w:val="20"/>
                <w:szCs w:val="20"/>
                <w:color w:val="auto"/>
              </w:rPr>
            </w:pPr>
            <w:r>
              <w:rPr>
                <w:rFonts w:ascii="Arial" w:cs="Arial" w:eastAsia="Arial" w:hAnsi="Arial"/>
                <w:sz w:val="13"/>
                <w:szCs w:val="13"/>
                <w:b w:val="1"/>
                <w:bCs w:val="1"/>
                <w:color w:val="auto"/>
              </w:rPr>
              <w:t>Compensation</w:t>
            </w:r>
          </w:p>
        </w:tc>
        <w:tc>
          <w:tcPr>
            <w:tcW w:w="920" w:type="dxa"/>
            <w:vAlign w:val="bottom"/>
            <w:vMerge w:val="restart"/>
            <w:shd w:val="clear" w:color="auto" w:fill="F2F2F2"/>
          </w:tcPr>
          <w:p>
            <w:pPr>
              <w:jc w:val="right"/>
              <w:ind w:right="33"/>
              <w:spacing w:after="0"/>
              <w:rPr>
                <w:sz w:val="20"/>
                <w:szCs w:val="20"/>
                <w:color w:val="auto"/>
              </w:rPr>
            </w:pPr>
            <w:r>
              <w:rPr>
                <w:rFonts w:ascii="Arial" w:cs="Arial" w:eastAsia="Arial" w:hAnsi="Arial"/>
                <w:sz w:val="13"/>
                <w:szCs w:val="13"/>
                <w:b w:val="1"/>
                <w:bCs w:val="1"/>
                <w:color w:val="auto"/>
              </w:rPr>
              <w:t>Total</w:t>
            </w:r>
          </w:p>
        </w:tc>
        <w:tc>
          <w:tcPr>
            <w:tcW w:w="1000" w:type="dxa"/>
            <w:vAlign w:val="bottom"/>
            <w:vMerge w:val="continue"/>
            <w:shd w:val="clear" w:color="auto" w:fill="F2F2F2"/>
          </w:tcPr>
          <w:p>
            <w:pPr>
              <w:spacing w:after="0"/>
              <w:rPr>
                <w:sz w:val="12"/>
                <w:szCs w:val="12"/>
                <w:color w:val="auto"/>
              </w:rPr>
            </w:pPr>
          </w:p>
        </w:tc>
        <w:tc>
          <w:tcPr>
            <w:tcW w:w="980" w:type="dxa"/>
            <w:vAlign w:val="bottom"/>
            <w:shd w:val="clear" w:color="auto" w:fill="F2F2F2"/>
          </w:tcPr>
          <w:p>
            <w:pPr>
              <w:spacing w:after="0"/>
              <w:rPr>
                <w:sz w:val="12"/>
                <w:szCs w:val="12"/>
                <w:color w:val="auto"/>
              </w:rPr>
            </w:pPr>
          </w:p>
        </w:tc>
        <w:tc>
          <w:tcPr>
            <w:tcW w:w="900" w:type="dxa"/>
            <w:vAlign w:val="bottom"/>
            <w:vMerge w:val="restart"/>
            <w:shd w:val="clear" w:color="auto" w:fill="F2F2F2"/>
          </w:tcPr>
          <w:p>
            <w:pPr>
              <w:jc w:val="right"/>
              <w:ind w:right="53"/>
              <w:spacing w:after="0"/>
              <w:rPr>
                <w:sz w:val="20"/>
                <w:szCs w:val="20"/>
                <w:color w:val="auto"/>
              </w:rPr>
            </w:pPr>
            <w:r>
              <w:rPr>
                <w:rFonts w:ascii="Arial" w:cs="Arial" w:eastAsia="Arial" w:hAnsi="Arial"/>
                <w:sz w:val="13"/>
                <w:szCs w:val="13"/>
                <w:b w:val="1"/>
                <w:bCs w:val="1"/>
                <w:color w:val="auto"/>
              </w:rPr>
              <w:t>Free Cash</w:t>
            </w:r>
          </w:p>
        </w:tc>
        <w:tc>
          <w:tcPr>
            <w:tcW w:w="0" w:type="dxa"/>
            <w:vAlign w:val="bottom"/>
          </w:tcPr>
          <w:p>
            <w:pPr>
              <w:spacing w:after="0"/>
              <w:rPr>
                <w:sz w:val="1"/>
                <w:szCs w:val="1"/>
                <w:color w:val="auto"/>
              </w:rPr>
            </w:pPr>
          </w:p>
        </w:tc>
      </w:tr>
      <w:tr>
        <w:trPr>
          <w:trHeight w:val="136"/>
        </w:trPr>
        <w:tc>
          <w:tcPr>
            <w:tcW w:w="440" w:type="dxa"/>
            <w:vAlign w:val="bottom"/>
            <w:shd w:val="clear" w:color="auto" w:fill="F2F2F2"/>
          </w:tcPr>
          <w:p>
            <w:pPr>
              <w:spacing w:after="0"/>
              <w:rPr>
                <w:sz w:val="11"/>
                <w:szCs w:val="11"/>
                <w:color w:val="auto"/>
              </w:rPr>
            </w:pPr>
          </w:p>
        </w:tc>
        <w:tc>
          <w:tcPr>
            <w:tcW w:w="1020" w:type="dxa"/>
            <w:vAlign w:val="bottom"/>
            <w:shd w:val="clear" w:color="auto" w:fill="F2F2F2"/>
          </w:tcPr>
          <w:p>
            <w:pPr>
              <w:spacing w:after="0" w:line="136" w:lineRule="exact"/>
              <w:rPr>
                <w:sz w:val="20"/>
                <w:szCs w:val="20"/>
                <w:color w:val="auto"/>
              </w:rPr>
            </w:pPr>
            <w:r>
              <w:rPr>
                <w:rFonts w:ascii="Arial" w:cs="Arial" w:eastAsia="Arial" w:hAnsi="Arial"/>
                <w:sz w:val="13"/>
                <w:szCs w:val="13"/>
                <w:b w:val="1"/>
                <w:bCs w:val="1"/>
                <w:color w:val="auto"/>
              </w:rPr>
              <w:t>Compensation</w:t>
            </w:r>
          </w:p>
        </w:tc>
        <w:tc>
          <w:tcPr>
            <w:tcW w:w="1080" w:type="dxa"/>
            <w:vAlign w:val="bottom"/>
            <w:vMerge w:val="continue"/>
            <w:shd w:val="clear" w:color="auto" w:fill="F2F2F2"/>
          </w:tcPr>
          <w:p>
            <w:pPr>
              <w:spacing w:after="0"/>
              <w:rPr>
                <w:sz w:val="11"/>
                <w:szCs w:val="11"/>
                <w:color w:val="auto"/>
              </w:rPr>
            </w:pPr>
          </w:p>
        </w:tc>
        <w:tc>
          <w:tcPr>
            <w:tcW w:w="1760" w:type="dxa"/>
            <w:vAlign w:val="bottom"/>
            <w:shd w:val="clear" w:color="auto" w:fill="F2F2F2"/>
          </w:tcPr>
          <w:p>
            <w:pPr>
              <w:jc w:val="right"/>
              <w:ind w:right="13"/>
              <w:spacing w:after="0" w:line="136" w:lineRule="exact"/>
              <w:rPr>
                <w:sz w:val="20"/>
                <w:szCs w:val="20"/>
                <w:color w:val="auto"/>
              </w:rPr>
            </w:pPr>
            <w:r>
              <w:rPr>
                <w:rFonts w:ascii="Arial" w:cs="Arial" w:eastAsia="Arial" w:hAnsi="Arial"/>
                <w:sz w:val="13"/>
                <w:szCs w:val="13"/>
                <w:b w:val="1"/>
                <w:bCs w:val="1"/>
                <w:color w:val="auto"/>
              </w:rPr>
              <w:t>Compensation Table</w:t>
            </w:r>
          </w:p>
        </w:tc>
        <w:tc>
          <w:tcPr>
            <w:tcW w:w="1620" w:type="dxa"/>
            <w:vAlign w:val="bottom"/>
            <w:shd w:val="clear" w:color="auto" w:fill="F2F2F2"/>
          </w:tcPr>
          <w:p>
            <w:pPr>
              <w:jc w:val="right"/>
              <w:ind w:right="33"/>
              <w:spacing w:after="0" w:line="136" w:lineRule="exact"/>
              <w:rPr>
                <w:sz w:val="20"/>
                <w:szCs w:val="20"/>
                <w:color w:val="auto"/>
              </w:rPr>
            </w:pPr>
            <w:r>
              <w:rPr>
                <w:rFonts w:ascii="Arial" w:cs="Arial" w:eastAsia="Arial" w:hAnsi="Arial"/>
                <w:sz w:val="13"/>
                <w:szCs w:val="13"/>
                <w:b w:val="1"/>
                <w:bCs w:val="1"/>
                <w:color w:val="auto"/>
              </w:rPr>
              <w:t>Actually Paid to Non-</w:t>
            </w:r>
          </w:p>
        </w:tc>
        <w:tc>
          <w:tcPr>
            <w:tcW w:w="920" w:type="dxa"/>
            <w:vAlign w:val="bottom"/>
            <w:vMerge w:val="continue"/>
            <w:shd w:val="clear" w:color="auto" w:fill="F2F2F2"/>
          </w:tcPr>
          <w:p>
            <w:pPr>
              <w:spacing w:after="0"/>
              <w:rPr>
                <w:sz w:val="11"/>
                <w:szCs w:val="11"/>
                <w:color w:val="auto"/>
              </w:rPr>
            </w:pPr>
          </w:p>
        </w:tc>
        <w:tc>
          <w:tcPr>
            <w:tcW w:w="1000" w:type="dxa"/>
            <w:vAlign w:val="bottom"/>
            <w:shd w:val="clear" w:color="auto" w:fill="F2F2F2"/>
          </w:tcPr>
          <w:p>
            <w:pPr>
              <w:jc w:val="right"/>
              <w:ind w:right="73"/>
              <w:spacing w:after="0" w:line="136" w:lineRule="exact"/>
              <w:rPr>
                <w:sz w:val="20"/>
                <w:szCs w:val="20"/>
                <w:color w:val="auto"/>
              </w:rPr>
            </w:pPr>
            <w:r>
              <w:rPr>
                <w:rFonts w:ascii="Arial" w:cs="Arial" w:eastAsia="Arial" w:hAnsi="Arial"/>
                <w:sz w:val="13"/>
                <w:szCs w:val="13"/>
                <w:b w:val="1"/>
                <w:bCs w:val="1"/>
                <w:color w:val="auto"/>
              </w:rPr>
              <w:t>Total</w:t>
            </w:r>
          </w:p>
        </w:tc>
        <w:tc>
          <w:tcPr>
            <w:tcW w:w="980" w:type="dxa"/>
            <w:vAlign w:val="bottom"/>
            <w:vMerge w:val="restart"/>
            <w:shd w:val="clear" w:color="auto" w:fill="F2F2F2"/>
          </w:tcPr>
          <w:p>
            <w:pPr>
              <w:jc w:val="right"/>
              <w:ind w:right="73"/>
              <w:spacing w:after="0"/>
              <w:rPr>
                <w:sz w:val="20"/>
                <w:szCs w:val="20"/>
                <w:color w:val="auto"/>
              </w:rPr>
            </w:pPr>
            <w:r>
              <w:rPr>
                <w:rFonts w:ascii="Arial" w:cs="Arial" w:eastAsia="Arial" w:hAnsi="Arial"/>
                <w:sz w:val="13"/>
                <w:szCs w:val="13"/>
                <w:b w:val="1"/>
                <w:bCs w:val="1"/>
                <w:color w:val="auto"/>
                <w:w w:val="96"/>
              </w:rPr>
              <w:t>Net Income</w:t>
            </w:r>
            <w:r>
              <w:rPr>
                <w:rFonts w:ascii="Arial" w:cs="Arial" w:eastAsia="Arial" w:hAnsi="Arial"/>
                <w:sz w:val="18"/>
                <w:szCs w:val="18"/>
                <w:color w:val="auto"/>
                <w:w w:val="96"/>
                <w:vertAlign w:val="superscript"/>
              </w:rPr>
              <w:t>(6)</w:t>
            </w:r>
          </w:p>
        </w:tc>
        <w:tc>
          <w:tcPr>
            <w:tcW w:w="900" w:type="dxa"/>
            <w:vAlign w:val="bottom"/>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 w:type="dxa"/>
            <w:vAlign w:val="bottom"/>
            <w:shd w:val="clear" w:color="auto" w:fill="F2F2F2"/>
          </w:tcPr>
          <w:p>
            <w:pPr>
              <w:spacing w:after="0"/>
              <w:rPr>
                <w:sz w:val="12"/>
                <w:szCs w:val="12"/>
                <w:color w:val="auto"/>
              </w:rPr>
            </w:pPr>
          </w:p>
        </w:tc>
        <w:tc>
          <w:tcPr>
            <w:tcW w:w="1020" w:type="dxa"/>
            <w:vAlign w:val="bottom"/>
            <w:shd w:val="clear" w:color="auto" w:fill="F2F2F2"/>
          </w:tcPr>
          <w:p>
            <w:pPr>
              <w:spacing w:after="0"/>
              <w:rPr>
                <w:sz w:val="20"/>
                <w:szCs w:val="20"/>
                <w:color w:val="auto"/>
              </w:rPr>
            </w:pPr>
            <w:r>
              <w:rPr>
                <w:rFonts w:ascii="Arial" w:cs="Arial" w:eastAsia="Arial" w:hAnsi="Arial"/>
                <w:sz w:val="13"/>
                <w:szCs w:val="13"/>
                <w:b w:val="1"/>
                <w:bCs w:val="1"/>
                <w:color w:val="auto"/>
              </w:rPr>
              <w:t>Table Total for</w:t>
            </w:r>
          </w:p>
        </w:tc>
        <w:tc>
          <w:tcPr>
            <w:tcW w:w="1080" w:type="dxa"/>
            <w:vAlign w:val="bottom"/>
            <w:shd w:val="clear" w:color="auto" w:fill="F2F2F2"/>
          </w:tcPr>
          <w:p>
            <w:pPr>
              <w:jc w:val="right"/>
              <w:ind w:right="16"/>
              <w:spacing w:after="0"/>
              <w:rPr>
                <w:sz w:val="20"/>
                <w:szCs w:val="20"/>
                <w:color w:val="auto"/>
              </w:rPr>
            </w:pPr>
            <w:r>
              <w:rPr>
                <w:rFonts w:ascii="Arial" w:cs="Arial" w:eastAsia="Arial" w:hAnsi="Arial"/>
                <w:sz w:val="13"/>
                <w:szCs w:val="13"/>
                <w:b w:val="1"/>
                <w:bCs w:val="1"/>
                <w:color w:val="auto"/>
              </w:rPr>
              <w:t>Actually Paid</w:t>
            </w:r>
          </w:p>
        </w:tc>
        <w:tc>
          <w:tcPr>
            <w:tcW w:w="176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auto"/>
              </w:rPr>
              <w:t>Total for Non-PEO Named</w:t>
            </w:r>
          </w:p>
        </w:tc>
        <w:tc>
          <w:tcPr>
            <w:tcW w:w="1620" w:type="dxa"/>
            <w:vAlign w:val="bottom"/>
            <w:shd w:val="clear" w:color="auto" w:fill="F2F2F2"/>
          </w:tcPr>
          <w:p>
            <w:pPr>
              <w:jc w:val="right"/>
              <w:ind w:right="53"/>
              <w:spacing w:after="0"/>
              <w:rPr>
                <w:sz w:val="20"/>
                <w:szCs w:val="20"/>
                <w:color w:val="auto"/>
              </w:rPr>
            </w:pPr>
            <w:r>
              <w:rPr>
                <w:rFonts w:ascii="Arial" w:cs="Arial" w:eastAsia="Arial" w:hAnsi="Arial"/>
                <w:sz w:val="13"/>
                <w:szCs w:val="13"/>
                <w:b w:val="1"/>
                <w:bCs w:val="1"/>
                <w:color w:val="auto"/>
              </w:rPr>
              <w:t>PEO Named Executive</w:t>
            </w:r>
          </w:p>
        </w:tc>
        <w:tc>
          <w:tcPr>
            <w:tcW w:w="920" w:type="dxa"/>
            <w:vAlign w:val="bottom"/>
            <w:shd w:val="clear" w:color="auto" w:fill="F2F2F2"/>
          </w:tcPr>
          <w:p>
            <w:pPr>
              <w:jc w:val="right"/>
              <w:ind w:right="33"/>
              <w:spacing w:after="0"/>
              <w:rPr>
                <w:sz w:val="20"/>
                <w:szCs w:val="20"/>
                <w:color w:val="auto"/>
              </w:rPr>
            </w:pPr>
            <w:r>
              <w:rPr>
                <w:rFonts w:ascii="Arial" w:cs="Arial" w:eastAsia="Arial" w:hAnsi="Arial"/>
                <w:sz w:val="13"/>
                <w:szCs w:val="13"/>
                <w:b w:val="1"/>
                <w:bCs w:val="1"/>
                <w:color w:val="auto"/>
              </w:rPr>
              <w:t>Shareholder</w:t>
            </w:r>
          </w:p>
        </w:tc>
        <w:tc>
          <w:tcPr>
            <w:tcW w:w="1000" w:type="dxa"/>
            <w:vAlign w:val="bottom"/>
            <w:shd w:val="clear" w:color="auto" w:fill="F2F2F2"/>
          </w:tcPr>
          <w:p>
            <w:pPr>
              <w:jc w:val="right"/>
              <w:ind w:right="73"/>
              <w:spacing w:after="0"/>
              <w:rPr>
                <w:sz w:val="20"/>
                <w:szCs w:val="20"/>
                <w:color w:val="auto"/>
              </w:rPr>
            </w:pPr>
            <w:r>
              <w:rPr>
                <w:rFonts w:ascii="Arial" w:cs="Arial" w:eastAsia="Arial" w:hAnsi="Arial"/>
                <w:sz w:val="13"/>
                <w:szCs w:val="13"/>
                <w:b w:val="1"/>
                <w:bCs w:val="1"/>
                <w:color w:val="auto"/>
              </w:rPr>
              <w:t>Shareholder</w:t>
            </w:r>
          </w:p>
        </w:tc>
        <w:tc>
          <w:tcPr>
            <w:tcW w:w="980" w:type="dxa"/>
            <w:vAlign w:val="bottom"/>
            <w:vMerge w:val="continue"/>
            <w:shd w:val="clear" w:color="auto" w:fill="F2F2F2"/>
          </w:tcPr>
          <w:p>
            <w:pPr>
              <w:spacing w:after="0"/>
              <w:rPr>
                <w:sz w:val="12"/>
                <w:szCs w:val="12"/>
                <w:color w:val="auto"/>
              </w:rPr>
            </w:pPr>
          </w:p>
        </w:tc>
        <w:tc>
          <w:tcPr>
            <w:tcW w:w="900" w:type="dxa"/>
            <w:vAlign w:val="bottom"/>
            <w:shd w:val="clear" w:color="auto" w:fill="F2F2F2"/>
          </w:tcPr>
          <w:p>
            <w:pPr>
              <w:jc w:val="right"/>
              <w:ind w:right="33"/>
              <w:spacing w:after="0" w:line="149" w:lineRule="exact"/>
              <w:rPr>
                <w:sz w:val="20"/>
                <w:szCs w:val="20"/>
                <w:color w:val="auto"/>
              </w:rPr>
            </w:pPr>
            <w:r>
              <w:rPr>
                <w:rFonts w:ascii="Arial" w:cs="Arial" w:eastAsia="Arial" w:hAnsi="Arial"/>
                <w:sz w:val="13"/>
                <w:szCs w:val="13"/>
                <w:b w:val="1"/>
                <w:bCs w:val="1"/>
                <w:color w:val="auto"/>
              </w:rPr>
              <w:t>Flow</w:t>
            </w:r>
            <w:r>
              <w:rPr>
                <w:rFonts w:ascii="Arial" w:cs="Arial" w:eastAsia="Arial" w:hAnsi="Arial"/>
                <w:sz w:val="17"/>
                <w:szCs w:val="17"/>
                <w:color w:val="auto"/>
                <w:vertAlign w:val="superscript"/>
              </w:rPr>
              <w:t>(7)</w:t>
            </w:r>
          </w:p>
        </w:tc>
        <w:tc>
          <w:tcPr>
            <w:tcW w:w="0" w:type="dxa"/>
            <w:vAlign w:val="bottom"/>
          </w:tcPr>
          <w:p>
            <w:pPr>
              <w:spacing w:after="0"/>
              <w:rPr>
                <w:sz w:val="1"/>
                <w:szCs w:val="1"/>
                <w:color w:val="auto"/>
              </w:rPr>
            </w:pPr>
          </w:p>
        </w:tc>
      </w:tr>
      <w:tr>
        <w:trPr>
          <w:trHeight w:val="163"/>
        </w:trPr>
        <w:tc>
          <w:tcPr>
            <w:tcW w:w="440" w:type="dxa"/>
            <w:vAlign w:val="bottom"/>
            <w:vMerge w:val="restart"/>
            <w:shd w:val="clear" w:color="auto" w:fill="F2F2F2"/>
          </w:tcPr>
          <w:p>
            <w:pPr>
              <w:spacing w:after="0"/>
              <w:rPr>
                <w:sz w:val="20"/>
                <w:szCs w:val="20"/>
                <w:color w:val="auto"/>
              </w:rPr>
            </w:pPr>
            <w:r>
              <w:rPr>
                <w:rFonts w:ascii="Arial" w:cs="Arial" w:eastAsia="Arial" w:hAnsi="Arial"/>
                <w:sz w:val="13"/>
                <w:szCs w:val="13"/>
                <w:b w:val="1"/>
                <w:bCs w:val="1"/>
                <w:color w:val="auto"/>
              </w:rPr>
              <w:t>Year</w:t>
            </w:r>
          </w:p>
        </w:tc>
        <w:tc>
          <w:tcPr>
            <w:tcW w:w="1020" w:type="dxa"/>
            <w:vAlign w:val="bottom"/>
            <w:shd w:val="clear" w:color="auto" w:fill="F2F2F2"/>
          </w:tcPr>
          <w:p>
            <w:pPr>
              <w:jc w:val="right"/>
              <w:spacing w:after="0" w:line="163" w:lineRule="exact"/>
              <w:rPr>
                <w:sz w:val="20"/>
                <w:szCs w:val="20"/>
                <w:color w:val="auto"/>
              </w:rPr>
            </w:pPr>
            <w:r>
              <w:rPr>
                <w:rFonts w:ascii="Arial" w:cs="Arial" w:eastAsia="Arial" w:hAnsi="Arial"/>
                <w:sz w:val="13"/>
                <w:szCs w:val="13"/>
                <w:b w:val="1"/>
                <w:bCs w:val="1"/>
                <w:color w:val="auto"/>
              </w:rPr>
              <w:t>PEO</w:t>
            </w:r>
            <w:r>
              <w:rPr>
                <w:rFonts w:ascii="Arial" w:cs="Arial" w:eastAsia="Arial" w:hAnsi="Arial"/>
                <w:sz w:val="18"/>
                <w:szCs w:val="18"/>
                <w:color w:val="auto"/>
                <w:vertAlign w:val="superscript"/>
              </w:rPr>
              <w:t>(1)</w:t>
            </w:r>
          </w:p>
        </w:tc>
        <w:tc>
          <w:tcPr>
            <w:tcW w:w="1080" w:type="dxa"/>
            <w:vAlign w:val="bottom"/>
            <w:shd w:val="clear" w:color="auto" w:fill="F2F2F2"/>
          </w:tcPr>
          <w:p>
            <w:pPr>
              <w:jc w:val="right"/>
              <w:spacing w:after="0" w:line="163" w:lineRule="exact"/>
              <w:rPr>
                <w:sz w:val="20"/>
                <w:szCs w:val="20"/>
                <w:color w:val="auto"/>
              </w:rPr>
            </w:pPr>
            <w:r>
              <w:rPr>
                <w:rFonts w:ascii="Arial" w:cs="Arial" w:eastAsia="Arial" w:hAnsi="Arial"/>
                <w:sz w:val="18"/>
                <w:szCs w:val="18"/>
                <w:b w:val="1"/>
                <w:bCs w:val="1"/>
                <w:color w:val="auto"/>
                <w:vertAlign w:val="subscript"/>
              </w:rPr>
              <w:t>to PEO</w:t>
            </w:r>
            <w:r>
              <w:rPr>
                <w:rFonts w:ascii="Arial" w:cs="Arial" w:eastAsia="Arial" w:hAnsi="Arial"/>
                <w:sz w:val="8"/>
                <w:szCs w:val="8"/>
                <w:color w:val="auto"/>
              </w:rPr>
              <w:t>(2)(3)</w:t>
            </w:r>
          </w:p>
        </w:tc>
        <w:tc>
          <w:tcPr>
            <w:tcW w:w="1760" w:type="dxa"/>
            <w:vAlign w:val="bottom"/>
            <w:shd w:val="clear" w:color="auto" w:fill="F2F2F2"/>
          </w:tcPr>
          <w:p>
            <w:pPr>
              <w:jc w:val="right"/>
              <w:spacing w:after="0" w:line="163" w:lineRule="exact"/>
              <w:rPr>
                <w:sz w:val="20"/>
                <w:szCs w:val="20"/>
                <w:color w:val="auto"/>
              </w:rPr>
            </w:pPr>
            <w:r>
              <w:rPr>
                <w:rFonts w:ascii="Arial" w:cs="Arial" w:eastAsia="Arial" w:hAnsi="Arial"/>
                <w:sz w:val="13"/>
                <w:szCs w:val="13"/>
                <w:b w:val="1"/>
                <w:bCs w:val="1"/>
                <w:color w:val="auto"/>
              </w:rPr>
              <w:t>Executive Officers</w:t>
            </w:r>
            <w:r>
              <w:rPr>
                <w:rFonts w:ascii="Arial" w:cs="Arial" w:eastAsia="Arial" w:hAnsi="Arial"/>
                <w:sz w:val="18"/>
                <w:szCs w:val="18"/>
                <w:color w:val="auto"/>
                <w:vertAlign w:val="superscript"/>
              </w:rPr>
              <w:t>(1)</w:t>
            </w:r>
          </w:p>
        </w:tc>
        <w:tc>
          <w:tcPr>
            <w:tcW w:w="1620" w:type="dxa"/>
            <w:vAlign w:val="bottom"/>
            <w:shd w:val="clear" w:color="auto" w:fill="F2F2F2"/>
          </w:tcPr>
          <w:p>
            <w:pPr>
              <w:jc w:val="right"/>
              <w:ind w:right="33"/>
              <w:spacing w:after="0" w:line="163" w:lineRule="exact"/>
              <w:rPr>
                <w:sz w:val="20"/>
                <w:szCs w:val="20"/>
                <w:color w:val="auto"/>
              </w:rPr>
            </w:pPr>
            <w:r>
              <w:rPr>
                <w:rFonts w:ascii="Arial" w:cs="Arial" w:eastAsia="Arial" w:hAnsi="Arial"/>
                <w:sz w:val="13"/>
                <w:szCs w:val="13"/>
                <w:b w:val="1"/>
                <w:bCs w:val="1"/>
                <w:color w:val="auto"/>
              </w:rPr>
              <w:t>Officers</w:t>
            </w:r>
            <w:r>
              <w:rPr>
                <w:rFonts w:ascii="Arial" w:cs="Arial" w:eastAsia="Arial" w:hAnsi="Arial"/>
                <w:sz w:val="18"/>
                <w:szCs w:val="18"/>
                <w:color w:val="auto"/>
                <w:vertAlign w:val="superscript"/>
              </w:rPr>
              <w:t>(2)(4)</w:t>
            </w:r>
          </w:p>
        </w:tc>
        <w:tc>
          <w:tcPr>
            <w:tcW w:w="92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auto"/>
              </w:rPr>
              <w:t>Return</w:t>
            </w:r>
          </w:p>
        </w:tc>
        <w:tc>
          <w:tcPr>
            <w:tcW w:w="1000" w:type="dxa"/>
            <w:vAlign w:val="bottom"/>
            <w:shd w:val="clear" w:color="auto" w:fill="F2F2F2"/>
          </w:tcPr>
          <w:p>
            <w:pPr>
              <w:jc w:val="right"/>
              <w:ind w:right="33"/>
              <w:spacing w:after="0" w:line="163" w:lineRule="exact"/>
              <w:rPr>
                <w:sz w:val="20"/>
                <w:szCs w:val="20"/>
                <w:color w:val="auto"/>
              </w:rPr>
            </w:pPr>
            <w:r>
              <w:rPr>
                <w:rFonts w:ascii="Arial" w:cs="Arial" w:eastAsia="Arial" w:hAnsi="Arial"/>
                <w:sz w:val="13"/>
                <w:szCs w:val="13"/>
                <w:b w:val="1"/>
                <w:bCs w:val="1"/>
                <w:color w:val="auto"/>
              </w:rPr>
              <w:t>Return</w:t>
            </w:r>
            <w:r>
              <w:rPr>
                <w:rFonts w:ascii="Arial" w:cs="Arial" w:eastAsia="Arial" w:hAnsi="Arial"/>
                <w:sz w:val="18"/>
                <w:szCs w:val="18"/>
                <w:color w:val="auto"/>
                <w:vertAlign w:val="superscript"/>
              </w:rPr>
              <w:t>(5)</w:t>
            </w:r>
          </w:p>
        </w:tc>
        <w:tc>
          <w:tcPr>
            <w:tcW w:w="980" w:type="dxa"/>
            <w:vAlign w:val="bottom"/>
            <w:shd w:val="clear" w:color="auto" w:fill="F2F2F2"/>
          </w:tcPr>
          <w:p>
            <w:pPr>
              <w:jc w:val="right"/>
              <w:ind w:right="73"/>
              <w:spacing w:after="0"/>
              <w:rPr>
                <w:sz w:val="20"/>
                <w:szCs w:val="20"/>
                <w:color w:val="auto"/>
              </w:rPr>
            </w:pPr>
            <w:r>
              <w:rPr>
                <w:rFonts w:ascii="Arial" w:cs="Arial" w:eastAsia="Arial" w:hAnsi="Arial"/>
                <w:sz w:val="13"/>
                <w:szCs w:val="13"/>
                <w:color w:val="auto"/>
              </w:rPr>
              <w:t>(in millions)</w:t>
            </w:r>
          </w:p>
        </w:tc>
        <w:tc>
          <w:tcPr>
            <w:tcW w:w="900" w:type="dxa"/>
            <w:vAlign w:val="bottom"/>
            <w:shd w:val="clear" w:color="auto" w:fill="F2F2F2"/>
          </w:tcPr>
          <w:p>
            <w:pPr>
              <w:jc w:val="right"/>
              <w:ind w:right="33"/>
              <w:spacing w:after="0"/>
              <w:rPr>
                <w:sz w:val="20"/>
                <w:szCs w:val="20"/>
                <w:color w:val="auto"/>
              </w:rPr>
            </w:pPr>
            <w:r>
              <w:rPr>
                <w:rFonts w:ascii="Arial" w:cs="Arial" w:eastAsia="Arial" w:hAnsi="Arial"/>
                <w:sz w:val="13"/>
                <w:szCs w:val="13"/>
                <w:color w:val="auto"/>
              </w:rPr>
              <w:t>(in millions)</w:t>
            </w:r>
          </w:p>
        </w:tc>
        <w:tc>
          <w:tcPr>
            <w:tcW w:w="0" w:type="dxa"/>
            <w:vAlign w:val="bottom"/>
          </w:tcPr>
          <w:p>
            <w:pPr>
              <w:spacing w:after="0"/>
              <w:rPr>
                <w:sz w:val="1"/>
                <w:szCs w:val="1"/>
                <w:color w:val="auto"/>
              </w:rPr>
            </w:pPr>
          </w:p>
        </w:tc>
      </w:tr>
      <w:tr>
        <w:trPr>
          <w:trHeight w:val="161"/>
        </w:trPr>
        <w:tc>
          <w:tcPr>
            <w:tcW w:w="440" w:type="dxa"/>
            <w:vAlign w:val="bottom"/>
            <w:tcBorders>
              <w:bottom w:val="single" w:sz="8" w:color="auto"/>
            </w:tcBorders>
            <w:vMerge w:val="continue"/>
            <w:shd w:val="clear" w:color="auto" w:fill="F2F2F2"/>
          </w:tcPr>
          <w:p>
            <w:pPr>
              <w:spacing w:after="0"/>
              <w:rPr>
                <w:sz w:val="14"/>
                <w:szCs w:val="14"/>
                <w:color w:val="auto"/>
              </w:rPr>
            </w:pPr>
          </w:p>
        </w:tc>
        <w:tc>
          <w:tcPr>
            <w:tcW w:w="10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7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auto"/>
            </w:tcBorders>
            <w:shd w:val="clear" w:color="auto" w:fill="F2F2F2"/>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F2F2F2"/>
          </w:tcPr>
          <w:p>
            <w:pPr>
              <w:jc w:val="right"/>
              <w:ind w:right="3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F2F2F2"/>
          </w:tcPr>
          <w:p>
            <w:pPr>
              <w:jc w:val="right"/>
              <w:ind w:right="7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F2F2F2"/>
          </w:tcPr>
          <w:p>
            <w:pPr>
              <w:jc w:val="right"/>
              <w:ind w:right="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2025</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13,202,517</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20,245,175</w:t>
            </w:r>
          </w:p>
        </w:tc>
        <w:tc>
          <w:tcPr>
            <w:tcW w:w="1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4,614,322</w:t>
            </w:r>
          </w:p>
        </w:tc>
        <w:tc>
          <w:tcPr>
            <w:tcW w:w="1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5,537,888</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196.81</w:t>
            </w:r>
          </w:p>
        </w:tc>
        <w:tc>
          <w:tcPr>
            <w:tcW w:w="10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295.11</w:t>
            </w:r>
          </w:p>
        </w:tc>
        <w:tc>
          <w:tcPr>
            <w:tcW w:w="9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color w:val="auto"/>
              </w:rPr>
              <w:t>1,434</w:t>
            </w:r>
          </w:p>
        </w:tc>
        <w:tc>
          <w:tcPr>
            <w:tcW w:w="9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42"/>
        </w:trPr>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2024</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11,440,709</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6,216,553</w:t>
            </w:r>
          </w:p>
        </w:tc>
        <w:tc>
          <w:tcPr>
            <w:tcW w:w="1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4,099,763</w:t>
            </w:r>
          </w:p>
        </w:tc>
        <w:tc>
          <w:tcPr>
            <w:tcW w:w="1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1,549,100</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176.45</w:t>
            </w:r>
          </w:p>
        </w:tc>
        <w:tc>
          <w:tcPr>
            <w:tcW w:w="10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280.73</w:t>
            </w:r>
          </w:p>
        </w:tc>
        <w:tc>
          <w:tcPr>
            <w:tcW w:w="9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color w:val="auto"/>
              </w:rPr>
              <w:t>804</w:t>
            </w:r>
          </w:p>
        </w:tc>
        <w:tc>
          <w:tcPr>
            <w:tcW w:w="9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841</w:t>
            </w:r>
          </w:p>
        </w:tc>
        <w:tc>
          <w:tcPr>
            <w:tcW w:w="0" w:type="dxa"/>
            <w:vAlign w:val="bottom"/>
          </w:tcPr>
          <w:p>
            <w:pPr>
              <w:spacing w:after="0"/>
              <w:rPr>
                <w:sz w:val="1"/>
                <w:szCs w:val="1"/>
                <w:color w:val="auto"/>
              </w:rPr>
            </w:pPr>
          </w:p>
        </w:tc>
      </w:tr>
      <w:tr>
        <w:trPr>
          <w:trHeight w:val="142"/>
        </w:trPr>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2023</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13,763,441</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3,438,692</w:t>
            </w:r>
          </w:p>
        </w:tc>
        <w:tc>
          <w:tcPr>
            <w:tcW w:w="1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5,142,656</w:t>
            </w:r>
          </w:p>
        </w:tc>
        <w:tc>
          <w:tcPr>
            <w:tcW w:w="1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1,481,677</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265.09</w:t>
            </w:r>
          </w:p>
        </w:tc>
        <w:tc>
          <w:tcPr>
            <w:tcW w:w="10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285.07</w:t>
            </w:r>
          </w:p>
        </w:tc>
        <w:tc>
          <w:tcPr>
            <w:tcW w:w="9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color w:val="auto"/>
              </w:rPr>
              <w:t>2,855</w:t>
            </w:r>
          </w:p>
        </w:tc>
        <w:tc>
          <w:tcPr>
            <w:tcW w:w="9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965</w:t>
            </w:r>
          </w:p>
        </w:tc>
        <w:tc>
          <w:tcPr>
            <w:tcW w:w="0" w:type="dxa"/>
            <w:vAlign w:val="bottom"/>
          </w:tcPr>
          <w:p>
            <w:pPr>
              <w:spacing w:after="0"/>
              <w:rPr>
                <w:sz w:val="1"/>
                <w:szCs w:val="1"/>
                <w:color w:val="auto"/>
              </w:rPr>
            </w:pPr>
          </w:p>
        </w:tc>
      </w:tr>
      <w:tr>
        <w:trPr>
          <w:trHeight w:val="142"/>
        </w:trPr>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2022</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13,802,119</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37,002,785</w:t>
            </w:r>
          </w:p>
        </w:tc>
        <w:tc>
          <w:tcPr>
            <w:tcW w:w="1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5,258,220</w:t>
            </w:r>
          </w:p>
        </w:tc>
        <w:tc>
          <w:tcPr>
            <w:tcW w:w="1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12,358,523</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336.57</w:t>
            </w:r>
          </w:p>
        </w:tc>
        <w:tc>
          <w:tcPr>
            <w:tcW w:w="10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272.74</w:t>
            </w:r>
          </w:p>
        </w:tc>
        <w:tc>
          <w:tcPr>
            <w:tcW w:w="9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color w:val="auto"/>
              </w:rPr>
              <w:t>3,674</w:t>
            </w:r>
          </w:p>
        </w:tc>
        <w:tc>
          <w:tcPr>
            <w:tcW w:w="9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2,458</w:t>
            </w:r>
          </w:p>
        </w:tc>
        <w:tc>
          <w:tcPr>
            <w:tcW w:w="0" w:type="dxa"/>
            <w:vAlign w:val="bottom"/>
          </w:tcPr>
          <w:p>
            <w:pPr>
              <w:spacing w:after="0"/>
              <w:rPr>
                <w:sz w:val="1"/>
                <w:szCs w:val="1"/>
                <w:color w:val="auto"/>
              </w:rPr>
            </w:pPr>
          </w:p>
        </w:tc>
      </w:tr>
      <w:tr>
        <w:trPr>
          <w:trHeight w:val="142"/>
        </w:trPr>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2021</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15,040,707</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27,948,348</w:t>
            </w:r>
          </w:p>
        </w:tc>
        <w:tc>
          <w:tcPr>
            <w:tcW w:w="1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5,318,503</w:t>
            </w:r>
          </w:p>
        </w:tc>
        <w:tc>
          <w:tcPr>
            <w:tcW w:w="16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9,347,083</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190.76</w:t>
            </w:r>
          </w:p>
        </w:tc>
        <w:tc>
          <w:tcPr>
            <w:tcW w:w="10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170.92</w:t>
            </w:r>
          </w:p>
        </w:tc>
        <w:tc>
          <w:tcPr>
            <w:tcW w:w="9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color w:val="auto"/>
              </w:rPr>
              <w:t>973</w:t>
            </w:r>
          </w:p>
        </w:tc>
        <w:tc>
          <w:tcPr>
            <w:tcW w:w="9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1,823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-1096645</wp:posOffset>
            </wp:positionV>
            <wp:extent cx="5397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pacing w:after="0" w:line="92" w:lineRule="exact"/>
        <w:rPr>
          <w:sz w:val="20"/>
          <w:szCs w:val="20"/>
          <w:color w:val="auto"/>
        </w:rPr>
      </w:pPr>
    </w:p>
    <w:p>
      <w:pPr>
        <w:jc w:val="both"/>
        <w:ind w:left="240" w:right="60" w:hanging="236"/>
        <w:spacing w:after="0" w:line="263" w:lineRule="auto"/>
        <w:tabs>
          <w:tab w:leader="none" w:pos="240" w:val="left"/>
        </w:tabs>
        <w:numPr>
          <w:ilvl w:val="0"/>
          <w:numId w:val="116"/>
        </w:numPr>
        <w:rPr>
          <w:rFonts w:ascii="Arial" w:cs="Arial" w:eastAsia="Arial" w:hAnsi="Arial"/>
          <w:sz w:val="14"/>
          <w:szCs w:val="14"/>
          <w:color w:val="404040"/>
        </w:rPr>
      </w:pPr>
      <w:r>
        <w:rPr>
          <w:rFonts w:ascii="Arial" w:cs="Arial" w:eastAsia="Arial" w:hAnsi="Arial"/>
          <w:sz w:val="14"/>
          <w:szCs w:val="14"/>
          <w:color w:val="404040"/>
        </w:rPr>
        <w:t xml:space="preserve">The dollar amounts reported in these columns are the amounts of total compensation reported for the PEO and the average of the amounts reported for the Company’s non-PEO NEOs as a group, respectively, for each corresponding year in the “Total” column of the </w:t>
      </w:r>
      <w:r>
        <w:rPr>
          <w:rFonts w:ascii="Arial" w:cs="Arial" w:eastAsia="Arial" w:hAnsi="Arial"/>
          <w:sz w:val="14"/>
          <w:szCs w:val="14"/>
          <w:i w:val="1"/>
          <w:iCs w:val="1"/>
          <w:color w:val="404040"/>
        </w:rPr>
        <w:t>Summary Compensation Table</w:t>
      </w:r>
      <w:r>
        <w:rPr>
          <w:rFonts w:ascii="Arial" w:cs="Arial" w:eastAsia="Arial" w:hAnsi="Arial"/>
          <w:sz w:val="14"/>
          <w:szCs w:val="14"/>
          <w:color w:val="404040"/>
        </w:rPr>
        <w:t xml:space="preserve"> (SCT). John J. Christmann IV was the PEO for all years reported, and the Non-PEO NEOS were as follows:</w:t>
      </w:r>
    </w:p>
    <w:p>
      <w:pPr>
        <w:spacing w:after="0" w:line="67" w:lineRule="exact"/>
        <w:rPr>
          <w:sz w:val="20"/>
          <w:szCs w:val="20"/>
          <w:color w:val="auto"/>
        </w:rPr>
      </w:pPr>
    </w:p>
    <w:tbl>
      <w:tblPr>
        <w:tblLayout w:type="fixed"/>
        <w:tblInd w:w="240" w:type="dxa"/>
        <w:tblCellMar>
          <w:top w:w="0" w:type="dxa"/>
          <w:left w:w="0" w:type="dxa"/>
          <w:bottom w:w="0" w:type="dxa"/>
          <w:right w:w="0" w:type="dxa"/>
        </w:tblCellMar>
      </w:tblPr>
      <w:tr>
        <w:trPr>
          <w:trHeight w:val="236"/>
        </w:trPr>
        <w:tc>
          <w:tcPr>
            <w:tcW w:w="880" w:type="dxa"/>
            <w:vAlign w:val="bottom"/>
            <w:tcBorders>
              <w:top w:val="single" w:sz="8" w:color="auto"/>
              <w:bottom w:val="single" w:sz="8" w:color="auto"/>
            </w:tcBorders>
            <w:shd w:val="clear" w:color="auto" w:fill="F3F3F4"/>
          </w:tcPr>
          <w:p>
            <w:pPr>
              <w:ind w:left="60"/>
              <w:spacing w:after="0"/>
              <w:rPr>
                <w:sz w:val="20"/>
                <w:szCs w:val="20"/>
                <w:color w:val="auto"/>
              </w:rPr>
            </w:pPr>
            <w:r>
              <w:rPr>
                <w:rFonts w:ascii="Arial" w:cs="Arial" w:eastAsia="Arial" w:hAnsi="Arial"/>
                <w:sz w:val="14"/>
                <w:szCs w:val="14"/>
                <w:b w:val="1"/>
                <w:bCs w:val="1"/>
                <w:color w:val="auto"/>
              </w:rPr>
              <w:t>Year</w:t>
            </w:r>
          </w:p>
        </w:tc>
        <w:tc>
          <w:tcPr>
            <w:tcW w:w="8540" w:type="dxa"/>
            <w:vAlign w:val="bottom"/>
            <w:tcBorders>
              <w:top w:val="single" w:sz="8" w:color="auto"/>
              <w:bottom w:val="single" w:sz="8" w:color="auto"/>
            </w:tcBorders>
            <w:shd w:val="clear" w:color="auto" w:fill="F3F3F4"/>
          </w:tcPr>
          <w:p>
            <w:pPr>
              <w:ind w:left="80"/>
              <w:spacing w:after="0"/>
              <w:rPr>
                <w:sz w:val="20"/>
                <w:szCs w:val="20"/>
                <w:color w:val="auto"/>
              </w:rPr>
            </w:pPr>
            <w:r>
              <w:rPr>
                <w:rFonts w:ascii="Arial" w:cs="Arial" w:eastAsia="Arial" w:hAnsi="Arial"/>
                <w:sz w:val="14"/>
                <w:szCs w:val="14"/>
                <w:b w:val="1"/>
                <w:bCs w:val="1"/>
                <w:color w:val="auto"/>
              </w:rPr>
              <w:t>Non-PEO NEOs</w:t>
            </w:r>
          </w:p>
        </w:tc>
      </w:tr>
      <w:tr>
        <w:trPr>
          <w:trHeight w:val="162"/>
        </w:trPr>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2025</w:t>
            </w:r>
          </w:p>
        </w:tc>
        <w:tc>
          <w:tcPr>
            <w:tcW w:w="85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Stephen J. Riney, Ben C. Rodgers, Tracey K. Henderson, Kimberly O. Warnica, and D. Clay Bretches</w:t>
            </w:r>
          </w:p>
        </w:tc>
      </w:tr>
      <w:tr>
        <w:trPr>
          <w:trHeight w:val="155"/>
        </w:trPr>
        <w:tc>
          <w:tcPr>
            <w:tcW w:w="8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2024</w:t>
            </w:r>
          </w:p>
        </w:tc>
        <w:tc>
          <w:tcPr>
            <w:tcW w:w="85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Stephen J. Riney, D. Clay Bretches, Tracey K. Henderson, Mark D. Maddox, P. Anthony Lannie, and David A. Pursell</w:t>
            </w:r>
          </w:p>
        </w:tc>
      </w:tr>
      <w:tr>
        <w:trPr>
          <w:trHeight w:val="156"/>
        </w:trPr>
        <w:tc>
          <w:tcPr>
            <w:tcW w:w="8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2023</w:t>
            </w:r>
          </w:p>
        </w:tc>
        <w:tc>
          <w:tcPr>
            <w:tcW w:w="85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Stephen J. Riney, David A. Pursell, D. Clay Bretches, and Tracey K. Henderson</w:t>
            </w:r>
          </w:p>
        </w:tc>
      </w:tr>
      <w:tr>
        <w:trPr>
          <w:trHeight w:val="155"/>
        </w:trPr>
        <w:tc>
          <w:tcPr>
            <w:tcW w:w="8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2022–2021</w:t>
            </w:r>
          </w:p>
        </w:tc>
        <w:tc>
          <w:tcPr>
            <w:tcW w:w="85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Stephen J. Riney, P. Anthony Lannie, David A. Pursell, and D. Clay Bretches</w:t>
            </w:r>
          </w:p>
        </w:tc>
      </w:tr>
    </w:tbl>
    <w:p>
      <w:pPr>
        <w:spacing w:after="0" w:line="112" w:lineRule="exact"/>
        <w:rPr>
          <w:sz w:val="20"/>
          <w:szCs w:val="20"/>
          <w:color w:val="auto"/>
        </w:rPr>
      </w:pPr>
    </w:p>
    <w:p>
      <w:pPr>
        <w:ind w:left="240" w:right="140" w:hanging="236"/>
        <w:spacing w:after="0" w:line="246" w:lineRule="auto"/>
        <w:tabs>
          <w:tab w:leader="none" w:pos="240" w:val="left"/>
        </w:tabs>
        <w:numPr>
          <w:ilvl w:val="0"/>
          <w:numId w:val="117"/>
        </w:numPr>
        <w:rPr>
          <w:rFonts w:ascii="Arial" w:cs="Arial" w:eastAsia="Arial" w:hAnsi="Arial"/>
          <w:sz w:val="14"/>
          <w:szCs w:val="14"/>
          <w:color w:val="404040"/>
        </w:rPr>
      </w:pPr>
      <w:r>
        <w:rPr>
          <w:rFonts w:ascii="Arial" w:cs="Arial" w:eastAsia="Arial" w:hAnsi="Arial"/>
          <w:sz w:val="14"/>
          <w:szCs w:val="14"/>
          <w:color w:val="404040"/>
        </w:rPr>
        <w:t>The dollar amounts reported in these columns represent the amount of CAP to the PEO and the non-PEO NEOs as a group, respectively, as computed in accordance with the PvP Rule. The dollar amounts do not reflect the actual amount of compensation earned by or paid to these individuals during the applicable year. In accordance with the requirements of the PvP Rule, the adjustments in the tables in the following footnotes below were made to the total compensation of the PEO and the average compensation paid to the non-PEO NEOs as a group, as reported in the SCT for the most recent year, and the addition (or subtraction, as applicable) of the amounts shown in the table for equity award adjustments, as required by the PvP Rule, to determine the CAP. Similar adjustments were made for prior years shown in the table above. No pension benefit adjustments were made, as the Company does not have any defined benefit or actuarial pension plans applicable to our U.S. employees, including our NEOs. The grant date fair value of equity awards represents the total (or average, as applicable) of the amounts reported in the “Stock Awards” and “Option Awards” columns in the SCT for the applicable year. The valuation assumptions used to calculate fair values did not materially differ from those disclosed at the time of grant.</w:t>
      </w:r>
    </w:p>
    <w:p>
      <w:pPr>
        <w:spacing w:after="0" w:line="77" w:lineRule="exact"/>
        <w:rPr>
          <w:rFonts w:ascii="Arial" w:cs="Arial" w:eastAsia="Arial" w:hAnsi="Arial"/>
          <w:sz w:val="14"/>
          <w:szCs w:val="14"/>
          <w:color w:val="404040"/>
        </w:rPr>
      </w:pPr>
    </w:p>
    <w:p>
      <w:pPr>
        <w:ind w:left="240" w:hanging="236"/>
        <w:spacing w:after="0"/>
        <w:tabs>
          <w:tab w:leader="none" w:pos="240" w:val="left"/>
        </w:tabs>
        <w:numPr>
          <w:ilvl w:val="0"/>
          <w:numId w:val="117"/>
        </w:numPr>
        <w:rPr>
          <w:rFonts w:ascii="Arial" w:cs="Arial" w:eastAsia="Arial" w:hAnsi="Arial"/>
          <w:sz w:val="14"/>
          <w:szCs w:val="14"/>
          <w:color w:val="404040"/>
        </w:rPr>
      </w:pPr>
      <w:r>
        <w:rPr>
          <w:rFonts w:ascii="Arial" w:cs="Arial" w:eastAsia="Arial" w:hAnsi="Arial"/>
          <w:sz w:val="14"/>
          <w:szCs w:val="14"/>
          <w:color w:val="404040"/>
        </w:rPr>
        <w:t>Adjustments made to the total compensation of the PEO for the most recent year were as follows:</w:t>
      </w:r>
    </w:p>
    <w:p>
      <w:pPr>
        <w:spacing w:after="0" w:line="112"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8420" w:type="dxa"/>
            <w:vAlign w:val="bottom"/>
            <w:tcBorders>
              <w:top w:val="single" w:sz="8" w:color="auto"/>
              <w:bottom w:val="single" w:sz="8" w:color="auto"/>
            </w:tcBorders>
            <w:shd w:val="clear" w:color="auto" w:fill="F3F3F4"/>
          </w:tcPr>
          <w:p>
            <w:pPr>
              <w:ind w:left="80"/>
              <w:spacing w:after="0"/>
              <w:rPr>
                <w:sz w:val="20"/>
                <w:szCs w:val="20"/>
                <w:color w:val="auto"/>
              </w:rPr>
            </w:pPr>
            <w:r>
              <w:rPr>
                <w:rFonts w:ascii="Arial" w:cs="Arial" w:eastAsia="Arial" w:hAnsi="Arial"/>
                <w:sz w:val="14"/>
                <w:szCs w:val="14"/>
                <w:b w:val="1"/>
                <w:bCs w:val="1"/>
                <w:color w:val="auto"/>
              </w:rPr>
              <w:t>Calculation of CAP for PEO</w:t>
            </w:r>
          </w:p>
        </w:tc>
        <w:tc>
          <w:tcPr>
            <w:tcW w:w="1000" w:type="dxa"/>
            <w:vAlign w:val="bottom"/>
            <w:tcBorders>
              <w:top w:val="single" w:sz="8" w:color="auto"/>
              <w:bottom w:val="single" w:sz="8" w:color="auto"/>
            </w:tcBorders>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9"/>
        </w:trPr>
        <w:tc>
          <w:tcPr>
            <w:tcW w:w="84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Reported SCT total ($)</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13,202,517</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auto"/>
            </w:tcBorders>
          </w:tcPr>
          <w:p>
            <w:pPr>
              <w:ind w:left="100"/>
              <w:spacing w:after="0" w:line="213" w:lineRule="exact"/>
              <w:rPr>
                <w:sz w:val="20"/>
                <w:szCs w:val="20"/>
                <w:color w:val="auto"/>
              </w:rPr>
            </w:pPr>
            <w:r>
              <w:rPr>
                <w:rFonts w:ascii="Arial" w:cs="Arial" w:eastAsia="Arial" w:hAnsi="Arial"/>
                <w:sz w:val="24"/>
                <w:szCs w:val="24"/>
                <w:b w:val="1"/>
                <w:bCs w:val="1"/>
                <w:color w:val="auto"/>
                <w:vertAlign w:val="superscript"/>
              </w:rPr>
              <w:t>–</w:t>
            </w:r>
            <w:r>
              <w:rPr>
                <w:rFonts w:ascii="Arial" w:cs="Arial" w:eastAsia="Arial" w:hAnsi="Arial"/>
                <w:sz w:val="13"/>
                <w:szCs w:val="13"/>
                <w:color w:val="auto"/>
              </w:rPr>
              <w:t xml:space="preserve"> Reported value of equity awards ($)</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(7,916,432)</w:t>
            </w:r>
          </w:p>
        </w:tc>
        <w:tc>
          <w:tcPr>
            <w:tcW w:w="0" w:type="dxa"/>
            <w:vAlign w:val="bottom"/>
          </w:tcPr>
          <w:p>
            <w:pPr>
              <w:spacing w:after="0"/>
              <w:rPr>
                <w:sz w:val="1"/>
                <w:szCs w:val="1"/>
                <w:color w:val="auto"/>
              </w:rPr>
            </w:pPr>
          </w:p>
        </w:tc>
      </w:tr>
      <w:tr>
        <w:trPr>
          <w:trHeight w:val="146"/>
        </w:trPr>
        <w:tc>
          <w:tcPr>
            <w:tcW w:w="8420" w:type="dxa"/>
            <w:vAlign w:val="bottom"/>
          </w:tcPr>
          <w:p>
            <w:pPr>
              <w:ind w:left="100"/>
              <w:spacing w:after="0" w:line="147"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Fair value as of the end of the covered fiscal year of equity awards granted during the covered fiscal year that are outstanding</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10,844,889</w:t>
            </w:r>
          </w:p>
        </w:tc>
        <w:tc>
          <w:tcPr>
            <w:tcW w:w="0" w:type="dxa"/>
            <w:vAlign w:val="bottom"/>
          </w:tcPr>
          <w:p>
            <w:pPr>
              <w:spacing w:after="0"/>
              <w:rPr>
                <w:sz w:val="1"/>
                <w:szCs w:val="1"/>
                <w:color w:val="auto"/>
              </w:rPr>
            </w:pPr>
          </w:p>
        </w:tc>
      </w:tr>
      <w:tr>
        <w:trPr>
          <w:trHeight w:val="123"/>
        </w:trPr>
        <w:tc>
          <w:tcPr>
            <w:tcW w:w="8420" w:type="dxa"/>
            <w:vAlign w:val="bottom"/>
            <w:vMerge w:val="restart"/>
          </w:tcPr>
          <w:p>
            <w:pPr>
              <w:ind w:left="260"/>
              <w:spacing w:after="0"/>
              <w:rPr>
                <w:sz w:val="20"/>
                <w:szCs w:val="20"/>
                <w:color w:val="auto"/>
              </w:rPr>
            </w:pPr>
            <w:r>
              <w:rPr>
                <w:rFonts w:ascii="Arial" w:cs="Arial" w:eastAsia="Arial" w:hAnsi="Arial"/>
                <w:sz w:val="14"/>
                <w:szCs w:val="14"/>
                <w:color w:val="auto"/>
              </w:rPr>
              <w:t>and unvested as of the end of the covered fiscal year ($)</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842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8420" w:type="dxa"/>
            <w:vAlign w:val="bottom"/>
          </w:tcPr>
          <w:p>
            <w:pPr>
              <w:ind w:left="100"/>
              <w:spacing w:after="0" w:line="147"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Change as of the end of the covered fiscal year (from the end of the prior fiscal year) in fair value of equity awards granted in</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630,848</w:t>
            </w:r>
          </w:p>
        </w:tc>
        <w:tc>
          <w:tcPr>
            <w:tcW w:w="0" w:type="dxa"/>
            <w:vAlign w:val="bottom"/>
          </w:tcPr>
          <w:p>
            <w:pPr>
              <w:spacing w:after="0"/>
              <w:rPr>
                <w:sz w:val="1"/>
                <w:szCs w:val="1"/>
                <w:color w:val="auto"/>
              </w:rPr>
            </w:pPr>
          </w:p>
        </w:tc>
      </w:tr>
      <w:tr>
        <w:trPr>
          <w:trHeight w:val="109"/>
        </w:trPr>
        <w:tc>
          <w:tcPr>
            <w:tcW w:w="8420" w:type="dxa"/>
            <w:vAlign w:val="bottom"/>
            <w:vMerge w:val="restart"/>
          </w:tcPr>
          <w:p>
            <w:pPr>
              <w:ind w:left="260"/>
              <w:spacing w:after="0"/>
              <w:rPr>
                <w:sz w:val="20"/>
                <w:szCs w:val="20"/>
                <w:color w:val="auto"/>
              </w:rPr>
            </w:pPr>
            <w:r>
              <w:rPr>
                <w:rFonts w:ascii="Arial" w:cs="Arial" w:eastAsia="Arial" w:hAnsi="Arial"/>
                <w:sz w:val="14"/>
                <w:szCs w:val="14"/>
                <w:color w:val="auto"/>
              </w:rPr>
              <w:t>prior fiscal years that are outstanding and unvested as of the end of the covered fiscal year ($)</w:t>
            </w: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4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420" w:type="dxa"/>
            <w:vAlign w:val="bottom"/>
            <w:tcBorders>
              <w:bottom w:val="single" w:sz="8" w:color="auto"/>
            </w:tcBorders>
          </w:tcPr>
          <w:p>
            <w:pPr>
              <w:ind w:left="100"/>
              <w:spacing w:after="0" w:line="210" w:lineRule="exact"/>
              <w:rPr>
                <w:sz w:val="20"/>
                <w:szCs w:val="20"/>
                <w:color w:val="auto"/>
              </w:rPr>
            </w:pPr>
            <w:r>
              <w:rPr>
                <w:rFonts w:ascii="Arial" w:cs="Arial" w:eastAsia="Arial" w:hAnsi="Arial"/>
                <w:sz w:val="24"/>
                <w:szCs w:val="24"/>
                <w:b w:val="1"/>
                <w:bCs w:val="1"/>
                <w:color w:val="auto"/>
                <w:vertAlign w:val="superscript"/>
              </w:rPr>
              <w:t>+</w:t>
            </w:r>
            <w:r>
              <w:rPr>
                <w:rFonts w:ascii="Arial" w:cs="Arial" w:eastAsia="Arial" w:hAnsi="Arial"/>
                <w:sz w:val="13"/>
                <w:szCs w:val="13"/>
                <w:color w:val="auto"/>
              </w:rPr>
              <w:t xml:space="preserve"> Fair value as of vesting date of equity awards granted and vested in the covered fiscal year ($)</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8420" w:type="dxa"/>
            <w:vAlign w:val="bottom"/>
          </w:tcPr>
          <w:p>
            <w:pPr>
              <w:ind w:left="100"/>
              <w:spacing w:after="0" w:line="147"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Change as of the vesting date (from the end of the prior fiscal year) in fair value of equity awards granted in prior fiscal years</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2,469,489</w:t>
            </w:r>
          </w:p>
        </w:tc>
        <w:tc>
          <w:tcPr>
            <w:tcW w:w="0" w:type="dxa"/>
            <w:vAlign w:val="bottom"/>
          </w:tcPr>
          <w:p>
            <w:pPr>
              <w:spacing w:after="0"/>
              <w:rPr>
                <w:sz w:val="1"/>
                <w:szCs w:val="1"/>
                <w:color w:val="auto"/>
              </w:rPr>
            </w:pPr>
          </w:p>
        </w:tc>
      </w:tr>
      <w:tr>
        <w:trPr>
          <w:trHeight w:val="123"/>
        </w:trPr>
        <w:tc>
          <w:tcPr>
            <w:tcW w:w="8420" w:type="dxa"/>
            <w:vAlign w:val="bottom"/>
            <w:vMerge w:val="restart"/>
          </w:tcPr>
          <w:p>
            <w:pPr>
              <w:ind w:left="260"/>
              <w:spacing w:after="0"/>
              <w:rPr>
                <w:sz w:val="20"/>
                <w:szCs w:val="20"/>
                <w:color w:val="auto"/>
              </w:rPr>
            </w:pPr>
            <w:r>
              <w:rPr>
                <w:rFonts w:ascii="Arial" w:cs="Arial" w:eastAsia="Arial" w:hAnsi="Arial"/>
                <w:sz w:val="14"/>
                <w:szCs w:val="14"/>
                <w:color w:val="auto"/>
              </w:rPr>
              <w:t>that vested in the covered fiscal year ($)</w:t>
            </w: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842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8420" w:type="dxa"/>
            <w:vAlign w:val="bottom"/>
          </w:tcPr>
          <w:p>
            <w:pPr>
              <w:ind w:left="100"/>
              <w:spacing w:after="0" w:line="147"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Fair value at the end of the prior fiscal year of equity awards granted in prior fiscal years that failed to meet applicable vesting</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8420" w:type="dxa"/>
            <w:vAlign w:val="bottom"/>
            <w:vMerge w:val="restart"/>
          </w:tcPr>
          <w:p>
            <w:pPr>
              <w:ind w:left="260"/>
              <w:spacing w:after="0"/>
              <w:rPr>
                <w:sz w:val="20"/>
                <w:szCs w:val="20"/>
                <w:color w:val="auto"/>
              </w:rPr>
            </w:pPr>
            <w:r>
              <w:rPr>
                <w:rFonts w:ascii="Arial" w:cs="Arial" w:eastAsia="Arial" w:hAnsi="Arial"/>
                <w:sz w:val="14"/>
                <w:szCs w:val="14"/>
                <w:color w:val="auto"/>
              </w:rPr>
              <w:t>conditions in the covered fiscal year ($)</w:t>
            </w: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4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8420" w:type="dxa"/>
            <w:vAlign w:val="bottom"/>
          </w:tcPr>
          <w:p>
            <w:pPr>
              <w:ind w:left="100"/>
              <w:spacing w:after="0" w:line="147"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Value of dividends or other earnings paid on stock or option awards in the covered fiscal year prior to the vesting date that are</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1,013,864</w:t>
            </w:r>
          </w:p>
        </w:tc>
        <w:tc>
          <w:tcPr>
            <w:tcW w:w="0" w:type="dxa"/>
            <w:vAlign w:val="bottom"/>
          </w:tcPr>
          <w:p>
            <w:pPr>
              <w:spacing w:after="0"/>
              <w:rPr>
                <w:sz w:val="1"/>
                <w:szCs w:val="1"/>
                <w:color w:val="auto"/>
              </w:rPr>
            </w:pPr>
          </w:p>
        </w:tc>
      </w:tr>
      <w:tr>
        <w:trPr>
          <w:trHeight w:val="109"/>
        </w:trPr>
        <w:tc>
          <w:tcPr>
            <w:tcW w:w="8420" w:type="dxa"/>
            <w:vAlign w:val="bottom"/>
            <w:vMerge w:val="restart"/>
          </w:tcPr>
          <w:p>
            <w:pPr>
              <w:ind w:left="260"/>
              <w:spacing w:after="0"/>
              <w:rPr>
                <w:sz w:val="20"/>
                <w:szCs w:val="20"/>
                <w:color w:val="auto"/>
              </w:rPr>
            </w:pPr>
            <w:r>
              <w:rPr>
                <w:rFonts w:ascii="Arial" w:cs="Arial" w:eastAsia="Arial" w:hAnsi="Arial"/>
                <w:sz w:val="14"/>
                <w:szCs w:val="14"/>
                <w:color w:val="auto"/>
              </w:rPr>
              <w:t>not otherwise included in total compensation for the covered fiscal year ($)</w:t>
            </w: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84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8420" w:type="dxa"/>
            <w:vAlign w:val="bottom"/>
            <w:tcBorders>
              <w:bottom w:val="single" w:sz="8" w:color="auto"/>
            </w:tcBorders>
            <w:shd w:val="clear" w:color="auto" w:fill="F3F3F4"/>
          </w:tcPr>
          <w:p>
            <w:pPr>
              <w:ind w:left="80"/>
              <w:spacing w:after="0" w:line="155" w:lineRule="exact"/>
              <w:rPr>
                <w:sz w:val="20"/>
                <w:szCs w:val="20"/>
                <w:color w:val="auto"/>
              </w:rPr>
            </w:pPr>
            <w:r>
              <w:rPr>
                <w:rFonts w:ascii="Arial" w:cs="Arial" w:eastAsia="Arial" w:hAnsi="Arial"/>
                <w:sz w:val="14"/>
                <w:szCs w:val="14"/>
                <w:b w:val="1"/>
                <w:bCs w:val="1"/>
                <w:color w:val="auto"/>
              </w:rPr>
              <w:t>= CAP*</w:t>
            </w:r>
          </w:p>
        </w:tc>
        <w:tc>
          <w:tcPr>
            <w:tcW w:w="1000" w:type="dxa"/>
            <w:vAlign w:val="bottom"/>
            <w:tcBorders>
              <w:bottom w:val="single" w:sz="8" w:color="auto"/>
            </w:tcBorders>
            <w:shd w:val="clear" w:color="auto" w:fill="F3F3F4"/>
          </w:tcPr>
          <w:p>
            <w:pPr>
              <w:jc w:val="right"/>
              <w:ind w:right="28"/>
              <w:spacing w:after="0" w:line="155" w:lineRule="exact"/>
              <w:rPr>
                <w:sz w:val="20"/>
                <w:szCs w:val="20"/>
                <w:color w:val="auto"/>
              </w:rPr>
            </w:pPr>
            <w:r>
              <w:rPr>
                <w:rFonts w:ascii="Arial" w:cs="Arial" w:eastAsia="Arial" w:hAnsi="Arial"/>
                <w:sz w:val="14"/>
                <w:szCs w:val="14"/>
                <w:b w:val="1"/>
                <w:bCs w:val="1"/>
                <w:color w:val="auto"/>
              </w:rPr>
              <w:t>20,245,175</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40"/>
        <w:spacing w:after="0"/>
        <w:rPr>
          <w:sz w:val="20"/>
          <w:szCs w:val="20"/>
          <w:color w:val="auto"/>
        </w:rPr>
      </w:pPr>
      <w:r>
        <w:rPr>
          <w:rFonts w:ascii="Arial" w:cs="Arial" w:eastAsia="Arial" w:hAnsi="Arial"/>
          <w:sz w:val="14"/>
          <w:szCs w:val="14"/>
          <w:color w:val="404040"/>
        </w:rPr>
        <w:t>* Individual amounts above and the totals are rounded to the nearest dollar.</w:t>
      </w:r>
    </w:p>
    <w:p>
      <w:pPr>
        <w:spacing w:after="0" w:line="212"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40</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34" w:right="1099"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color w:val="404040"/>
        </w:rPr>
        <w:t>(4) Adjustments made to the average compensation of the non-PEO NEOs as a group for the most recent year were as follows:</w:t>
      </w:r>
    </w:p>
    <w:p>
      <w:pPr>
        <w:spacing w:after="0" w:line="112" w:lineRule="exact"/>
        <w:rPr>
          <w:sz w:val="20"/>
          <w:szCs w:val="20"/>
          <w:color w:val="auto"/>
        </w:rPr>
      </w:pPr>
    </w:p>
    <w:tbl>
      <w:tblPr>
        <w:tblLayout w:type="fixed"/>
        <w:tblInd w:w="900" w:type="dxa"/>
        <w:tblCellMar>
          <w:top w:w="0" w:type="dxa"/>
          <w:left w:w="0" w:type="dxa"/>
          <w:bottom w:w="0" w:type="dxa"/>
          <w:right w:w="0" w:type="dxa"/>
        </w:tblCellMar>
      </w:tblPr>
      <w:tr>
        <w:trPr>
          <w:trHeight w:val="176"/>
        </w:trPr>
        <w:tc>
          <w:tcPr>
            <w:tcW w:w="8420" w:type="dxa"/>
            <w:vAlign w:val="bottom"/>
            <w:tcBorders>
              <w:top w:val="single" w:sz="8" w:color="auto"/>
              <w:bottom w:val="single" w:sz="8" w:color="auto"/>
            </w:tcBorders>
            <w:gridSpan w:val="2"/>
            <w:shd w:val="clear" w:color="auto" w:fill="F3F3F4"/>
          </w:tcPr>
          <w:p>
            <w:pPr>
              <w:ind w:left="80"/>
              <w:spacing w:after="0"/>
              <w:rPr>
                <w:sz w:val="20"/>
                <w:szCs w:val="20"/>
                <w:color w:val="auto"/>
              </w:rPr>
            </w:pPr>
            <w:r>
              <w:rPr>
                <w:rFonts w:ascii="Arial" w:cs="Arial" w:eastAsia="Arial" w:hAnsi="Arial"/>
                <w:sz w:val="14"/>
                <w:szCs w:val="14"/>
                <w:b w:val="1"/>
                <w:bCs w:val="1"/>
                <w:color w:val="auto"/>
              </w:rPr>
              <w:t>Calculation of Average CAP for Non-PEO NEOs as a Group</w:t>
            </w:r>
          </w:p>
        </w:tc>
        <w:tc>
          <w:tcPr>
            <w:tcW w:w="1000" w:type="dxa"/>
            <w:vAlign w:val="bottom"/>
            <w:tcBorders>
              <w:top w:val="single" w:sz="8" w:color="auto"/>
              <w:bottom w:val="single" w:sz="8" w:color="auto"/>
            </w:tcBorders>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55"/>
        </w:trPr>
        <w:tc>
          <w:tcPr>
            <w:tcW w:w="220" w:type="dxa"/>
            <w:vAlign w:val="bottom"/>
            <w:tcBorders>
              <w:bottom w:val="single" w:sz="8" w:color="auto"/>
            </w:tcBorders>
          </w:tcPr>
          <w:p>
            <w:pPr>
              <w:spacing w:after="0"/>
              <w:rPr>
                <w:sz w:val="13"/>
                <w:szCs w:val="13"/>
                <w:color w:val="auto"/>
              </w:rPr>
            </w:pPr>
          </w:p>
        </w:tc>
        <w:tc>
          <w:tcPr>
            <w:tcW w:w="82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Reported SCT total ($)</w:t>
            </w:r>
          </w:p>
        </w:tc>
        <w:tc>
          <w:tcPr>
            <w:tcW w:w="10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4,614,322</w:t>
            </w:r>
          </w:p>
        </w:tc>
        <w:tc>
          <w:tcPr>
            <w:tcW w:w="0" w:type="dxa"/>
            <w:vAlign w:val="bottom"/>
          </w:tcPr>
          <w:p>
            <w:pPr>
              <w:spacing w:after="0"/>
              <w:rPr>
                <w:sz w:val="1"/>
                <w:szCs w:val="1"/>
                <w:color w:val="auto"/>
              </w:rPr>
            </w:pPr>
          </w:p>
        </w:tc>
      </w:tr>
      <w:tr>
        <w:trPr>
          <w:trHeight w:val="156"/>
        </w:trPr>
        <w:tc>
          <w:tcPr>
            <w:tcW w:w="842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Reported value of equity awards ($)</w:t>
            </w:r>
          </w:p>
        </w:tc>
        <w:tc>
          <w:tcPr>
            <w:tcW w:w="10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(2,323,564)</w:t>
            </w:r>
          </w:p>
        </w:tc>
        <w:tc>
          <w:tcPr>
            <w:tcW w:w="0" w:type="dxa"/>
            <w:vAlign w:val="bottom"/>
          </w:tcPr>
          <w:p>
            <w:pPr>
              <w:spacing w:after="0"/>
              <w:rPr>
                <w:sz w:val="1"/>
                <w:szCs w:val="1"/>
                <w:color w:val="auto"/>
              </w:rPr>
            </w:pPr>
          </w:p>
        </w:tc>
      </w:tr>
      <w:tr>
        <w:trPr>
          <w:trHeight w:val="146"/>
        </w:trPr>
        <w:tc>
          <w:tcPr>
            <w:tcW w:w="2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200" w:type="dxa"/>
            <w:vAlign w:val="bottom"/>
          </w:tcPr>
          <w:p>
            <w:pPr>
              <w:ind w:left="40"/>
              <w:spacing w:after="0" w:line="147" w:lineRule="exact"/>
              <w:rPr>
                <w:sz w:val="20"/>
                <w:szCs w:val="20"/>
                <w:color w:val="auto"/>
              </w:rPr>
            </w:pPr>
            <w:r>
              <w:rPr>
                <w:rFonts w:ascii="Arial" w:cs="Arial" w:eastAsia="Arial" w:hAnsi="Arial"/>
                <w:sz w:val="14"/>
                <w:szCs w:val="14"/>
                <w:color w:val="auto"/>
              </w:rPr>
              <w:t>Fair value as of the end of the covered fiscal year of equity awards granted during the covered fiscal year that are outstanding</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2,596,380</w:t>
            </w:r>
          </w:p>
        </w:tc>
        <w:tc>
          <w:tcPr>
            <w:tcW w:w="0" w:type="dxa"/>
            <w:vAlign w:val="bottom"/>
          </w:tcPr>
          <w:p>
            <w:pPr>
              <w:spacing w:after="0"/>
              <w:rPr>
                <w:sz w:val="1"/>
                <w:szCs w:val="1"/>
                <w:color w:val="auto"/>
              </w:rPr>
            </w:pPr>
          </w:p>
        </w:tc>
      </w:tr>
      <w:tr>
        <w:trPr>
          <w:trHeight w:val="171"/>
        </w:trPr>
        <w:tc>
          <w:tcPr>
            <w:tcW w:w="220" w:type="dxa"/>
            <w:vAlign w:val="bottom"/>
            <w:tcBorders>
              <w:bottom w:val="single" w:sz="8" w:color="auto"/>
            </w:tcBorders>
            <w:vMerge w:val="continue"/>
          </w:tcPr>
          <w:p>
            <w:pPr>
              <w:spacing w:after="0"/>
              <w:rPr>
                <w:sz w:val="14"/>
                <w:szCs w:val="14"/>
                <w:color w:val="auto"/>
              </w:rPr>
            </w:pPr>
          </w:p>
        </w:tc>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and unvested as of the end of the covered fiscal year ($)</w:t>
            </w: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200" w:type="dxa"/>
            <w:vAlign w:val="bottom"/>
          </w:tcPr>
          <w:p>
            <w:pPr>
              <w:ind w:left="40"/>
              <w:spacing w:after="0" w:line="147" w:lineRule="exact"/>
              <w:rPr>
                <w:sz w:val="20"/>
                <w:szCs w:val="20"/>
                <w:color w:val="auto"/>
              </w:rPr>
            </w:pPr>
            <w:r>
              <w:rPr>
                <w:rFonts w:ascii="Arial" w:cs="Arial" w:eastAsia="Arial" w:hAnsi="Arial"/>
                <w:sz w:val="14"/>
                <w:szCs w:val="14"/>
                <w:color w:val="auto"/>
              </w:rPr>
              <w:t>Change as of the end of the covered fiscal year (from the end of the prior fiscal year) in fair value of equity awards granted in</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139,012</w:t>
            </w:r>
          </w:p>
        </w:tc>
        <w:tc>
          <w:tcPr>
            <w:tcW w:w="0" w:type="dxa"/>
            <w:vAlign w:val="bottom"/>
          </w:tcPr>
          <w:p>
            <w:pPr>
              <w:spacing w:after="0"/>
              <w:rPr>
                <w:sz w:val="1"/>
                <w:szCs w:val="1"/>
                <w:color w:val="auto"/>
              </w:rPr>
            </w:pPr>
          </w:p>
        </w:tc>
      </w:tr>
      <w:tr>
        <w:trPr>
          <w:trHeight w:val="171"/>
        </w:trPr>
        <w:tc>
          <w:tcPr>
            <w:tcW w:w="220" w:type="dxa"/>
            <w:vAlign w:val="bottom"/>
            <w:tcBorders>
              <w:bottom w:val="single" w:sz="8" w:color="auto"/>
            </w:tcBorders>
            <w:vMerge w:val="continue"/>
          </w:tcPr>
          <w:p>
            <w:pPr>
              <w:spacing w:after="0"/>
              <w:rPr>
                <w:sz w:val="14"/>
                <w:szCs w:val="14"/>
                <w:color w:val="auto"/>
              </w:rPr>
            </w:pPr>
          </w:p>
        </w:tc>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prior fiscal years that are outstanding and unvested as of the end of the covered fiscal year ($)</w:t>
            </w: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82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Fair value as of vesting date of equity awards granted and vested in the covered fiscal year ($)</w:t>
            </w:r>
          </w:p>
        </w:tc>
        <w:tc>
          <w:tcPr>
            <w:tcW w:w="10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200" w:type="dxa"/>
            <w:vAlign w:val="bottom"/>
          </w:tcPr>
          <w:p>
            <w:pPr>
              <w:ind w:left="40"/>
              <w:spacing w:after="0" w:line="147" w:lineRule="exact"/>
              <w:rPr>
                <w:sz w:val="20"/>
                <w:szCs w:val="20"/>
                <w:color w:val="auto"/>
              </w:rPr>
            </w:pPr>
            <w:r>
              <w:rPr>
                <w:rFonts w:ascii="Arial" w:cs="Arial" w:eastAsia="Arial" w:hAnsi="Arial"/>
                <w:sz w:val="14"/>
                <w:szCs w:val="14"/>
                <w:color w:val="auto"/>
              </w:rPr>
              <w:t>Change as of the vesting date (from the end of the prior fiscal year) in fair value of equity awards granted in prior fiscal years</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498,314</w:t>
            </w:r>
          </w:p>
        </w:tc>
        <w:tc>
          <w:tcPr>
            <w:tcW w:w="0" w:type="dxa"/>
            <w:vAlign w:val="bottom"/>
          </w:tcPr>
          <w:p>
            <w:pPr>
              <w:spacing w:after="0"/>
              <w:rPr>
                <w:sz w:val="1"/>
                <w:szCs w:val="1"/>
                <w:color w:val="auto"/>
              </w:rPr>
            </w:pPr>
          </w:p>
        </w:tc>
      </w:tr>
      <w:tr>
        <w:trPr>
          <w:trHeight w:val="171"/>
        </w:trPr>
        <w:tc>
          <w:tcPr>
            <w:tcW w:w="220" w:type="dxa"/>
            <w:vAlign w:val="bottom"/>
            <w:tcBorders>
              <w:bottom w:val="single" w:sz="8" w:color="auto"/>
            </w:tcBorders>
            <w:vMerge w:val="continue"/>
          </w:tcPr>
          <w:p>
            <w:pPr>
              <w:spacing w:after="0"/>
              <w:rPr>
                <w:sz w:val="14"/>
                <w:szCs w:val="14"/>
                <w:color w:val="auto"/>
              </w:rPr>
            </w:pPr>
          </w:p>
        </w:tc>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that vested in the covered fiscal year ($)</w:t>
            </w: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8200" w:type="dxa"/>
            <w:vAlign w:val="bottom"/>
          </w:tcPr>
          <w:p>
            <w:pPr>
              <w:ind w:left="40"/>
              <w:spacing w:after="0" w:line="147" w:lineRule="exact"/>
              <w:rPr>
                <w:sz w:val="20"/>
                <w:szCs w:val="20"/>
                <w:color w:val="auto"/>
              </w:rPr>
            </w:pPr>
            <w:r>
              <w:rPr>
                <w:rFonts w:ascii="Arial" w:cs="Arial" w:eastAsia="Arial" w:hAnsi="Arial"/>
                <w:sz w:val="14"/>
                <w:szCs w:val="14"/>
                <w:color w:val="auto"/>
              </w:rPr>
              <w:t>Fair value at the end of the prior fiscal year of equity awards granted in prior fiscal years that failed to meet applicable vesting</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(225,713)</w:t>
            </w:r>
          </w:p>
        </w:tc>
        <w:tc>
          <w:tcPr>
            <w:tcW w:w="0" w:type="dxa"/>
            <w:vAlign w:val="bottom"/>
          </w:tcPr>
          <w:p>
            <w:pPr>
              <w:spacing w:after="0"/>
              <w:rPr>
                <w:sz w:val="1"/>
                <w:szCs w:val="1"/>
                <w:color w:val="auto"/>
              </w:rPr>
            </w:pPr>
          </w:p>
        </w:tc>
      </w:tr>
      <w:tr>
        <w:trPr>
          <w:trHeight w:val="171"/>
        </w:trPr>
        <w:tc>
          <w:tcPr>
            <w:tcW w:w="220" w:type="dxa"/>
            <w:vAlign w:val="bottom"/>
            <w:tcBorders>
              <w:bottom w:val="single" w:sz="8" w:color="auto"/>
            </w:tcBorders>
            <w:vMerge w:val="continue"/>
          </w:tcPr>
          <w:p>
            <w:pPr>
              <w:spacing w:after="0"/>
              <w:rPr>
                <w:sz w:val="14"/>
                <w:szCs w:val="14"/>
                <w:color w:val="auto"/>
              </w:rPr>
            </w:pPr>
          </w:p>
        </w:tc>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conditions in the covered fiscal year ($)</w:t>
            </w: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200" w:type="dxa"/>
            <w:vAlign w:val="bottom"/>
          </w:tcPr>
          <w:p>
            <w:pPr>
              <w:ind w:left="40"/>
              <w:spacing w:after="0" w:line="147" w:lineRule="exact"/>
              <w:rPr>
                <w:sz w:val="20"/>
                <w:szCs w:val="20"/>
                <w:color w:val="auto"/>
              </w:rPr>
            </w:pPr>
            <w:r>
              <w:rPr>
                <w:rFonts w:ascii="Arial" w:cs="Arial" w:eastAsia="Arial" w:hAnsi="Arial"/>
                <w:sz w:val="14"/>
                <w:szCs w:val="14"/>
                <w:color w:val="auto"/>
              </w:rPr>
              <w:t>Value of dividends or other earnings paid on stock or option awards in the covered fiscal year prior to the vesting date that are</w:t>
            </w: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239,137</w:t>
            </w:r>
          </w:p>
        </w:tc>
        <w:tc>
          <w:tcPr>
            <w:tcW w:w="0" w:type="dxa"/>
            <w:vAlign w:val="bottom"/>
          </w:tcPr>
          <w:p>
            <w:pPr>
              <w:spacing w:after="0"/>
              <w:rPr>
                <w:sz w:val="1"/>
                <w:szCs w:val="1"/>
                <w:color w:val="auto"/>
              </w:rPr>
            </w:pPr>
          </w:p>
        </w:tc>
      </w:tr>
      <w:tr>
        <w:trPr>
          <w:trHeight w:val="171"/>
        </w:trPr>
        <w:tc>
          <w:tcPr>
            <w:tcW w:w="220" w:type="dxa"/>
            <w:vAlign w:val="bottom"/>
            <w:tcBorders>
              <w:bottom w:val="single" w:sz="8" w:color="auto"/>
            </w:tcBorders>
            <w:vMerge w:val="continue"/>
          </w:tcPr>
          <w:p>
            <w:pPr>
              <w:spacing w:after="0"/>
              <w:rPr>
                <w:sz w:val="14"/>
                <w:szCs w:val="14"/>
                <w:color w:val="auto"/>
              </w:rPr>
            </w:pPr>
          </w:p>
        </w:tc>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not otherwise included in total compensation for the covered fiscal year ($)</w:t>
            </w: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20" w:type="dxa"/>
            <w:vAlign w:val="bottom"/>
            <w:tcBorders>
              <w:bottom w:val="single" w:sz="8" w:color="auto"/>
            </w:tcBorders>
            <w:gridSpan w:val="2"/>
            <w:shd w:val="clear" w:color="auto" w:fill="F3F3F4"/>
          </w:tcPr>
          <w:p>
            <w:pPr>
              <w:ind w:left="80"/>
              <w:spacing w:after="0" w:line="155" w:lineRule="exact"/>
              <w:rPr>
                <w:sz w:val="20"/>
                <w:szCs w:val="20"/>
                <w:color w:val="auto"/>
              </w:rPr>
            </w:pPr>
            <w:r>
              <w:rPr>
                <w:rFonts w:ascii="Arial" w:cs="Arial" w:eastAsia="Arial" w:hAnsi="Arial"/>
                <w:sz w:val="14"/>
                <w:szCs w:val="14"/>
                <w:b w:val="1"/>
                <w:bCs w:val="1"/>
                <w:color w:val="auto"/>
              </w:rPr>
              <w:t>= CAP*</w:t>
            </w:r>
          </w:p>
        </w:tc>
        <w:tc>
          <w:tcPr>
            <w:tcW w:w="1000" w:type="dxa"/>
            <w:vAlign w:val="bottom"/>
            <w:tcBorders>
              <w:bottom w:val="single" w:sz="8" w:color="auto"/>
            </w:tcBorders>
            <w:shd w:val="clear" w:color="auto" w:fill="F3F3F4"/>
          </w:tcPr>
          <w:p>
            <w:pPr>
              <w:jc w:val="right"/>
              <w:ind w:right="28"/>
              <w:spacing w:after="0" w:line="155" w:lineRule="exact"/>
              <w:rPr>
                <w:sz w:val="20"/>
                <w:szCs w:val="20"/>
                <w:color w:val="auto"/>
              </w:rPr>
            </w:pPr>
            <w:r>
              <w:rPr>
                <w:rFonts w:ascii="Arial" w:cs="Arial" w:eastAsia="Arial" w:hAnsi="Arial"/>
                <w:sz w:val="14"/>
                <w:szCs w:val="14"/>
                <w:b w:val="1"/>
                <w:bCs w:val="1"/>
                <w:color w:val="auto"/>
              </w:rPr>
              <w:t>5,537,888</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00"/>
        <w:spacing w:after="0"/>
        <w:rPr>
          <w:sz w:val="20"/>
          <w:szCs w:val="20"/>
          <w:color w:val="auto"/>
        </w:rPr>
      </w:pPr>
      <w:r>
        <w:rPr>
          <w:rFonts w:ascii="Arial" w:cs="Arial" w:eastAsia="Arial" w:hAnsi="Arial"/>
          <w:sz w:val="14"/>
          <w:szCs w:val="14"/>
          <w:color w:val="404040"/>
        </w:rPr>
        <w:t>* Individual amounts above and the totals are rounded to the nearest dollar.</w:t>
      </w:r>
    </w:p>
    <w:p>
      <w:pPr>
        <w:spacing w:after="0" w:line="55" w:lineRule="exact"/>
        <w:rPr>
          <w:sz w:val="20"/>
          <w:szCs w:val="20"/>
          <w:color w:val="auto"/>
        </w:rPr>
      </w:pPr>
    </w:p>
    <w:p>
      <w:pPr>
        <w:jc w:val="both"/>
        <w:ind w:left="900" w:right="780" w:hanging="236"/>
        <w:spacing w:after="0" w:line="263" w:lineRule="auto"/>
        <w:tabs>
          <w:tab w:leader="none" w:pos="900" w:val="left"/>
        </w:tabs>
        <w:numPr>
          <w:ilvl w:val="0"/>
          <w:numId w:val="118"/>
        </w:numPr>
        <w:rPr>
          <w:rFonts w:ascii="Arial" w:cs="Arial" w:eastAsia="Arial" w:hAnsi="Arial"/>
          <w:sz w:val="14"/>
          <w:szCs w:val="14"/>
          <w:color w:val="404040"/>
        </w:rPr>
      </w:pPr>
      <w:r>
        <w:rPr>
          <w:rFonts w:ascii="Arial" w:cs="Arial" w:eastAsia="Arial" w:hAnsi="Arial"/>
          <w:sz w:val="14"/>
          <w:szCs w:val="14"/>
          <w:color w:val="404040"/>
        </w:rPr>
        <w:t>Represents the weighted peer group cumulative TSR, weighted according to the respective companies’ stock market capitalization at the beginning of each period for which a return is indicated. The peer group used for this purpose is the Dow Jones U.S. Exploration &amp; Production Index, which is the same published industry index the Company uses for purposes of Item 201(e)(1)(ii) of Regulation S-K.</w:t>
      </w:r>
    </w:p>
    <w:p>
      <w:pPr>
        <w:spacing w:after="0" w:line="10" w:lineRule="exact"/>
        <w:rPr>
          <w:rFonts w:ascii="Arial" w:cs="Arial" w:eastAsia="Arial" w:hAnsi="Arial"/>
          <w:sz w:val="14"/>
          <w:szCs w:val="14"/>
          <w:color w:val="404040"/>
        </w:rPr>
      </w:pPr>
    </w:p>
    <w:p>
      <w:pPr>
        <w:ind w:left="900" w:right="840" w:hanging="236"/>
        <w:spacing w:after="0" w:line="281" w:lineRule="auto"/>
        <w:tabs>
          <w:tab w:leader="none" w:pos="900" w:val="left"/>
        </w:tabs>
        <w:numPr>
          <w:ilvl w:val="0"/>
          <w:numId w:val="118"/>
        </w:numPr>
        <w:rPr>
          <w:rFonts w:ascii="Arial" w:cs="Arial" w:eastAsia="Arial" w:hAnsi="Arial"/>
          <w:sz w:val="14"/>
          <w:szCs w:val="14"/>
          <w:color w:val="404040"/>
        </w:rPr>
      </w:pPr>
      <w:r>
        <w:rPr>
          <w:rFonts w:ascii="Arial" w:cs="Arial" w:eastAsia="Arial" w:hAnsi="Arial"/>
          <w:sz w:val="14"/>
          <w:szCs w:val="14"/>
          <w:color w:val="404040"/>
        </w:rPr>
        <w:t>The dollar amounts reported represent the amount of net income previously disclosed in the Company’s audited GAAP financial statements for the applicable year, as required by Regulation S-X.</w:t>
      </w:r>
    </w:p>
    <w:p>
      <w:pPr>
        <w:spacing w:after="0" w:line="1" w:lineRule="exact"/>
        <w:rPr>
          <w:rFonts w:ascii="Arial" w:cs="Arial" w:eastAsia="Arial" w:hAnsi="Arial"/>
          <w:sz w:val="14"/>
          <w:szCs w:val="14"/>
          <w:color w:val="404040"/>
        </w:rPr>
      </w:pPr>
    </w:p>
    <w:p>
      <w:pPr>
        <w:ind w:left="900" w:right="700" w:hanging="236"/>
        <w:spacing w:after="0" w:line="256" w:lineRule="auto"/>
        <w:tabs>
          <w:tab w:leader="none" w:pos="900" w:val="left"/>
        </w:tabs>
        <w:numPr>
          <w:ilvl w:val="0"/>
          <w:numId w:val="118"/>
        </w:numPr>
        <w:rPr>
          <w:rFonts w:ascii="Arial" w:cs="Arial" w:eastAsia="Arial" w:hAnsi="Arial"/>
          <w:sz w:val="14"/>
          <w:szCs w:val="14"/>
          <w:color w:val="404040"/>
        </w:rPr>
      </w:pPr>
      <w:r>
        <w:rPr>
          <w:rFonts w:ascii="Arial" w:cs="Arial" w:eastAsia="Arial" w:hAnsi="Arial"/>
          <w:sz w:val="14"/>
          <w:szCs w:val="14"/>
          <w:color w:val="404040"/>
        </w:rPr>
        <w:t xml:space="preserve">Free Cash Flow for purposes of this Pay versus Performance table is calculated by taking cash flows from operations before changes in operating assets and liabilities, including Sinopec’s noncontrolling interest, and subtracts upstream capital investment and distributions to Sinopec’s noncontrolling interest. This is a different formulation of Free Cash Flow as compared to what is used in the Company’s goal metrics, as described in the </w:t>
      </w:r>
      <w:r>
        <w:rPr>
          <w:rFonts w:ascii="Arial" w:cs="Arial" w:eastAsia="Arial" w:hAnsi="Arial"/>
          <w:sz w:val="14"/>
          <w:szCs w:val="14"/>
          <w:i w:val="1"/>
          <w:iCs w:val="1"/>
          <w:color w:val="404040"/>
        </w:rPr>
        <w:t>Compensation Discussion and Analysis</w:t>
      </w:r>
      <w:r>
        <w:rPr>
          <w:rFonts w:ascii="Arial" w:cs="Arial" w:eastAsia="Arial" w:hAnsi="Arial"/>
          <w:sz w:val="14"/>
          <w:szCs w:val="14"/>
          <w:color w:val="404040"/>
        </w:rPr>
        <w:t xml:space="preserve"> section.</w:t>
      </w:r>
    </w:p>
    <w:p>
      <w:pPr>
        <w:spacing w:after="0" w:line="64" w:lineRule="exact"/>
        <w:rPr>
          <w:sz w:val="20"/>
          <w:szCs w:val="20"/>
          <w:color w:val="auto"/>
        </w:rPr>
      </w:pPr>
    </w:p>
    <w:p>
      <w:pPr>
        <w:ind w:left="660" w:right="700"/>
        <w:spacing w:after="0" w:line="286" w:lineRule="auto"/>
        <w:rPr>
          <w:sz w:val="20"/>
          <w:szCs w:val="20"/>
          <w:color w:val="auto"/>
        </w:rPr>
      </w:pPr>
      <w:r>
        <w:rPr>
          <w:rFonts w:ascii="Arial" w:cs="Arial" w:eastAsia="Arial" w:hAnsi="Arial"/>
          <w:sz w:val="16"/>
          <w:szCs w:val="16"/>
          <w:color w:val="auto"/>
        </w:rPr>
        <w:t>The illustrations below provide a graphical description of the relationship between CAP (as calculated in accordance with the PvP Rule) and the information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36830</wp:posOffset>
            </wp:positionV>
            <wp:extent cx="6182995" cy="3956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82995" cy="395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41</w:t>
            </w:r>
          </w:p>
        </w:tc>
      </w:tr>
      <w:tr>
        <w:trPr>
          <w:trHeight w:val="865"/>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83" w:right="4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Financial Performance Measures</w:t>
      </w:r>
    </w:p>
    <w:p>
      <w:pPr>
        <w:spacing w:after="0" w:line="11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In our assessment, the most important financial performance measures used to link CAP (as calculated in accordance with the SEC rules) to our NEOs in 2025 to our performance were:</w:t>
      </w:r>
    </w:p>
    <w:p>
      <w:pPr>
        <w:spacing w:after="0" w:line="50" w:lineRule="exact"/>
        <w:rPr>
          <w:sz w:val="20"/>
          <w:szCs w:val="20"/>
          <w:color w:val="auto"/>
        </w:rPr>
      </w:pPr>
    </w:p>
    <w:p>
      <w:pPr>
        <w:ind w:left="480" w:hanging="243"/>
        <w:spacing w:after="0"/>
        <w:tabs>
          <w:tab w:leader="none" w:pos="480" w:val="left"/>
        </w:tabs>
        <w:numPr>
          <w:ilvl w:val="0"/>
          <w:numId w:val="119"/>
        </w:numPr>
        <w:rPr>
          <w:rFonts w:ascii="Times New Roman" w:cs="Times New Roman" w:eastAsia="Times New Roman" w:hAnsi="Times New Roman"/>
          <w:sz w:val="22"/>
          <w:szCs w:val="22"/>
          <w:color w:val="D6AF00"/>
        </w:rPr>
      </w:pPr>
      <w:r>
        <w:rPr>
          <w:rFonts w:ascii="Arial" w:cs="Arial" w:eastAsia="Arial" w:hAnsi="Arial"/>
          <w:sz w:val="16"/>
          <w:szCs w:val="16"/>
          <w:color w:val="auto"/>
        </w:rPr>
        <w:t>Free Cash Flow</w:t>
      </w:r>
    </w:p>
    <w:p>
      <w:pPr>
        <w:spacing w:after="0" w:line="14" w:lineRule="exact"/>
        <w:rPr>
          <w:rFonts w:ascii="Times New Roman" w:cs="Times New Roman" w:eastAsia="Times New Roman" w:hAnsi="Times New Roman"/>
          <w:sz w:val="22"/>
          <w:szCs w:val="22"/>
          <w:color w:val="D6AF00"/>
        </w:rPr>
      </w:pPr>
    </w:p>
    <w:p>
      <w:pPr>
        <w:ind w:left="480" w:hanging="243"/>
        <w:spacing w:after="0" w:line="217" w:lineRule="auto"/>
        <w:tabs>
          <w:tab w:leader="none" w:pos="480" w:val="left"/>
        </w:tabs>
        <w:numPr>
          <w:ilvl w:val="0"/>
          <w:numId w:val="119"/>
        </w:numPr>
        <w:rPr>
          <w:rFonts w:ascii="Times New Roman" w:cs="Times New Roman" w:eastAsia="Times New Roman" w:hAnsi="Times New Roman"/>
          <w:sz w:val="22"/>
          <w:szCs w:val="22"/>
          <w:color w:val="D6AF00"/>
        </w:rPr>
      </w:pPr>
      <w:r>
        <w:rPr>
          <w:rFonts w:ascii="Arial" w:cs="Arial" w:eastAsia="Arial" w:hAnsi="Arial"/>
          <w:sz w:val="16"/>
          <w:szCs w:val="16"/>
          <w:color w:val="auto"/>
        </w:rPr>
        <w:t>Cash Return on Invested Capital</w:t>
      </w:r>
    </w:p>
    <w:p>
      <w:pPr>
        <w:spacing w:after="0" w:line="14" w:lineRule="exact"/>
        <w:rPr>
          <w:rFonts w:ascii="Times New Roman" w:cs="Times New Roman" w:eastAsia="Times New Roman" w:hAnsi="Times New Roman"/>
          <w:sz w:val="22"/>
          <w:szCs w:val="22"/>
          <w:color w:val="D6AF00"/>
        </w:rPr>
      </w:pPr>
    </w:p>
    <w:p>
      <w:pPr>
        <w:ind w:left="480" w:hanging="243"/>
        <w:spacing w:after="0" w:line="217" w:lineRule="auto"/>
        <w:tabs>
          <w:tab w:leader="none" w:pos="480" w:val="left"/>
        </w:tabs>
        <w:numPr>
          <w:ilvl w:val="0"/>
          <w:numId w:val="119"/>
        </w:numPr>
        <w:rPr>
          <w:rFonts w:ascii="Times New Roman" w:cs="Times New Roman" w:eastAsia="Times New Roman" w:hAnsi="Times New Roman"/>
          <w:sz w:val="22"/>
          <w:szCs w:val="22"/>
          <w:color w:val="D6AF00"/>
        </w:rPr>
      </w:pPr>
      <w:r>
        <w:rPr>
          <w:rFonts w:ascii="Arial" w:cs="Arial" w:eastAsia="Arial" w:hAnsi="Arial"/>
          <w:sz w:val="16"/>
          <w:szCs w:val="16"/>
          <w:color w:val="auto"/>
        </w:rPr>
        <w:t>Development Capital Expenditures</w:t>
      </w:r>
    </w:p>
    <w:p>
      <w:pPr>
        <w:spacing w:after="0" w:line="14" w:lineRule="exact"/>
        <w:rPr>
          <w:rFonts w:ascii="Times New Roman" w:cs="Times New Roman" w:eastAsia="Times New Roman" w:hAnsi="Times New Roman"/>
          <w:sz w:val="22"/>
          <w:szCs w:val="22"/>
          <w:color w:val="D6AF00"/>
        </w:rPr>
      </w:pPr>
    </w:p>
    <w:p>
      <w:pPr>
        <w:ind w:left="480" w:hanging="243"/>
        <w:spacing w:after="0" w:line="217" w:lineRule="auto"/>
        <w:tabs>
          <w:tab w:leader="none" w:pos="480" w:val="left"/>
        </w:tabs>
        <w:numPr>
          <w:ilvl w:val="0"/>
          <w:numId w:val="119"/>
        </w:numPr>
        <w:rPr>
          <w:rFonts w:ascii="Times New Roman" w:cs="Times New Roman" w:eastAsia="Times New Roman" w:hAnsi="Times New Roman"/>
          <w:sz w:val="22"/>
          <w:szCs w:val="22"/>
          <w:color w:val="D6AF00"/>
        </w:rPr>
      </w:pPr>
      <w:r>
        <w:rPr>
          <w:rFonts w:ascii="Arial" w:cs="Arial" w:eastAsia="Arial" w:hAnsi="Arial"/>
          <w:sz w:val="16"/>
          <w:szCs w:val="16"/>
          <w:color w:val="auto"/>
        </w:rPr>
        <w:t>Lifting + Workover Costs</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Compensation Committee Interlocks and Insider Participation</w:t>
      </w:r>
    </w:p>
    <w:p>
      <w:pPr>
        <w:spacing w:after="0" w:line="12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No executive officer of the Company serves, or in the past year has served, as a member of the compensation (or similar) committee or on the board of directors of another entity, one of whose executive officers served on the Company’s MD&amp;C Committee or as a member of the Board. During fiscal year 2025, no member of the MD&amp;C Committee (whose names are provided in the </w:t>
      </w:r>
      <w:r>
        <w:rPr>
          <w:rFonts w:ascii="Arial" w:cs="Arial" w:eastAsia="Arial" w:hAnsi="Arial"/>
          <w:sz w:val="16"/>
          <w:szCs w:val="16"/>
          <w:i w:val="1"/>
          <w:iCs w:val="1"/>
          <w:color w:val="auto"/>
        </w:rPr>
        <w:t>Board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Committees, Meetings, and Responsibilities </w:t>
      </w:r>
      <w:r>
        <w:rPr>
          <w:rFonts w:ascii="Arial" w:cs="Arial" w:eastAsia="Arial" w:hAnsi="Arial"/>
          <w:sz w:val="16"/>
          <w:szCs w:val="16"/>
          <w:color w:val="auto"/>
        </w:rPr>
        <w:t>section above) was an officer or employee of the Company, was formerly an officer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had any business relationship or conducted any business with the Company other than as an independent director of the Company. The Board evaluated each member’s independence under the independence standards promulgated by Nasdaq for compensation committees and determined that each member was independent for purposes of serving on the Company’s MD&amp;C Committee.</w:t>
      </w: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Certain Business Relationships and Transactions</w:t>
      </w:r>
    </w:p>
    <w:p>
      <w:pPr>
        <w:spacing w:after="0" w:line="12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Board has adopted a written Code of Conduct, which was last revised in December 2024. The Code of Conduct prohibits conflicts of interest between any director, officer, or employee and the Company. The Code of Conduct requires directors, officers, and employees to inform the Company of any transaction that involves related parties and that may give rise to a conflict of interest.</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Pursuant to its charter, the CRG&amp;N Committee reviews on an ongoing basis all related-party transactions required to be disclosed pursuant to Item 404 of Regulation S-K to prevent conflicts of interest. The CRG&amp;N Committee reviews a transaction in light of the affiliations of the director, officer, or employee and the affiliations of such person’s immediate family. Transactions are presented to the CRG&amp;N Committee for approval before they are entered into or, if this is not possible, for ratification after the transaction has occurred.</w:t>
      </w:r>
    </w:p>
    <w:p>
      <w:pPr>
        <w:spacing w:after="0" w:line="70"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If the CRG&amp;N Committee finds that a conflict of interest exists, then it will determine the appropriate remedial action, if any. The CRG&amp;N Committee will approve or ratify a transaction if it determines that the transaction is consistent with the best interests of the Company. The determination of the CRG&amp;N Committee is documented in the committee’s minutes.</w:t>
      </w:r>
    </w:p>
    <w:p>
      <w:pPr>
        <w:spacing w:after="0" w:line="6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Board reviews transactions to determine whether a transaction impairs the independence of a director, and such determination is documented in the Board’s minutes.</w:t>
      </w:r>
    </w:p>
    <w:p>
      <w:pPr>
        <w:spacing w:after="0" w:line="4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Kenneth M. Fisher, a member of our Board, was executive vice president and chief financial officer of ChampionX Corporation prior to its acquisition by SLB N.V. on July 16, 2025. In connection with SLB’s acquisition, Mr. Fisher ceased serving as an executive officer of ChampionX. In the ordinary course of business and on an arm’s-length basis, the Company paid ChampionX and its subsidiaries (and, following the acquisition, SLB-controlled ChampionX businesses) during fiscal year 2025 approximately $36.2 million in connection with the Company’s purchase of oilfield products and services. These transactions represented approximately 1% of ChampionX’s total revenue in fiscal year 2024, the last full year for which ChampionX publicly reported revenue.</w:t>
      </w:r>
    </w:p>
    <w:p>
      <w:pPr>
        <w:spacing w:after="0" w:line="5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Summary of 2025 Director Compensation</w:t>
      </w:r>
    </w:p>
    <w:p>
      <w:pPr>
        <w:spacing w:after="0" w:line="12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Under the terms of the Company’s Non-Employee Directors’ Compensation Plan, as amended and restated on July 13, 2017 (the Directors’ Compensation Plan), and the Company’s Non-Employee Directors’ Restricted Stock Units Program (the RSU Program), each non-employee director receives an annual retainer, generally paid one-third in cash and two-thirds in stock.</w:t>
      </w:r>
    </w:p>
    <w:p>
      <w:pPr>
        <w:spacing w:after="0" w:line="6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equity component of the annual Board retainer for the Company’s non-employee directors is not paid out until the non-employee director retires or otherwise leaves the Board.</w:t>
      </w:r>
    </w:p>
    <w:p>
      <w:pPr>
        <w:spacing w:after="0" w:line="28" w:lineRule="exact"/>
        <w:rPr>
          <w:sz w:val="20"/>
          <w:szCs w:val="20"/>
          <w:color w:val="auto"/>
        </w:rPr>
      </w:pPr>
    </w:p>
    <w:p>
      <w:pPr>
        <w:ind w:left="60"/>
        <w:spacing w:after="0"/>
        <w:tabs>
          <w:tab w:leader="none" w:pos="1780" w:val="left"/>
        </w:tabs>
        <w:rPr>
          <w:sz w:val="20"/>
          <w:szCs w:val="20"/>
          <w:color w:val="auto"/>
        </w:rPr>
      </w:pPr>
      <w:r>
        <w:rPr>
          <w:rFonts w:ascii="Arial" w:cs="Arial" w:eastAsia="Arial" w:hAnsi="Arial"/>
          <w:sz w:val="16"/>
          <w:szCs w:val="16"/>
          <w:b w:val="1"/>
          <w:bCs w:val="1"/>
          <w:color w:val="auto"/>
        </w:rPr>
        <w:t>Retainer</w:t>
      </w:r>
      <w:r>
        <w:rPr>
          <w:sz w:val="20"/>
          <w:szCs w:val="20"/>
          <w:color w:val="auto"/>
        </w:rPr>
        <w:tab/>
      </w:r>
      <w:r>
        <w:rPr>
          <w:rFonts w:ascii="Arial" w:cs="Arial" w:eastAsia="Arial" w:hAnsi="Arial"/>
          <w:sz w:val="16"/>
          <w:szCs w:val="16"/>
          <w:color w:val="FFFFFF"/>
        </w:rPr>
        <w:t xml:space="preserve">1/3 </w:t>
      </w:r>
      <w:r>
        <w:rPr>
          <w:rFonts w:ascii="Arial" w:cs="Arial" w:eastAsia="Arial" w:hAnsi="Arial"/>
          <w:sz w:val="16"/>
          <w:szCs w:val="16"/>
          <w:b w:val="1"/>
          <w:bCs w:val="1"/>
          <w:color w:val="FFFFFF"/>
        </w:rPr>
        <w:t xml:space="preserve">Cash           </w:t>
      </w:r>
      <w:r>
        <w:rPr>
          <w:sz w:val="1"/>
          <w:szCs w:val="1"/>
          <w:color w:val="auto"/>
        </w:rPr>
        <w:drawing>
          <wp:inline distT="0" distB="0" distL="0" distR="0">
            <wp:extent cx="8890" cy="15430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Arial" w:cs="Arial" w:eastAsia="Arial" w:hAnsi="Arial"/>
          <w:sz w:val="16"/>
          <w:szCs w:val="16"/>
          <w:color w:val="FFFFFF"/>
        </w:rPr>
        <w:t xml:space="preserve">                               2/3 </w:t>
      </w:r>
      <w:r>
        <w:rPr>
          <w:rFonts w:ascii="Arial" w:cs="Arial" w:eastAsia="Arial" w:hAnsi="Arial"/>
          <w:sz w:val="16"/>
          <w:szCs w:val="16"/>
          <w:b w:val="1"/>
          <w:bCs w:val="1"/>
          <w:color w:val="FFFFFF"/>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-153670</wp:posOffset>
            </wp:positionV>
            <wp:extent cx="5674995" cy="3086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74995" cy="30861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6"/>
          <w:szCs w:val="16"/>
          <w:b w:val="1"/>
          <w:bCs w:val="1"/>
          <w:i w:val="1"/>
          <w:iCs w:val="1"/>
          <w:color w:val="7F7F7F"/>
        </w:rPr>
        <w:t>Not Paid Until End of Board Service</w:t>
      </w:r>
    </w:p>
    <w:p>
      <w:pPr>
        <w:spacing w:after="0" w:line="15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retirement plan for the Company’s non-employee directors limits participation to those members first elected to the Board on or before June 30, 2014.</w:t>
      </w:r>
    </w:p>
    <w:p>
      <w:pPr>
        <w:spacing w:after="0" w:line="264"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232" w:right="1119" w:bottom="1440" w:gutter="0" w:footer="0" w:header="0"/>
        </w:sectPr>
      </w:pPr>
    </w:p>
    <w:bookmarkStart w:id="48" w:name="page49"/>
    <w:bookmarkEnd w:id="48"/>
    <w:p>
      <w:pPr>
        <w:ind w:left="660"/>
        <w:spacing w:after="0"/>
        <w:rPr>
          <w:sz w:val="20"/>
          <w:szCs w:val="20"/>
          <w:color w:val="auto"/>
        </w:rPr>
      </w:pPr>
      <w:r>
        <w:rPr>
          <w:rFonts w:ascii="Arial" w:cs="Arial" w:eastAsia="Arial" w:hAnsi="Arial"/>
          <w:sz w:val="25"/>
          <w:szCs w:val="25"/>
          <w:b w:val="1"/>
          <w:bCs w:val="1"/>
          <w:i w:val="1"/>
          <w:iCs w:val="1"/>
          <w:color w:val="auto"/>
        </w:rPr>
        <w:t>Non-Employee Directors’ Cash Compensation</w:t>
      </w:r>
    </w:p>
    <w:p>
      <w:pPr>
        <w:spacing w:after="0" w:line="124" w:lineRule="exact"/>
        <w:rPr>
          <w:sz w:val="20"/>
          <w:szCs w:val="20"/>
          <w:color w:val="auto"/>
        </w:rPr>
      </w:pPr>
    </w:p>
    <w:p>
      <w:pPr>
        <w:ind w:left="660" w:right="660"/>
        <w:spacing w:after="0" w:line="259" w:lineRule="auto"/>
        <w:rPr>
          <w:sz w:val="20"/>
          <w:szCs w:val="20"/>
          <w:color w:val="auto"/>
        </w:rPr>
      </w:pPr>
      <w:r>
        <w:rPr>
          <w:rFonts w:ascii="Arial" w:cs="Arial" w:eastAsia="Arial" w:hAnsi="Arial"/>
          <w:sz w:val="16"/>
          <w:szCs w:val="16"/>
          <w:color w:val="auto"/>
        </w:rPr>
        <w:t>During 2025, under the terms of the Directors’ Compensation Plan, each non-employee director received an annual cash retainer for service on the Board, with the non-executive chair of the Board, the chair of each committee, and each member of the Audit Committee receiving an additional cash retainer, as set forth in the table below. Any service for a portion of a year is prorated accordingly. Directors do not receive separate meeting attendance fees.</w:t>
      </w:r>
    </w:p>
    <w:p>
      <w:pPr>
        <w:spacing w:after="0" w:line="64"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6860" w:type="dxa"/>
            <w:vAlign w:val="bottom"/>
            <w:tcBorders>
              <w:top w:val="single" w:sz="8" w:color="auto"/>
              <w:bottom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Annual Cash Retainer</w:t>
            </w:r>
          </w:p>
        </w:tc>
        <w:tc>
          <w:tcPr>
            <w:tcW w:w="2860" w:type="dxa"/>
            <w:vAlign w:val="bottom"/>
            <w:tcBorders>
              <w:top w:val="single" w:sz="8" w:color="auto"/>
              <w:bottom w:val="single" w:sz="8" w:color="auto"/>
            </w:tcBorders>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Amount ($)</w:t>
            </w:r>
          </w:p>
        </w:tc>
      </w:tr>
      <w:tr>
        <w:trPr>
          <w:trHeight w:val="234"/>
        </w:trPr>
        <w:tc>
          <w:tcPr>
            <w:tcW w:w="6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 Non-Employee Directors</w:t>
            </w:r>
          </w:p>
        </w:tc>
        <w:tc>
          <w:tcPr>
            <w:tcW w:w="2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100,000</w:t>
            </w:r>
          </w:p>
        </w:tc>
      </w:tr>
      <w:tr>
        <w:trPr>
          <w:trHeight w:val="237"/>
        </w:trPr>
        <w:tc>
          <w:tcPr>
            <w:tcW w:w="6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Additional Retainer for Non-Executive Chair of the Board</w:t>
            </w:r>
          </w:p>
        </w:tc>
        <w:tc>
          <w:tcPr>
            <w:tcW w:w="2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100,000</w:t>
            </w:r>
          </w:p>
        </w:tc>
      </w:tr>
      <w:tr>
        <w:trPr>
          <w:trHeight w:val="237"/>
        </w:trPr>
        <w:tc>
          <w:tcPr>
            <w:tcW w:w="6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Additional Retainer for Audit and MD&amp;C Committee Chairs</w:t>
            </w:r>
          </w:p>
        </w:tc>
        <w:tc>
          <w:tcPr>
            <w:tcW w:w="2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20,000</w:t>
            </w:r>
          </w:p>
        </w:tc>
      </w:tr>
      <w:tr>
        <w:trPr>
          <w:trHeight w:val="237"/>
        </w:trPr>
        <w:tc>
          <w:tcPr>
            <w:tcW w:w="6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Additional Retainer for CRG&amp;N and Cybersecurity Committee Chairs</w:t>
            </w:r>
          </w:p>
        </w:tc>
        <w:tc>
          <w:tcPr>
            <w:tcW w:w="2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15,000</w:t>
            </w:r>
          </w:p>
        </w:tc>
      </w:tr>
      <w:tr>
        <w:trPr>
          <w:trHeight w:val="236"/>
        </w:trPr>
        <w:tc>
          <w:tcPr>
            <w:tcW w:w="6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Additional Retainer for Audit Committee Non-Chair Members</w:t>
            </w:r>
          </w:p>
        </w:tc>
        <w:tc>
          <w:tcPr>
            <w:tcW w:w="2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5,000</w:t>
            </w:r>
          </w:p>
        </w:tc>
      </w:tr>
    </w:tbl>
    <w:p>
      <w:pPr>
        <w:spacing w:after="0" w:line="94" w:lineRule="exact"/>
        <w:rPr>
          <w:sz w:val="20"/>
          <w:szCs w:val="20"/>
          <w:color w:val="auto"/>
        </w:rPr>
      </w:pPr>
    </w:p>
    <w:p>
      <w:pPr>
        <w:ind w:left="660" w:right="700"/>
        <w:spacing w:after="0" w:line="252" w:lineRule="auto"/>
        <w:rPr>
          <w:sz w:val="20"/>
          <w:szCs w:val="20"/>
          <w:color w:val="auto"/>
        </w:rPr>
      </w:pPr>
      <w:r>
        <w:rPr>
          <w:rFonts w:ascii="Arial" w:cs="Arial" w:eastAsia="Arial" w:hAnsi="Arial"/>
          <w:sz w:val="16"/>
          <w:szCs w:val="16"/>
          <w:color w:val="auto"/>
        </w:rPr>
        <w:t>Under the terms of the Directors’ Compensation Plan, non-employee directors can defer receipt of all or any portion of their cash retainers. Deferred cash amounts accrue interest equal to the Company’s rate of return on its short-term marketable securities. Once each year, participating directors may elect to transfer all or a portion of their deferred cash amounts into the form of shares of APA common stock. After such election, amounts deferred in the form of APA common stock accrue dividends as if the stock were issued and outstanding when such dividends were payable. All deferred amounts, as well as accrued interest and dividends, are maintained in a separate memorandum account for each participating non-employee director. Amounts are paid out in cash and/or shares of APA common stock, as applicable, upon the non-employee director’s retirement or other termination of his or her directorship, or on a specific date, in a lump sum or in annual installments over a ten-year (or shorter) period.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Non-Employee Directors’ Restricted Stock Units Program</w:t>
      </w:r>
    </w:p>
    <w:p>
      <w:pPr>
        <w:spacing w:after="0" w:line="124" w:lineRule="exact"/>
        <w:rPr>
          <w:sz w:val="20"/>
          <w:szCs w:val="20"/>
          <w:color w:val="auto"/>
        </w:rPr>
      </w:pPr>
    </w:p>
    <w:p>
      <w:pPr>
        <w:ind w:left="660" w:right="700"/>
        <w:spacing w:after="0" w:line="259" w:lineRule="auto"/>
        <w:rPr>
          <w:sz w:val="20"/>
          <w:szCs w:val="20"/>
          <w:color w:val="auto"/>
        </w:rPr>
      </w:pPr>
      <w:r>
        <w:rPr>
          <w:rFonts w:ascii="Arial" w:cs="Arial" w:eastAsia="Arial" w:hAnsi="Arial"/>
          <w:sz w:val="16"/>
          <w:szCs w:val="16"/>
          <w:color w:val="auto"/>
        </w:rPr>
        <w:t>During 2025, pursuant to the RSU Program, all non-employee directors were eligible to receive grants of RSUs at the end of each calendar quarter, with the number of RSUs granted calculated by dividing one-fourth of the total amount payable to such non-employee director in the table below by the fair market value of a share of APA common stock on the date of grant, rounded down to the nearest whole number.</w:t>
      </w:r>
    </w:p>
    <w:p>
      <w:pPr>
        <w:spacing w:after="0" w:line="64"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6300" w:type="dxa"/>
            <w:vAlign w:val="bottom"/>
            <w:tcBorders>
              <w:top w:val="single" w:sz="8" w:color="auto"/>
              <w:bottom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Annual RSU Grant</w:t>
            </w:r>
          </w:p>
        </w:tc>
        <w:tc>
          <w:tcPr>
            <w:tcW w:w="3420" w:type="dxa"/>
            <w:vAlign w:val="bottom"/>
            <w:tcBorders>
              <w:top w:val="single" w:sz="8" w:color="auto"/>
              <w:bottom w:val="single" w:sz="8" w:color="auto"/>
            </w:tcBorders>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Amount ($)</w:t>
            </w:r>
          </w:p>
        </w:tc>
      </w:tr>
      <w:tr>
        <w:trPr>
          <w:trHeight w:val="183"/>
        </w:trPr>
        <w:tc>
          <w:tcPr>
            <w:tcW w:w="63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All Non-Employee Directors</w:t>
            </w:r>
          </w:p>
        </w:tc>
        <w:tc>
          <w:tcPr>
            <w:tcW w:w="34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200,000</w:t>
            </w:r>
          </w:p>
        </w:tc>
      </w:tr>
      <w:tr>
        <w:trPr>
          <w:trHeight w:val="183"/>
        </w:trPr>
        <w:tc>
          <w:tcPr>
            <w:tcW w:w="63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Additional Grant for Non-Executive Chair of the Board</w:t>
            </w:r>
          </w:p>
        </w:tc>
        <w:tc>
          <w:tcPr>
            <w:tcW w:w="34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100,000</w:t>
            </w:r>
          </w:p>
        </w:tc>
      </w:tr>
    </w:tbl>
    <w:p>
      <w:pPr>
        <w:spacing w:after="0" w:line="107" w:lineRule="exact"/>
        <w:rPr>
          <w:sz w:val="20"/>
          <w:szCs w:val="20"/>
          <w:color w:val="auto"/>
        </w:rPr>
      </w:pPr>
    </w:p>
    <w:p>
      <w:pPr>
        <w:ind w:left="660" w:right="760"/>
        <w:spacing w:after="0" w:line="266" w:lineRule="auto"/>
        <w:rPr>
          <w:sz w:val="20"/>
          <w:szCs w:val="20"/>
          <w:color w:val="auto"/>
        </w:rPr>
      </w:pPr>
      <w:r>
        <w:rPr>
          <w:rFonts w:ascii="Arial" w:cs="Arial" w:eastAsia="Arial" w:hAnsi="Arial"/>
          <w:sz w:val="16"/>
          <w:szCs w:val="16"/>
          <w:color w:val="auto"/>
        </w:rPr>
        <w:t>Grants under the RSU Program were made pursuant to the Company’s 2016 Omnibus Compensation Plan. Each RSU is equivalent to one share of APA common stock. If applicable, the grant is prorated for the non-employee director’s or non-executive chair’s service during the calendar quarter.</w:t>
      </w:r>
    </w:p>
    <w:p>
      <w:pPr>
        <w:spacing w:after="0" w:line="63" w:lineRule="exact"/>
        <w:rPr>
          <w:sz w:val="20"/>
          <w:szCs w:val="20"/>
          <w:color w:val="auto"/>
        </w:rPr>
      </w:pPr>
    </w:p>
    <w:p>
      <w:pPr>
        <w:ind w:left="660" w:right="660"/>
        <w:spacing w:after="0" w:line="254" w:lineRule="auto"/>
        <w:rPr>
          <w:sz w:val="20"/>
          <w:szCs w:val="20"/>
          <w:color w:val="auto"/>
        </w:rPr>
      </w:pPr>
      <w:r>
        <w:rPr>
          <w:rFonts w:ascii="Arial" w:cs="Arial" w:eastAsia="Arial" w:hAnsi="Arial"/>
          <w:sz w:val="16"/>
          <w:szCs w:val="16"/>
          <w:color w:val="auto"/>
        </w:rPr>
        <w:t>The RSUs vest as of the grant date, with 100% automatic, mandatory deferral into the Outside Directors’ Deferral Program (the Deferral Program) established pursuant to the Company’s 2016 Omnibus Compensation Plan. Deferrals are invested in stock units with each stock unit being equivalent to one share of APA common stock. Stock units accrue dividends as if the stock was issued and outstanding when such dividends were payable, and all dividend amounts are invested in additional stock units. All stock units are maintained in a separate memorandum account for each non-employee director. Stock units in the Deferral Program will be converted to shares of APA common stock and paid out upon the non-employee director’s retirement or other termination of his or her directorship.</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Annual Review of Director Compensation</w:t>
      </w:r>
    </w:p>
    <w:p>
      <w:pPr>
        <w:spacing w:after="0" w:line="124" w:lineRule="exact"/>
        <w:rPr>
          <w:sz w:val="20"/>
          <w:szCs w:val="20"/>
          <w:color w:val="auto"/>
        </w:rPr>
      </w:pPr>
    </w:p>
    <w:p>
      <w:pPr>
        <w:ind w:left="660" w:right="940"/>
        <w:spacing w:after="0" w:line="266" w:lineRule="auto"/>
        <w:rPr>
          <w:sz w:val="20"/>
          <w:szCs w:val="20"/>
          <w:color w:val="auto"/>
        </w:rPr>
      </w:pPr>
      <w:r>
        <w:rPr>
          <w:rFonts w:ascii="Arial" w:cs="Arial" w:eastAsia="Arial" w:hAnsi="Arial"/>
          <w:sz w:val="16"/>
          <w:szCs w:val="16"/>
          <w:color w:val="auto"/>
        </w:rPr>
        <w:t>In our annual review of director compensation, the benchmarking analysis provided to the Board for 2025 indicated that our average director compensation was at the 50th percentile of the 2025 compensation peer group at that time. For information on the 2025 compensation peer group, see the Compensation Discussion and Analysis section above.</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Director Stock Ownership Requirements</w:t>
      </w:r>
    </w:p>
    <w:p>
      <w:pPr>
        <w:spacing w:after="0" w:line="124" w:lineRule="exact"/>
        <w:rPr>
          <w:sz w:val="20"/>
          <w:szCs w:val="20"/>
          <w:color w:val="auto"/>
        </w:rPr>
      </w:pPr>
    </w:p>
    <w:p>
      <w:pPr>
        <w:ind w:left="660" w:right="920"/>
        <w:spacing w:after="0" w:line="256" w:lineRule="auto"/>
        <w:rPr>
          <w:sz w:val="20"/>
          <w:szCs w:val="20"/>
          <w:color w:val="auto"/>
        </w:rPr>
      </w:pPr>
      <w:r>
        <w:rPr>
          <w:rFonts w:ascii="Arial" w:cs="Arial" w:eastAsia="Arial" w:hAnsi="Arial"/>
          <w:sz w:val="16"/>
          <w:szCs w:val="16"/>
          <w:color w:val="auto"/>
        </w:rPr>
        <w:t xml:space="preserve">The Company has a minimum share ownership requirement for non-employee directors that requires each non-employee director to directly own shares and/or share equivalents the total value of which is equal to or greater than </w:t>
      </w:r>
      <w:r>
        <w:rPr>
          <w:rFonts w:ascii="Arial" w:cs="Arial" w:eastAsia="Arial" w:hAnsi="Arial"/>
          <w:sz w:val="16"/>
          <w:szCs w:val="16"/>
          <w:b w:val="1"/>
          <w:bCs w:val="1"/>
          <w:color w:val="auto"/>
        </w:rPr>
        <w:t>six times</w:t>
      </w:r>
      <w:r>
        <w:rPr>
          <w:rFonts w:ascii="Arial" w:cs="Arial" w:eastAsia="Arial" w:hAnsi="Arial"/>
          <w:sz w:val="16"/>
          <w:szCs w:val="16"/>
          <w:color w:val="auto"/>
        </w:rPr>
        <w:t xml:space="preserve"> the annual Board retainer paid in cash, excluding additional retainers for service as a committee chair or as non-executive chair of the Board. Based on the current annual Board cash retainer of $100,000, each non-employee director is required to own shares and/or share equivalents the total value of which is at least $600,000, based on the value as of the acquisition date.</w:t>
      </w:r>
    </w:p>
    <w:p>
      <w:pPr>
        <w:spacing w:after="0" w:line="72" w:lineRule="exact"/>
        <w:rPr>
          <w:sz w:val="20"/>
          <w:szCs w:val="20"/>
          <w:color w:val="auto"/>
        </w:rPr>
      </w:pPr>
    </w:p>
    <w:p>
      <w:pPr>
        <w:ind w:left="660" w:right="720"/>
        <w:spacing w:after="0" w:line="256" w:lineRule="auto"/>
        <w:rPr>
          <w:sz w:val="20"/>
          <w:szCs w:val="20"/>
          <w:color w:val="auto"/>
        </w:rPr>
      </w:pPr>
      <w:r>
        <w:rPr>
          <w:rFonts w:ascii="Arial" w:cs="Arial" w:eastAsia="Arial" w:hAnsi="Arial"/>
          <w:sz w:val="16"/>
          <w:szCs w:val="16"/>
          <w:color w:val="auto"/>
        </w:rPr>
        <w:t>Non-employee directors must meet the ownership requirement within three years of his or her appointment to the Board. Once achieved, each non-employee director must continue to meet the minimum share ownership requirement for the duration of his or her service on the Board. As of February 28, 2026, each non-employee director, other than Mr. Fisher and Ms. Weaving, directly owned shares of the Company’s common stock and/or share equivalents with total value equal to or greater than the minimum threshold. Ms. Weaving, who joined our Board in April 2024, has until April 2027 to meet the requirement. Mr. Fisher, who joined our Board in October</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43</w:t>
            </w:r>
          </w:p>
        </w:tc>
      </w:tr>
      <w:tr>
        <w:trPr>
          <w:trHeight w:val="878"/>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26" w:right="439" w:bottom="1440" w:gutter="0" w:footer="0" w:header="0"/>
        </w:sectPr>
      </w:pPr>
    </w:p>
    <w:bookmarkStart w:id="49" w:name="page50"/>
    <w:bookmarkEnd w:id="49"/>
    <w:p>
      <w:pPr>
        <w:ind w:right="200"/>
        <w:spacing w:after="0" w:line="286" w:lineRule="auto"/>
        <w:rPr>
          <w:sz w:val="20"/>
          <w:szCs w:val="20"/>
          <w:color w:val="auto"/>
        </w:rPr>
      </w:pPr>
      <w:r>
        <w:rPr>
          <w:rFonts w:ascii="Arial" w:cs="Arial" w:eastAsia="Arial" w:hAnsi="Arial"/>
          <w:sz w:val="16"/>
          <w:szCs w:val="16"/>
          <w:color w:val="auto"/>
        </w:rPr>
        <w:t xml:space="preserve">2024, has until October 2027 to meet the requirement. See beneficial ownership information under the heading </w:t>
      </w:r>
      <w:r>
        <w:rPr>
          <w:rFonts w:ascii="Arial" w:cs="Arial" w:eastAsia="Arial" w:hAnsi="Arial"/>
          <w:sz w:val="16"/>
          <w:szCs w:val="16"/>
          <w:i w:val="1"/>
          <w:iCs w:val="1"/>
          <w:color w:val="auto"/>
        </w:rPr>
        <w:t>Securities Ownership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Principal Holders </w:t>
      </w:r>
      <w:r>
        <w:rPr>
          <w:rFonts w:ascii="Arial" w:cs="Arial" w:eastAsia="Arial" w:hAnsi="Arial"/>
          <w:sz w:val="16"/>
          <w:szCs w:val="16"/>
          <w:color w:val="auto"/>
        </w:rPr>
        <w:t>below.</w:t>
      </w:r>
    </w:p>
    <w:p>
      <w:pPr>
        <w:spacing w:after="0" w:line="41"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Outside Directors’ Retirement Plan</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An unfunded retirement plan for non-employee directors was established in December 1992. The Outside Directors’ Retirement Plan was amended on July 16, 2014, effective as of June 30, 2014, to (i) limit participation to those members first elected to the Board on or before June 30, 2014, and (ii) specify that the amount of benefits will be determined as of the earlier of the date the non-employee director ceases to be a member of the Board or June 30, 2014, at which date the annual cash Board retainer was $150,000.</w:t>
      </w:r>
    </w:p>
    <w:p>
      <w:pPr>
        <w:spacing w:after="0" w:line="7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plan is administered by the MD&amp;C Committee and generally pays an annual benefit equal to 100% of the retired director’s annual cash Board retainer for a period based on length of service. Payments are made either (i) on a quarterly basis, for a maximum of ten years, or (ii) in a single lump sum equal to the net present value of the quarterly payments to which the director is entitled and are paid from the general assets of the Company. In the event of the director’s death prior to receipt of all benefits payable under the plan, the remaining benefits are payable to the director’s surviving spouse or designated beneficiary until the earlier of the termination of the payment period or the death of the surviving spouse or designated beneficiary. During 2025, benefits were paid under this plan to two former directors who retired from the Company’s Board in 2015 and 2017.</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Director Compensation Table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paid by the Company to non-employee directors for the 2025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6172200" cy="677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72200" cy="67754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5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173"/>
              <w:spacing w:after="0" w:line="148" w:lineRule="exact"/>
              <w:rPr>
                <w:sz w:val="20"/>
                <w:szCs w:val="20"/>
                <w:color w:val="auto"/>
              </w:rPr>
            </w:pPr>
            <w:r>
              <w:rPr>
                <w:rFonts w:ascii="Arial" w:cs="Arial" w:eastAsia="Arial" w:hAnsi="Arial"/>
                <w:sz w:val="13"/>
                <w:szCs w:val="13"/>
                <w:b w:val="1"/>
                <w:bCs w:val="1"/>
                <w:color w:val="auto"/>
              </w:rPr>
              <w:t>Change in Pension</w:t>
            </w:r>
          </w:p>
        </w:tc>
        <w:tc>
          <w:tcPr>
            <w:tcW w:w="1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tcPr>
          <w:p>
            <w:pPr>
              <w:jc w:val="right"/>
              <w:ind w:right="173"/>
              <w:spacing w:after="0"/>
              <w:rPr>
                <w:sz w:val="20"/>
                <w:szCs w:val="20"/>
                <w:color w:val="auto"/>
              </w:rPr>
            </w:pPr>
            <w:r>
              <w:rPr>
                <w:rFonts w:ascii="Arial" w:cs="Arial" w:eastAsia="Arial" w:hAnsi="Arial"/>
                <w:sz w:val="13"/>
                <w:szCs w:val="13"/>
                <w:b w:val="1"/>
                <w:bCs w:val="1"/>
                <w:color w:val="auto"/>
              </w:rPr>
              <w:t>Value and</w:t>
            </w: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38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Fees Earned</w:t>
            </w: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Non-Equity</w:t>
            </w:r>
          </w:p>
        </w:tc>
        <w:tc>
          <w:tcPr>
            <w:tcW w:w="1580" w:type="dxa"/>
            <w:vAlign w:val="bottom"/>
          </w:tcPr>
          <w:p>
            <w:pPr>
              <w:jc w:val="right"/>
              <w:ind w:right="173"/>
              <w:spacing w:after="0"/>
              <w:rPr>
                <w:sz w:val="20"/>
                <w:szCs w:val="20"/>
                <w:color w:val="auto"/>
              </w:rPr>
            </w:pPr>
            <w:r>
              <w:rPr>
                <w:rFonts w:ascii="Arial" w:cs="Arial" w:eastAsia="Arial" w:hAnsi="Arial"/>
                <w:sz w:val="13"/>
                <w:szCs w:val="13"/>
                <w:b w:val="1"/>
                <w:bCs w:val="1"/>
                <w:color w:val="auto"/>
              </w:rPr>
              <w:t>Nonqualified</w:t>
            </w: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92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Stock</w:t>
            </w:r>
          </w:p>
        </w:tc>
        <w:tc>
          <w:tcPr>
            <w:tcW w:w="78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Option</w:t>
            </w:r>
          </w:p>
        </w:tc>
        <w:tc>
          <w:tcPr>
            <w:tcW w:w="1260" w:type="dxa"/>
            <w:vAlign w:val="bottom"/>
            <w:vMerge w:val="continue"/>
          </w:tcPr>
          <w:p>
            <w:pPr>
              <w:spacing w:after="0"/>
              <w:rPr>
                <w:sz w:val="12"/>
                <w:szCs w:val="12"/>
                <w:color w:val="auto"/>
              </w:rPr>
            </w:pPr>
          </w:p>
        </w:tc>
        <w:tc>
          <w:tcPr>
            <w:tcW w:w="1580" w:type="dxa"/>
            <w:vAlign w:val="bottom"/>
          </w:tcPr>
          <w:p>
            <w:pPr>
              <w:jc w:val="right"/>
              <w:ind w:right="173"/>
              <w:spacing w:after="0"/>
              <w:rPr>
                <w:sz w:val="20"/>
                <w:szCs w:val="20"/>
                <w:color w:val="auto"/>
              </w:rPr>
            </w:pPr>
            <w:r>
              <w:rPr>
                <w:rFonts w:ascii="Arial" w:cs="Arial" w:eastAsia="Arial" w:hAnsi="Arial"/>
                <w:sz w:val="13"/>
                <w:szCs w:val="13"/>
                <w:b w:val="1"/>
                <w:bCs w:val="1"/>
                <w:color w:val="auto"/>
              </w:rPr>
              <w:t>Deferred</w:t>
            </w:r>
          </w:p>
        </w:tc>
        <w:tc>
          <w:tcPr>
            <w:tcW w:w="120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All Other</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40" w:type="dxa"/>
            <w:vAlign w:val="bottom"/>
          </w:tcPr>
          <w:p>
            <w:pPr>
              <w:spacing w:after="0"/>
              <w:rPr>
                <w:sz w:val="11"/>
                <w:szCs w:val="11"/>
                <w:color w:val="auto"/>
              </w:rPr>
            </w:pPr>
          </w:p>
        </w:tc>
        <w:tc>
          <w:tcPr>
            <w:tcW w:w="1380" w:type="dxa"/>
            <w:vAlign w:val="bottom"/>
          </w:tcPr>
          <w:p>
            <w:pPr>
              <w:jc w:val="right"/>
              <w:ind w:right="193"/>
              <w:spacing w:after="0" w:line="136" w:lineRule="exact"/>
              <w:rPr>
                <w:sz w:val="20"/>
                <w:szCs w:val="20"/>
                <w:color w:val="auto"/>
              </w:rPr>
            </w:pPr>
            <w:r>
              <w:rPr>
                <w:rFonts w:ascii="Arial" w:cs="Arial" w:eastAsia="Arial" w:hAnsi="Arial"/>
                <w:sz w:val="13"/>
                <w:szCs w:val="13"/>
                <w:b w:val="1"/>
                <w:bCs w:val="1"/>
                <w:color w:val="auto"/>
              </w:rPr>
              <w:t>or Paid in</w:t>
            </w:r>
          </w:p>
        </w:tc>
        <w:tc>
          <w:tcPr>
            <w:tcW w:w="9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260" w:type="dxa"/>
            <w:vAlign w:val="bottom"/>
          </w:tcPr>
          <w:p>
            <w:pPr>
              <w:jc w:val="right"/>
              <w:ind w:right="113"/>
              <w:spacing w:after="0" w:line="136" w:lineRule="exact"/>
              <w:rPr>
                <w:sz w:val="20"/>
                <w:szCs w:val="20"/>
                <w:color w:val="auto"/>
              </w:rPr>
            </w:pPr>
            <w:r>
              <w:rPr>
                <w:rFonts w:ascii="Arial" w:cs="Arial" w:eastAsia="Arial" w:hAnsi="Arial"/>
                <w:sz w:val="13"/>
                <w:szCs w:val="13"/>
                <w:b w:val="1"/>
                <w:bCs w:val="1"/>
                <w:color w:val="auto"/>
              </w:rPr>
              <w:t>Incentive Plan</w:t>
            </w:r>
          </w:p>
        </w:tc>
        <w:tc>
          <w:tcPr>
            <w:tcW w:w="1580" w:type="dxa"/>
            <w:vAlign w:val="bottom"/>
          </w:tcPr>
          <w:p>
            <w:pPr>
              <w:jc w:val="right"/>
              <w:ind w:right="173"/>
              <w:spacing w:after="0" w:line="136" w:lineRule="exact"/>
              <w:rPr>
                <w:sz w:val="20"/>
                <w:szCs w:val="20"/>
                <w:color w:val="auto"/>
              </w:rPr>
            </w:pPr>
            <w:r>
              <w:rPr>
                <w:rFonts w:ascii="Arial" w:cs="Arial" w:eastAsia="Arial" w:hAnsi="Arial"/>
                <w:sz w:val="13"/>
                <w:szCs w:val="13"/>
                <w:b w:val="1"/>
                <w:bCs w:val="1"/>
                <w:color w:val="auto"/>
              </w:rPr>
              <w:t>Compensation</w:t>
            </w:r>
          </w:p>
        </w:tc>
        <w:tc>
          <w:tcPr>
            <w:tcW w:w="12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18"/>
                <w:szCs w:val="18"/>
                <w:b w:val="1"/>
                <w:bCs w:val="1"/>
                <w:color w:val="auto"/>
                <w:vertAlign w:val="superscript"/>
              </w:rPr>
              <w:t>(1)</w:t>
            </w: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auto"/>
              </w:rPr>
              <w:t>Cash</w:t>
            </w:r>
          </w:p>
        </w:tc>
        <w:tc>
          <w:tcPr>
            <w:tcW w:w="920" w:type="dxa"/>
            <w:vAlign w:val="bottom"/>
          </w:tcPr>
          <w:p>
            <w:pPr>
              <w:jc w:val="right"/>
              <w:ind w:right="33"/>
              <w:spacing w:after="0" w:line="161"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8"/>
                <w:szCs w:val="18"/>
                <w:b w:val="1"/>
                <w:bCs w:val="1"/>
                <w:color w:val="auto"/>
                <w:vertAlign w:val="superscript"/>
              </w:rPr>
              <w:t>(2)</w:t>
            </w:r>
          </w:p>
        </w:tc>
        <w:tc>
          <w:tcPr>
            <w:tcW w:w="780" w:type="dxa"/>
            <w:vAlign w:val="bottom"/>
          </w:tcPr>
          <w:p>
            <w:pPr>
              <w:jc w:val="right"/>
              <w:ind w:right="113"/>
              <w:spacing w:after="0"/>
              <w:rPr>
                <w:sz w:val="20"/>
                <w:szCs w:val="20"/>
                <w:color w:val="auto"/>
              </w:rPr>
            </w:pPr>
            <w:r>
              <w:rPr>
                <w:rFonts w:ascii="Arial" w:cs="Arial" w:eastAsia="Arial" w:hAnsi="Arial"/>
                <w:sz w:val="13"/>
                <w:szCs w:val="13"/>
                <w:b w:val="1"/>
                <w:bCs w:val="1"/>
                <w:color w:val="auto"/>
              </w:rPr>
              <w:t>Awards</w:t>
            </w:r>
          </w:p>
        </w:tc>
        <w:tc>
          <w:tcPr>
            <w:tcW w:w="1260" w:type="dxa"/>
            <w:vAlign w:val="bottom"/>
          </w:tcPr>
          <w:p>
            <w:pPr>
              <w:jc w:val="right"/>
              <w:ind w:right="73"/>
              <w:spacing w:after="0"/>
              <w:rPr>
                <w:sz w:val="20"/>
                <w:szCs w:val="20"/>
                <w:color w:val="auto"/>
              </w:rPr>
            </w:pPr>
            <w:r>
              <w:rPr>
                <w:rFonts w:ascii="Arial" w:cs="Arial" w:eastAsia="Arial" w:hAnsi="Arial"/>
                <w:sz w:val="13"/>
                <w:szCs w:val="13"/>
                <w:b w:val="1"/>
                <w:bCs w:val="1"/>
                <w:color w:val="auto"/>
              </w:rPr>
              <w:t>Compensation</w:t>
            </w:r>
          </w:p>
        </w:tc>
        <w:tc>
          <w:tcPr>
            <w:tcW w:w="1580" w:type="dxa"/>
            <w:vAlign w:val="bottom"/>
          </w:tcPr>
          <w:p>
            <w:pPr>
              <w:jc w:val="right"/>
              <w:ind w:right="133"/>
              <w:spacing w:after="0" w:line="161"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18"/>
                <w:szCs w:val="18"/>
                <w:b w:val="1"/>
                <w:bCs w:val="1"/>
                <w:color w:val="auto"/>
                <w:vertAlign w:val="superscript"/>
              </w:rPr>
              <w:t>(3)</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540" w:type="dxa"/>
            <w:vAlign w:val="bottom"/>
            <w:vMerge w:val="continue"/>
          </w:tcPr>
          <w:p>
            <w:pPr>
              <w:spacing w:after="0"/>
              <w:rPr>
                <w:sz w:val="15"/>
                <w:szCs w:val="15"/>
                <w:color w:val="auto"/>
              </w:rPr>
            </w:pPr>
          </w:p>
        </w:tc>
        <w:tc>
          <w:tcPr>
            <w:tcW w:w="1380" w:type="dxa"/>
            <w:vAlign w:val="bottom"/>
          </w:tcPr>
          <w:p>
            <w:pPr>
              <w:jc w:val="right"/>
              <w:ind w:right="153"/>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c>
          <w:tcPr>
            <w:tcW w:w="126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1580" w:type="dxa"/>
            <w:vAlign w:val="bottom"/>
          </w:tcPr>
          <w:p>
            <w:pPr>
              <w:jc w:val="right"/>
              <w:ind w:right="133"/>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ind w:left="60"/>
              <w:spacing w:after="0"/>
              <w:rPr>
                <w:sz w:val="20"/>
                <w:szCs w:val="20"/>
                <w:color w:val="auto"/>
              </w:rPr>
            </w:pPr>
            <w:r>
              <w:rPr>
                <w:rFonts w:ascii="Arial" w:cs="Arial" w:eastAsia="Arial" w:hAnsi="Arial"/>
                <w:sz w:val="9"/>
                <w:szCs w:val="9"/>
                <w:color w:val="auto"/>
              </w:rPr>
              <w:t>(4</w:t>
            </w: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9"/>
        </w:trPr>
        <w:tc>
          <w:tcPr>
            <w:tcW w:w="1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Annell R. Bay</w:t>
            </w: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115,000</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199,961</w:t>
            </w: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9"/>
                <w:szCs w:val="9"/>
                <w:color w:val="auto"/>
              </w:rPr>
              <w:t>)</w:t>
            </w:r>
          </w:p>
        </w:tc>
        <w:tc>
          <w:tcPr>
            <w:tcW w:w="880" w:type="dxa"/>
            <w:vAlign w:val="bottom"/>
            <w:tcBorders>
              <w:bottom w:val="single" w:sz="8" w:color="auto"/>
            </w:tcBorders>
            <w:shd w:val="clear" w:color="auto" w:fill="F3F3F4"/>
          </w:tcPr>
          <w:p>
            <w:pPr>
              <w:jc w:val="right"/>
              <w:ind w:right="53"/>
              <w:spacing w:after="0"/>
              <w:rPr>
                <w:sz w:val="20"/>
                <w:szCs w:val="20"/>
                <w:color w:val="auto"/>
              </w:rPr>
            </w:pPr>
            <w:r>
              <w:rPr>
                <w:rFonts w:ascii="Arial" w:cs="Arial" w:eastAsia="Arial" w:hAnsi="Arial"/>
                <w:sz w:val="13"/>
                <w:szCs w:val="13"/>
                <w:color w:val="auto"/>
              </w:rPr>
              <w:t>324,961</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b w:val="1"/>
                <w:bCs w:val="1"/>
                <w:color w:val="auto"/>
              </w:rPr>
              <w:t>Matthew R. Bob</w:t>
            </w:r>
          </w:p>
        </w:tc>
        <w:tc>
          <w:tcPr>
            <w:tcW w:w="1380" w:type="dxa"/>
            <w:vAlign w:val="bottom"/>
          </w:tcPr>
          <w:p>
            <w:pPr>
              <w:jc w:val="right"/>
              <w:ind w:right="153"/>
              <w:spacing w:after="0"/>
              <w:rPr>
                <w:sz w:val="20"/>
                <w:szCs w:val="20"/>
                <w:color w:val="auto"/>
              </w:rPr>
            </w:pPr>
            <w:r>
              <w:rPr>
                <w:rFonts w:ascii="Arial" w:cs="Arial" w:eastAsia="Arial" w:hAnsi="Arial"/>
                <w:sz w:val="13"/>
                <w:szCs w:val="13"/>
                <w:color w:val="auto"/>
              </w:rPr>
              <w:t>105,000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199,961</w:t>
            </w:r>
          </w:p>
        </w:tc>
        <w:tc>
          <w:tcPr>
            <w:tcW w:w="7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ind w:left="60"/>
              <w:spacing w:after="0"/>
              <w:rPr>
                <w:sz w:val="20"/>
                <w:szCs w:val="20"/>
                <w:color w:val="auto"/>
              </w:rPr>
            </w:pPr>
            <w:r>
              <w:rPr>
                <w:rFonts w:ascii="Arial" w:cs="Arial" w:eastAsia="Arial" w:hAnsi="Arial"/>
                <w:sz w:val="9"/>
                <w:szCs w:val="9"/>
                <w:color w:val="auto"/>
              </w:rPr>
              <w:t>(4</w:t>
            </w:r>
          </w:p>
        </w:tc>
        <w:tc>
          <w:tcPr>
            <w:tcW w:w="880" w:type="dxa"/>
            <w:vAlign w:val="bottom"/>
            <w:shd w:val="clear" w:color="auto" w:fill="F3F3F4"/>
          </w:tcPr>
          <w:p>
            <w:pPr>
              <w:jc w:val="right"/>
              <w:ind w:right="53"/>
              <w:spacing w:after="0"/>
              <w:rPr>
                <w:sz w:val="20"/>
                <w:szCs w:val="20"/>
                <w:color w:val="auto"/>
              </w:rPr>
            </w:pPr>
            <w:r>
              <w:rPr>
                <w:rFonts w:ascii="Arial" w:cs="Arial" w:eastAsia="Arial" w:hAnsi="Arial"/>
                <w:sz w:val="13"/>
                <w:szCs w:val="13"/>
                <w:color w:val="auto"/>
              </w:rPr>
              <w:t>304,961</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20"/>
                <w:szCs w:val="20"/>
                <w:color w:val="auto"/>
              </w:rPr>
            </w:pPr>
            <w:r>
              <w:rPr>
                <w:rFonts w:ascii="Arial" w:cs="Arial" w:eastAsia="Arial" w:hAnsi="Arial"/>
                <w:sz w:val="13"/>
                <w:szCs w:val="13"/>
                <w:b w:val="1"/>
                <w:bCs w:val="1"/>
                <w:color w:val="auto"/>
              </w:rPr>
              <w:t>Juliet S. Ellis</w:t>
            </w:r>
          </w:p>
        </w:tc>
        <w:tc>
          <w:tcPr>
            <w:tcW w:w="1380" w:type="dxa"/>
            <w:vAlign w:val="bottom"/>
          </w:tcPr>
          <w:p>
            <w:pPr>
              <w:jc w:val="right"/>
              <w:ind w:right="153"/>
              <w:spacing w:after="0"/>
              <w:rPr>
                <w:sz w:val="20"/>
                <w:szCs w:val="20"/>
                <w:color w:val="auto"/>
              </w:rPr>
            </w:pPr>
            <w:r>
              <w:rPr>
                <w:rFonts w:ascii="Arial" w:cs="Arial" w:eastAsia="Arial" w:hAnsi="Arial"/>
                <w:sz w:val="13"/>
                <w:szCs w:val="13"/>
                <w:color w:val="auto"/>
              </w:rPr>
              <w:t>120,000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199,961</w:t>
            </w:r>
          </w:p>
        </w:tc>
        <w:tc>
          <w:tcPr>
            <w:tcW w:w="7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10,000</w:t>
            </w:r>
          </w:p>
        </w:tc>
        <w:tc>
          <w:tcPr>
            <w:tcW w:w="180" w:type="dxa"/>
            <w:vAlign w:val="bottom"/>
          </w:tcPr>
          <w:p>
            <w:pPr>
              <w:ind w:left="60"/>
              <w:spacing w:after="0" w:line="202" w:lineRule="exact"/>
              <w:rPr>
                <w:sz w:val="20"/>
                <w:szCs w:val="20"/>
                <w:color w:val="auto"/>
              </w:rPr>
            </w:pPr>
            <w:r>
              <w:rPr>
                <w:rFonts w:ascii="Arial" w:cs="Arial" w:eastAsia="Arial" w:hAnsi="Arial"/>
                <w:sz w:val="9"/>
                <w:szCs w:val="9"/>
                <w:color w:val="auto"/>
                <w:w w:val="82"/>
              </w:rPr>
              <w:t>(4</w:t>
            </w:r>
            <w:r>
              <w:rPr>
                <w:rFonts w:ascii="Arial" w:cs="Arial" w:eastAsia="Arial" w:hAnsi="Arial"/>
                <w:sz w:val="18"/>
                <w:szCs w:val="18"/>
                <w:color w:val="auto"/>
                <w:w w:val="82"/>
                <w:vertAlign w:val="superscript"/>
              </w:rPr>
              <w:t>)</w:t>
            </w:r>
          </w:p>
        </w:tc>
        <w:tc>
          <w:tcPr>
            <w:tcW w:w="880" w:type="dxa"/>
            <w:vAlign w:val="bottom"/>
            <w:shd w:val="clear" w:color="auto" w:fill="F3F3F4"/>
          </w:tcPr>
          <w:p>
            <w:pPr>
              <w:jc w:val="right"/>
              <w:ind w:right="53"/>
              <w:spacing w:after="0"/>
              <w:rPr>
                <w:sz w:val="20"/>
                <w:szCs w:val="20"/>
                <w:color w:val="auto"/>
              </w:rPr>
            </w:pPr>
            <w:r>
              <w:rPr>
                <w:rFonts w:ascii="Arial" w:cs="Arial" w:eastAsia="Arial" w:hAnsi="Arial"/>
                <w:sz w:val="13"/>
                <w:szCs w:val="13"/>
                <w:color w:val="auto"/>
              </w:rPr>
              <w:t>329,961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Kenneth M. Fisher</w:t>
            </w: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129,303</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199,961</w:t>
            </w: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9"/>
                <w:szCs w:val="9"/>
                <w:color w:val="auto"/>
              </w:rPr>
              <w:t>)</w:t>
            </w:r>
          </w:p>
        </w:tc>
        <w:tc>
          <w:tcPr>
            <w:tcW w:w="880" w:type="dxa"/>
            <w:vAlign w:val="bottom"/>
            <w:tcBorders>
              <w:bottom w:val="single" w:sz="8" w:color="auto"/>
            </w:tcBorders>
            <w:shd w:val="clear" w:color="auto" w:fill="F3F3F4"/>
          </w:tcPr>
          <w:p>
            <w:pPr>
              <w:jc w:val="right"/>
              <w:ind w:right="53"/>
              <w:spacing w:after="0"/>
              <w:rPr>
                <w:sz w:val="20"/>
                <w:szCs w:val="20"/>
                <w:color w:val="auto"/>
              </w:rPr>
            </w:pPr>
            <w:r>
              <w:rPr>
                <w:rFonts w:ascii="Arial" w:cs="Arial" w:eastAsia="Arial" w:hAnsi="Arial"/>
                <w:sz w:val="13"/>
                <w:szCs w:val="13"/>
                <w:color w:val="auto"/>
              </w:rPr>
              <w:t>339,264</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Charles W. Hooper</w:t>
            </w:r>
          </w:p>
        </w:tc>
        <w:tc>
          <w:tcPr>
            <w:tcW w:w="13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color w:val="auto"/>
              </w:rPr>
              <w:t>115,000</w:t>
            </w:r>
          </w:p>
        </w:tc>
        <w:tc>
          <w:tcPr>
            <w:tcW w:w="9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199,961</w:t>
            </w:r>
          </w:p>
        </w:tc>
        <w:tc>
          <w:tcPr>
            <w:tcW w:w="7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shd w:val="clear" w:color="auto" w:fill="F3F3F4"/>
          </w:tcPr>
          <w:p>
            <w:pPr>
              <w:jc w:val="right"/>
              <w:ind w:right="53"/>
              <w:spacing w:after="0" w:line="142" w:lineRule="exact"/>
              <w:rPr>
                <w:sz w:val="20"/>
                <w:szCs w:val="20"/>
                <w:color w:val="auto"/>
              </w:rPr>
            </w:pPr>
            <w:r>
              <w:rPr>
                <w:rFonts w:ascii="Arial" w:cs="Arial" w:eastAsia="Arial" w:hAnsi="Arial"/>
                <w:sz w:val="13"/>
                <w:szCs w:val="13"/>
                <w:color w:val="auto"/>
              </w:rPr>
              <w:t>314,961</w:t>
            </w:r>
          </w:p>
        </w:tc>
        <w:tc>
          <w:tcPr>
            <w:tcW w:w="0" w:type="dxa"/>
            <w:vAlign w:val="bottom"/>
          </w:tcPr>
          <w:p>
            <w:pPr>
              <w:spacing w:after="0"/>
              <w:rPr>
                <w:sz w:val="1"/>
                <w:szCs w:val="1"/>
                <w:color w:val="auto"/>
              </w:rPr>
            </w:pPr>
          </w:p>
        </w:tc>
      </w:tr>
      <w:tr>
        <w:trPr>
          <w:trHeight w:val="142"/>
        </w:trPr>
        <w:tc>
          <w:tcPr>
            <w:tcW w:w="15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Chansoo Joung</w:t>
            </w:r>
          </w:p>
        </w:tc>
        <w:tc>
          <w:tcPr>
            <w:tcW w:w="13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3"/>
                <w:szCs w:val="13"/>
                <w:color w:val="auto"/>
              </w:rPr>
              <w:t>115,385</w:t>
            </w:r>
          </w:p>
        </w:tc>
        <w:tc>
          <w:tcPr>
            <w:tcW w:w="9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3"/>
                <w:szCs w:val="13"/>
                <w:color w:val="auto"/>
              </w:rPr>
              <w:t>199,961</w:t>
            </w:r>
          </w:p>
        </w:tc>
        <w:tc>
          <w:tcPr>
            <w:tcW w:w="7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shd w:val="clear" w:color="auto" w:fill="F3F3F4"/>
          </w:tcPr>
          <w:p>
            <w:pPr>
              <w:jc w:val="right"/>
              <w:ind w:right="53"/>
              <w:spacing w:after="0" w:line="142" w:lineRule="exact"/>
              <w:rPr>
                <w:sz w:val="20"/>
                <w:szCs w:val="20"/>
                <w:color w:val="auto"/>
              </w:rPr>
            </w:pPr>
            <w:r>
              <w:rPr>
                <w:rFonts w:ascii="Arial" w:cs="Arial" w:eastAsia="Arial" w:hAnsi="Arial"/>
                <w:sz w:val="13"/>
                <w:szCs w:val="13"/>
                <w:color w:val="auto"/>
              </w:rPr>
              <w:t>315,346</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b w:val="1"/>
                <w:bCs w:val="1"/>
                <w:color w:val="auto"/>
              </w:rPr>
              <w:t>H. Lamar McKay</w:t>
            </w:r>
          </w:p>
        </w:tc>
        <w:tc>
          <w:tcPr>
            <w:tcW w:w="1380" w:type="dxa"/>
            <w:vAlign w:val="bottom"/>
          </w:tcPr>
          <w:p>
            <w:pPr>
              <w:jc w:val="right"/>
              <w:ind w:right="153"/>
              <w:spacing w:after="0"/>
              <w:rPr>
                <w:sz w:val="20"/>
                <w:szCs w:val="20"/>
                <w:color w:val="auto"/>
              </w:rPr>
            </w:pPr>
            <w:r>
              <w:rPr>
                <w:rFonts w:ascii="Arial" w:cs="Arial" w:eastAsia="Arial" w:hAnsi="Arial"/>
                <w:sz w:val="13"/>
                <w:szCs w:val="13"/>
                <w:color w:val="auto"/>
              </w:rPr>
              <w:t>200,000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299,920</w:t>
            </w:r>
          </w:p>
        </w:tc>
        <w:tc>
          <w:tcPr>
            <w:tcW w:w="7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ind w:left="60"/>
              <w:spacing w:after="0"/>
              <w:rPr>
                <w:sz w:val="20"/>
                <w:szCs w:val="20"/>
                <w:color w:val="auto"/>
              </w:rPr>
            </w:pPr>
            <w:r>
              <w:rPr>
                <w:rFonts w:ascii="Arial" w:cs="Arial" w:eastAsia="Arial" w:hAnsi="Arial"/>
                <w:sz w:val="9"/>
                <w:szCs w:val="9"/>
                <w:color w:val="auto"/>
              </w:rPr>
              <w:t>(4</w:t>
            </w:r>
          </w:p>
        </w:tc>
        <w:tc>
          <w:tcPr>
            <w:tcW w:w="880" w:type="dxa"/>
            <w:vAlign w:val="bottom"/>
            <w:shd w:val="clear" w:color="auto" w:fill="F3F3F4"/>
          </w:tcPr>
          <w:p>
            <w:pPr>
              <w:jc w:val="right"/>
              <w:ind w:right="53"/>
              <w:spacing w:after="0"/>
              <w:rPr>
                <w:sz w:val="20"/>
                <w:szCs w:val="20"/>
                <w:color w:val="auto"/>
              </w:rPr>
            </w:pPr>
            <w:r>
              <w:rPr>
                <w:rFonts w:ascii="Arial" w:cs="Arial" w:eastAsia="Arial" w:hAnsi="Arial"/>
                <w:sz w:val="13"/>
                <w:szCs w:val="13"/>
                <w:color w:val="auto"/>
              </w:rPr>
              <w:t>499,920</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Peter A. Ragauss</w:t>
            </w: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105,000</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199,961</w:t>
            </w: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9"/>
                <w:szCs w:val="9"/>
                <w:color w:val="auto"/>
              </w:rPr>
              <w:t>)</w:t>
            </w:r>
          </w:p>
        </w:tc>
        <w:tc>
          <w:tcPr>
            <w:tcW w:w="880" w:type="dxa"/>
            <w:vAlign w:val="bottom"/>
            <w:tcBorders>
              <w:bottom w:val="single" w:sz="8" w:color="auto"/>
            </w:tcBorders>
            <w:shd w:val="clear" w:color="auto" w:fill="F3F3F4"/>
          </w:tcPr>
          <w:p>
            <w:pPr>
              <w:jc w:val="right"/>
              <w:ind w:right="53"/>
              <w:spacing w:after="0"/>
              <w:rPr>
                <w:sz w:val="20"/>
                <w:szCs w:val="20"/>
                <w:color w:val="auto"/>
              </w:rPr>
            </w:pPr>
            <w:r>
              <w:rPr>
                <w:rFonts w:ascii="Arial" w:cs="Arial" w:eastAsia="Arial" w:hAnsi="Arial"/>
                <w:sz w:val="13"/>
                <w:szCs w:val="13"/>
                <w:color w:val="auto"/>
              </w:rPr>
              <w:t>314,961</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20"/>
                <w:szCs w:val="20"/>
                <w:color w:val="auto"/>
              </w:rPr>
            </w:pPr>
            <w:r>
              <w:rPr>
                <w:rFonts w:ascii="Arial" w:cs="Arial" w:eastAsia="Arial" w:hAnsi="Arial"/>
                <w:sz w:val="13"/>
                <w:szCs w:val="13"/>
                <w:b w:val="1"/>
                <w:bCs w:val="1"/>
                <w:color w:val="auto"/>
              </w:rPr>
              <w:t>David L. Stover</w:t>
            </w:r>
          </w:p>
        </w:tc>
        <w:tc>
          <w:tcPr>
            <w:tcW w:w="1380" w:type="dxa"/>
            <w:vAlign w:val="bottom"/>
          </w:tcPr>
          <w:p>
            <w:pPr>
              <w:jc w:val="right"/>
              <w:ind w:right="153"/>
              <w:spacing w:after="0"/>
              <w:rPr>
                <w:sz w:val="20"/>
                <w:szCs w:val="20"/>
                <w:color w:val="auto"/>
              </w:rPr>
            </w:pPr>
            <w:r>
              <w:rPr>
                <w:rFonts w:ascii="Arial" w:cs="Arial" w:eastAsia="Arial" w:hAnsi="Arial"/>
                <w:sz w:val="13"/>
                <w:szCs w:val="13"/>
                <w:color w:val="auto"/>
              </w:rPr>
              <w:t>100,000</w:t>
            </w: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199,961</w:t>
            </w:r>
          </w:p>
        </w:tc>
        <w:tc>
          <w:tcPr>
            <w:tcW w:w="78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ind w:left="60"/>
              <w:spacing w:after="0"/>
              <w:rPr>
                <w:sz w:val="20"/>
                <w:szCs w:val="20"/>
                <w:color w:val="auto"/>
              </w:rPr>
            </w:pPr>
            <w:r>
              <w:rPr>
                <w:rFonts w:ascii="Arial" w:cs="Arial" w:eastAsia="Arial" w:hAnsi="Arial"/>
                <w:sz w:val="9"/>
                <w:szCs w:val="9"/>
                <w:color w:val="auto"/>
              </w:rPr>
              <w:t>(4</w:t>
            </w:r>
          </w:p>
        </w:tc>
        <w:tc>
          <w:tcPr>
            <w:tcW w:w="880" w:type="dxa"/>
            <w:vAlign w:val="bottom"/>
            <w:shd w:val="clear" w:color="auto" w:fill="F3F3F4"/>
          </w:tcPr>
          <w:p>
            <w:pPr>
              <w:jc w:val="right"/>
              <w:ind w:right="53"/>
              <w:spacing w:after="0"/>
              <w:rPr>
                <w:sz w:val="20"/>
                <w:szCs w:val="20"/>
                <w:color w:val="auto"/>
              </w:rPr>
            </w:pPr>
            <w:r>
              <w:rPr>
                <w:rFonts w:ascii="Arial" w:cs="Arial" w:eastAsia="Arial" w:hAnsi="Arial"/>
                <w:sz w:val="13"/>
                <w:szCs w:val="13"/>
                <w:color w:val="auto"/>
              </w:rPr>
              <w:t>299,961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Anya Weaving</w:t>
            </w: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105,000</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199,961</w:t>
            </w: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9"/>
                <w:szCs w:val="9"/>
                <w:color w:val="auto"/>
              </w:rPr>
              <w:t>)</w:t>
            </w:r>
          </w:p>
        </w:tc>
        <w:tc>
          <w:tcPr>
            <w:tcW w:w="880" w:type="dxa"/>
            <w:vAlign w:val="bottom"/>
            <w:tcBorders>
              <w:bottom w:val="single" w:sz="8" w:color="auto"/>
            </w:tcBorders>
            <w:shd w:val="clear" w:color="auto" w:fill="F3F3F4"/>
          </w:tcPr>
          <w:p>
            <w:pPr>
              <w:jc w:val="right"/>
              <w:ind w:right="53"/>
              <w:spacing w:after="0"/>
              <w:rPr>
                <w:sz w:val="20"/>
                <w:szCs w:val="20"/>
                <w:color w:val="auto"/>
              </w:rPr>
            </w:pPr>
            <w:r>
              <w:rPr>
                <w:rFonts w:ascii="Arial" w:cs="Arial" w:eastAsia="Arial" w:hAnsi="Arial"/>
                <w:sz w:val="13"/>
                <w:szCs w:val="13"/>
                <w:color w:val="auto"/>
              </w:rPr>
              <w:t>314,961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-933450</wp:posOffset>
            </wp:positionV>
            <wp:extent cx="61722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-805180</wp:posOffset>
            </wp:positionV>
            <wp:extent cx="61722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-367665</wp:posOffset>
            </wp:positionV>
            <wp:extent cx="61722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65" w:lineRule="exact"/>
        <w:rPr>
          <w:sz w:val="20"/>
          <w:szCs w:val="20"/>
          <w:color w:val="auto"/>
        </w:rPr>
      </w:pPr>
    </w:p>
    <w:p>
      <w:pPr>
        <w:ind w:left="240" w:right="100" w:hanging="236"/>
        <w:spacing w:after="0" w:line="263" w:lineRule="auto"/>
        <w:tabs>
          <w:tab w:leader="none" w:pos="240" w:val="left"/>
        </w:tabs>
        <w:numPr>
          <w:ilvl w:val="0"/>
          <w:numId w:val="120"/>
        </w:numPr>
        <w:rPr>
          <w:rFonts w:ascii="Arial" w:cs="Arial" w:eastAsia="Arial" w:hAnsi="Arial"/>
          <w:sz w:val="14"/>
          <w:szCs w:val="14"/>
          <w:color w:val="404040"/>
        </w:rPr>
      </w:pPr>
      <w:r>
        <w:rPr>
          <w:rFonts w:ascii="Arial" w:cs="Arial" w:eastAsia="Arial" w:hAnsi="Arial"/>
          <w:sz w:val="14"/>
          <w:szCs w:val="14"/>
          <w:color w:val="404040"/>
        </w:rPr>
        <w:t>Employee directors do not receive additional compensation for serving on the Board. John J. Christmann IV, the Company’s CEO, is not included in this table as he was an employee of the Company during 2025. The compensation he received as an employee of the Company is shown in the Summary Compensation Table.</w:t>
      </w:r>
    </w:p>
    <w:p>
      <w:pPr>
        <w:spacing w:after="0" w:line="10" w:lineRule="exact"/>
        <w:rPr>
          <w:rFonts w:ascii="Arial" w:cs="Arial" w:eastAsia="Arial" w:hAnsi="Arial"/>
          <w:sz w:val="14"/>
          <w:szCs w:val="14"/>
          <w:color w:val="404040"/>
        </w:rPr>
      </w:pPr>
    </w:p>
    <w:p>
      <w:pPr>
        <w:ind w:left="240" w:right="60" w:hanging="236"/>
        <w:spacing w:after="0" w:line="263" w:lineRule="auto"/>
        <w:tabs>
          <w:tab w:leader="none" w:pos="240" w:val="left"/>
        </w:tabs>
        <w:numPr>
          <w:ilvl w:val="0"/>
          <w:numId w:val="120"/>
        </w:numPr>
        <w:rPr>
          <w:rFonts w:ascii="Arial" w:cs="Arial" w:eastAsia="Arial" w:hAnsi="Arial"/>
          <w:sz w:val="14"/>
          <w:szCs w:val="14"/>
          <w:color w:val="404040"/>
        </w:rPr>
      </w:pPr>
      <w:r>
        <w:rPr>
          <w:rFonts w:ascii="Arial" w:cs="Arial" w:eastAsia="Arial" w:hAnsi="Arial"/>
          <w:sz w:val="14"/>
          <w:szCs w:val="14"/>
          <w:color w:val="404040"/>
        </w:rPr>
        <w:t>Grant date fair value, as computed in accordance with FASB ASC Topic 718, of RSUs granted during 2025 to each non-employee director based on the per share closing price of the Company’s common stock on the date of grant. None of the non-employee directors had unvested RSUs or restricted APA common stock at year-end 2025.</w:t>
      </w:r>
    </w:p>
    <w:p>
      <w:pPr>
        <w:spacing w:after="0" w:line="10" w:lineRule="exact"/>
        <w:rPr>
          <w:rFonts w:ascii="Arial" w:cs="Arial" w:eastAsia="Arial" w:hAnsi="Arial"/>
          <w:sz w:val="14"/>
          <w:szCs w:val="14"/>
          <w:color w:val="404040"/>
        </w:rPr>
      </w:pPr>
    </w:p>
    <w:p>
      <w:pPr>
        <w:ind w:left="240" w:hanging="236"/>
        <w:spacing w:after="0"/>
        <w:tabs>
          <w:tab w:leader="none" w:pos="240" w:val="left"/>
        </w:tabs>
        <w:numPr>
          <w:ilvl w:val="0"/>
          <w:numId w:val="120"/>
        </w:numPr>
        <w:rPr>
          <w:rFonts w:ascii="Arial" w:cs="Arial" w:eastAsia="Arial" w:hAnsi="Arial"/>
          <w:sz w:val="14"/>
          <w:szCs w:val="14"/>
          <w:color w:val="404040"/>
        </w:rPr>
      </w:pPr>
      <w:r>
        <w:rPr>
          <w:rFonts w:ascii="Arial" w:cs="Arial" w:eastAsia="Arial" w:hAnsi="Arial"/>
          <w:sz w:val="14"/>
          <w:szCs w:val="14"/>
          <w:color w:val="404040"/>
        </w:rPr>
        <w:t>Earnings are not included in this column as they are not above-market or preferential earnings.</w:t>
      </w:r>
    </w:p>
    <w:p>
      <w:pPr>
        <w:spacing w:after="0" w:line="55" w:lineRule="exact"/>
        <w:rPr>
          <w:rFonts w:ascii="Arial" w:cs="Arial" w:eastAsia="Arial" w:hAnsi="Arial"/>
          <w:sz w:val="14"/>
          <w:szCs w:val="14"/>
          <w:color w:val="404040"/>
        </w:rPr>
      </w:pPr>
    </w:p>
    <w:p>
      <w:pPr>
        <w:ind w:left="240" w:right="200" w:hanging="236"/>
        <w:spacing w:after="0" w:line="256" w:lineRule="auto"/>
        <w:tabs>
          <w:tab w:leader="none" w:pos="240" w:val="left"/>
        </w:tabs>
        <w:numPr>
          <w:ilvl w:val="0"/>
          <w:numId w:val="120"/>
        </w:numPr>
        <w:rPr>
          <w:rFonts w:ascii="Arial" w:cs="Arial" w:eastAsia="Arial" w:hAnsi="Arial"/>
          <w:sz w:val="14"/>
          <w:szCs w:val="14"/>
          <w:color w:val="404040"/>
        </w:rPr>
      </w:pPr>
      <w:r>
        <w:rPr>
          <w:rFonts w:ascii="Arial" w:cs="Arial" w:eastAsia="Arial" w:hAnsi="Arial"/>
          <w:sz w:val="14"/>
          <w:szCs w:val="14"/>
          <w:color w:val="404040"/>
        </w:rPr>
        <w:t>These amounts reflect payments made to qualified non-profit organizations under the Company’s Workplace Giving Program to match donations made by the director. The administration of the Workplace Giving Program may result in reported amounts in excess of the annual matching limit, when a donation is made by a director in one fiscal year, but the Company matching donation is not processed until the next fiscal year. Additional information about the Workplace Giving Program is provided in the Compensation Discussion and Analysis section above.</w:t>
      </w:r>
    </w:p>
    <w:p>
      <w:pPr>
        <w:spacing w:after="0" w:line="172"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44</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32" w:right="1099" w:bottom="1440" w:gutter="0" w:footer="0" w:header="0"/>
        </w:sectPr>
      </w:pPr>
    </w:p>
    <w:bookmarkStart w:id="50" w:name="page51"/>
    <w:bookmarkEnd w:id="50"/>
    <w:p>
      <w:pPr>
        <w:ind w:left="660"/>
        <w:spacing w:after="0"/>
        <w:rPr>
          <w:sz w:val="20"/>
          <w:szCs w:val="20"/>
          <w:color w:val="auto"/>
        </w:rPr>
      </w:pPr>
      <w:r>
        <w:rPr>
          <w:rFonts w:ascii="Arial" w:cs="Arial" w:eastAsia="Arial" w:hAnsi="Arial"/>
          <w:sz w:val="32"/>
          <w:szCs w:val="32"/>
          <w:b w:val="1"/>
          <w:bCs w:val="1"/>
          <w:color w:val="D9AB28"/>
        </w:rPr>
        <w:t xml:space="preserve">PROPOSAL 2: </w:t>
      </w:r>
      <w:r>
        <w:rPr>
          <w:rFonts w:ascii="Arial" w:cs="Arial" w:eastAsia="Arial" w:hAnsi="Arial"/>
          <w:sz w:val="32"/>
          <w:szCs w:val="32"/>
          <w:b w:val="1"/>
          <w:bCs w:val="1"/>
          <w:color w:val="000000"/>
        </w:rPr>
        <w:t>RATIFICATION OF AUDITOR APPOINTMENT</w:t>
      </w:r>
    </w:p>
    <w:p>
      <w:pPr>
        <w:spacing w:after="0" w:line="242" w:lineRule="exact"/>
        <w:rPr>
          <w:sz w:val="20"/>
          <w:szCs w:val="20"/>
          <w:color w:val="auto"/>
        </w:rPr>
      </w:pPr>
    </w:p>
    <w:p>
      <w:pPr>
        <w:ind w:left="660" w:right="660"/>
        <w:spacing w:after="0" w:line="254" w:lineRule="auto"/>
        <w:rPr>
          <w:sz w:val="20"/>
          <w:szCs w:val="20"/>
          <w:color w:val="auto"/>
        </w:rPr>
      </w:pPr>
      <w:r>
        <w:rPr>
          <w:rFonts w:ascii="Arial" w:cs="Arial" w:eastAsia="Arial" w:hAnsi="Arial"/>
          <w:sz w:val="16"/>
          <w:szCs w:val="16"/>
          <w:color w:val="auto"/>
        </w:rPr>
        <w:t>The Audit Committee is responsible for the appointment, compensation, retention, and oversight of the work of the registered public accounting firm (independent auditor) employed by the Company and establishes guidelines for the retention of the independent auditor for any permissible services. In performing these responsibilities, among other things, the Audit Committee (i) reviews the qualifications, performance, and independence of the independent auditor, (ii) reviews and evaluates the lead partner of the independent auditor having primary responsibility for the Company’s audit and ensures the rotation of such partners as required by law, and (iii) considers whether the independent auditor should be rotated to maintain the independence between the independent auditor and the Company.</w:t>
      </w:r>
    </w:p>
    <w:p>
      <w:pPr>
        <w:spacing w:after="0" w:line="74" w:lineRule="exact"/>
        <w:rPr>
          <w:sz w:val="20"/>
          <w:szCs w:val="20"/>
          <w:color w:val="auto"/>
        </w:rPr>
      </w:pPr>
    </w:p>
    <w:p>
      <w:pPr>
        <w:ind w:left="660" w:right="700"/>
        <w:spacing w:after="0" w:line="254" w:lineRule="auto"/>
        <w:rPr>
          <w:sz w:val="20"/>
          <w:szCs w:val="20"/>
          <w:color w:val="auto"/>
        </w:rPr>
      </w:pPr>
      <w:r>
        <w:rPr>
          <w:rFonts w:ascii="Arial" w:cs="Arial" w:eastAsia="Arial" w:hAnsi="Arial"/>
          <w:sz w:val="16"/>
          <w:szCs w:val="16"/>
          <w:color w:val="auto"/>
        </w:rPr>
        <w:t>The Audit Committee has appointed Ernst &amp; Young LLP (EY), an independent auditor, to audit the Company’s financial statements for the fiscal year ending December 31, 2026. EY served as the Company’s independent auditor for the fiscal year ended December 31, 2025, and reported on the Company’s consolidated financial statements for that year, as well as the effectiveness of the Company’s internal control over financial reporting. EY has served as the independent auditor of the Company since 2002. The Board believes that the continued retention of EY to serve as the Company’s independent auditor is in the best interests of the Company and its shareholders and, at the request of the Audit Committee, is asking you to ratify that appointment.</w:t>
      </w:r>
    </w:p>
    <w:p>
      <w:pPr>
        <w:spacing w:after="0" w:line="74" w:lineRule="exact"/>
        <w:rPr>
          <w:sz w:val="20"/>
          <w:szCs w:val="20"/>
          <w:color w:val="auto"/>
        </w:rPr>
      </w:pPr>
    </w:p>
    <w:p>
      <w:pPr>
        <w:ind w:left="660" w:right="840"/>
        <w:spacing w:after="0" w:line="286" w:lineRule="auto"/>
        <w:rPr>
          <w:sz w:val="20"/>
          <w:szCs w:val="20"/>
          <w:color w:val="auto"/>
        </w:rPr>
      </w:pPr>
      <w:r>
        <w:rPr>
          <w:rFonts w:ascii="Arial" w:cs="Arial" w:eastAsia="Arial" w:hAnsi="Arial"/>
          <w:sz w:val="16"/>
          <w:szCs w:val="16"/>
          <w:color w:val="auto"/>
        </w:rPr>
        <w:t>Representatives of EY will be present at the annual meeting and will have an opportunity to make a statement, if they desire to do so, and to respond to appropriate questions regarding the Company's business.</w:t>
      </w:r>
    </w:p>
    <w:p>
      <w:pPr>
        <w:spacing w:after="0" w:line="48" w:lineRule="exact"/>
        <w:rPr>
          <w:sz w:val="20"/>
          <w:szCs w:val="20"/>
          <w:color w:val="auto"/>
        </w:rPr>
      </w:pPr>
    </w:p>
    <w:p>
      <w:pPr>
        <w:ind w:left="660" w:right="900"/>
        <w:spacing w:after="0" w:line="254" w:lineRule="auto"/>
        <w:rPr>
          <w:sz w:val="20"/>
          <w:szCs w:val="20"/>
          <w:color w:val="auto"/>
        </w:rPr>
      </w:pPr>
      <w:r>
        <w:rPr>
          <w:rFonts w:ascii="Arial" w:cs="Arial" w:eastAsia="Arial" w:hAnsi="Arial"/>
          <w:sz w:val="16"/>
          <w:szCs w:val="16"/>
          <w:color w:val="auto"/>
        </w:rPr>
        <w:t>Although shareholder ratification is not required, the appointment of EY as the Company’s independent auditor for fiscal year 2026 is being submitted for ratification at the annual meeting because the Board believes doing so is a good corporate governance practice. Furthermore, the Audit Committee will take shareholders’ opinions regarding the appointment of EY into consideration in future deliberations. If EY’s appointment is not ratified at the annual meeting, the Audit Committee will consider the engagement of another independent auditor. The Audit Committee may terminate EY’s engagement as the Company’s independent auditor without the approval of the Company’s shareholders whenever the Audit Committee deems appropriate.</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Fees Paid to the Independent Auditor</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fees paid to EY for 2025 and 2024 were as follows:</w:t>
      </w:r>
    </w:p>
    <w:p>
      <w:pPr>
        <w:spacing w:after="0" w:line="10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540" w:type="dxa"/>
            <w:vAlign w:val="bottom"/>
            <w:tcBorders>
              <w:top w:val="single" w:sz="8" w:color="auto"/>
            </w:tcBorders>
            <w:shd w:val="clear" w:color="auto" w:fill="F3F3F4"/>
          </w:tcPr>
          <w:p>
            <w:pPr>
              <w:spacing w:after="0"/>
              <w:rPr>
                <w:sz w:val="18"/>
                <w:szCs w:val="18"/>
                <w:color w:val="auto"/>
              </w:rPr>
            </w:pPr>
          </w:p>
        </w:tc>
        <w:tc>
          <w:tcPr>
            <w:tcW w:w="4100" w:type="dxa"/>
            <w:vAlign w:val="bottom"/>
            <w:tcBorders>
              <w:top w:val="single" w:sz="8" w:color="auto"/>
            </w:tcBorders>
            <w:shd w:val="clear" w:color="auto" w:fill="F3F3F4"/>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080" w:type="dxa"/>
            <w:vAlign w:val="bottom"/>
            <w:tcBorders>
              <w:top w:val="single" w:sz="8" w:color="auto"/>
            </w:tcBorders>
            <w:shd w:val="clear" w:color="auto" w:fill="F3F3F4"/>
          </w:tcPr>
          <w:p>
            <w:pPr>
              <w:jc w:val="right"/>
              <w:spacing w:after="0"/>
              <w:rPr>
                <w:sz w:val="20"/>
                <w:szCs w:val="20"/>
                <w:color w:val="auto"/>
              </w:rPr>
            </w:pPr>
            <w:r>
              <w:rPr>
                <w:rFonts w:ascii="Arial" w:cs="Arial" w:eastAsia="Arial" w:hAnsi="Arial"/>
                <w:sz w:val="16"/>
                <w:szCs w:val="16"/>
                <w:b w:val="1"/>
                <w:bCs w:val="1"/>
                <w:color w:val="auto"/>
              </w:rPr>
              <w:t>2024</w:t>
            </w:r>
          </w:p>
        </w:tc>
      </w:tr>
      <w:tr>
        <w:trPr>
          <w:trHeight w:val="226"/>
        </w:trPr>
        <w:tc>
          <w:tcPr>
            <w:tcW w:w="454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Description</w:t>
            </w:r>
          </w:p>
        </w:tc>
        <w:tc>
          <w:tcPr>
            <w:tcW w:w="4100" w:type="dxa"/>
            <w:vAlign w:val="bottom"/>
            <w:tcBorders>
              <w:bottom w:val="single" w:sz="8" w:color="auto"/>
            </w:tcBorders>
            <w:shd w:val="clear" w:color="auto" w:fill="F3F3F4"/>
          </w:tcPr>
          <w:p>
            <w:pPr>
              <w:jc w:val="right"/>
              <w:ind w:right="2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6"/>
                <w:szCs w:val="16"/>
                <w:b w:val="1"/>
                <w:bCs w:val="1"/>
                <w:color w:val="auto"/>
              </w:rPr>
              <w:t>($)</w:t>
            </w:r>
          </w:p>
        </w:tc>
      </w:tr>
      <w:tr>
        <w:trPr>
          <w:trHeight w:val="227"/>
        </w:trPr>
        <w:tc>
          <w:tcPr>
            <w:tcW w:w="4540" w:type="dxa"/>
            <w:vAlign w:val="bottom"/>
            <w:tcBorders>
              <w:bottom w:val="single" w:sz="8" w:color="auto"/>
            </w:tcBorders>
          </w:tcPr>
          <w:p>
            <w:pPr>
              <w:spacing w:after="0" w:line="227" w:lineRule="exact"/>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4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4,624,000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7,056,000</w:t>
            </w:r>
          </w:p>
        </w:tc>
      </w:tr>
      <w:tr>
        <w:trPr>
          <w:trHeight w:val="223"/>
        </w:trPr>
        <w:tc>
          <w:tcPr>
            <w:tcW w:w="4540" w:type="dxa"/>
            <w:vAlign w:val="bottom"/>
            <w:tcBorders>
              <w:bottom w:val="single" w:sz="8" w:color="auto"/>
            </w:tcBorders>
          </w:tcPr>
          <w:p>
            <w:pPr>
              <w:spacing w:after="0" w:line="223" w:lineRule="exact"/>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4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425,000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247,000</w:t>
            </w:r>
          </w:p>
        </w:tc>
      </w:tr>
      <w:tr>
        <w:trPr>
          <w:trHeight w:val="223"/>
        </w:trPr>
        <w:tc>
          <w:tcPr>
            <w:tcW w:w="4540" w:type="dxa"/>
            <w:vAlign w:val="bottom"/>
            <w:tcBorders>
              <w:bottom w:val="single" w:sz="8" w:color="auto"/>
            </w:tcBorders>
          </w:tcPr>
          <w:p>
            <w:pPr>
              <w:spacing w:after="0" w:line="223"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4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110,000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200,000</w:t>
            </w:r>
          </w:p>
        </w:tc>
      </w:tr>
      <w:tr>
        <w:trPr>
          <w:trHeight w:val="216"/>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 Other Fees</w:t>
            </w:r>
          </w:p>
        </w:tc>
        <w:tc>
          <w:tcPr>
            <w:tcW w:w="4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54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Total</w:t>
            </w:r>
          </w:p>
        </w:tc>
        <w:tc>
          <w:tcPr>
            <w:tcW w:w="4100" w:type="dxa"/>
            <w:vAlign w:val="bottom"/>
            <w:tcBorders>
              <w:bottom w:val="single" w:sz="8" w:color="auto"/>
            </w:tcBorders>
            <w:shd w:val="clear" w:color="auto" w:fill="F3F3F4"/>
          </w:tcPr>
          <w:p>
            <w:pPr>
              <w:jc w:val="right"/>
              <w:ind w:right="259"/>
              <w:spacing w:after="0"/>
              <w:rPr>
                <w:sz w:val="20"/>
                <w:szCs w:val="20"/>
                <w:color w:val="auto"/>
              </w:rPr>
            </w:pPr>
            <w:r>
              <w:rPr>
                <w:rFonts w:ascii="Arial" w:cs="Arial" w:eastAsia="Arial" w:hAnsi="Arial"/>
                <w:sz w:val="16"/>
                <w:szCs w:val="16"/>
                <w:b w:val="1"/>
                <w:bCs w:val="1"/>
                <w:color w:val="auto"/>
              </w:rPr>
              <w:t>5,159,000</w:t>
            </w:r>
          </w:p>
        </w:tc>
        <w:tc>
          <w:tcPr>
            <w:tcW w:w="108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6"/>
                <w:szCs w:val="16"/>
                <w:b w:val="1"/>
                <w:bCs w:val="1"/>
                <w:color w:val="auto"/>
              </w:rPr>
              <w:t>7,503,000</w:t>
            </w:r>
          </w:p>
        </w:tc>
      </w:tr>
    </w:tbl>
    <w:p>
      <w:pPr>
        <w:spacing w:after="0" w:line="58" w:lineRule="exact"/>
        <w:rPr>
          <w:sz w:val="20"/>
          <w:szCs w:val="20"/>
          <w:color w:val="auto"/>
        </w:rPr>
      </w:pPr>
    </w:p>
    <w:p>
      <w:pPr>
        <w:ind w:left="900" w:right="660" w:hanging="236"/>
        <w:spacing w:after="0" w:line="263" w:lineRule="auto"/>
        <w:tabs>
          <w:tab w:leader="none" w:pos="900" w:val="left"/>
        </w:tabs>
        <w:numPr>
          <w:ilvl w:val="0"/>
          <w:numId w:val="121"/>
        </w:numPr>
        <w:rPr>
          <w:rFonts w:ascii="Arial" w:cs="Arial" w:eastAsia="Arial" w:hAnsi="Arial"/>
          <w:sz w:val="14"/>
          <w:szCs w:val="14"/>
          <w:color w:val="404040"/>
        </w:rPr>
      </w:pPr>
      <w:r>
        <w:rPr>
          <w:rFonts w:ascii="Arial" w:cs="Arial" w:eastAsia="Arial" w:hAnsi="Arial"/>
          <w:sz w:val="14"/>
          <w:szCs w:val="14"/>
          <w:b w:val="1"/>
          <w:bCs w:val="1"/>
          <w:color w:val="404040"/>
        </w:rPr>
        <w:t xml:space="preserve">Audit Fees </w:t>
      </w:r>
      <w:r>
        <w:rPr>
          <w:rFonts w:ascii="Arial" w:cs="Arial" w:eastAsia="Arial" w:hAnsi="Arial"/>
          <w:sz w:val="14"/>
          <w:szCs w:val="14"/>
          <w:color w:val="404040"/>
        </w:rPr>
        <w:t>were for professional services rendered for the annual audit of the Company’s consolidated financial statements included in the Form 10-K, including the audit of the effectiveness of the Company’s internal controls over financial reporting, the reviews of the financial statements included in the Forms 10-Q, statutory audits, issuance of comfort letters, consents, and assistance and review of documents filed with the SEC.</w:t>
      </w:r>
    </w:p>
    <w:p>
      <w:pPr>
        <w:spacing w:after="0" w:line="10" w:lineRule="exact"/>
        <w:rPr>
          <w:rFonts w:ascii="Arial" w:cs="Arial" w:eastAsia="Arial" w:hAnsi="Arial"/>
          <w:sz w:val="14"/>
          <w:szCs w:val="14"/>
          <w:color w:val="404040"/>
        </w:rPr>
      </w:pPr>
    </w:p>
    <w:p>
      <w:pPr>
        <w:jc w:val="both"/>
        <w:ind w:left="900" w:right="720" w:hanging="236"/>
        <w:spacing w:after="0" w:line="263" w:lineRule="auto"/>
        <w:tabs>
          <w:tab w:leader="none" w:pos="900" w:val="left"/>
        </w:tabs>
        <w:numPr>
          <w:ilvl w:val="0"/>
          <w:numId w:val="121"/>
        </w:numPr>
        <w:rPr>
          <w:rFonts w:ascii="Arial" w:cs="Arial" w:eastAsia="Arial" w:hAnsi="Arial"/>
          <w:sz w:val="14"/>
          <w:szCs w:val="14"/>
          <w:color w:val="404040"/>
        </w:rPr>
      </w:pPr>
      <w:r>
        <w:rPr>
          <w:rFonts w:ascii="Arial" w:cs="Arial" w:eastAsia="Arial" w:hAnsi="Arial"/>
          <w:sz w:val="14"/>
          <w:szCs w:val="14"/>
          <w:b w:val="1"/>
          <w:bCs w:val="1"/>
          <w:color w:val="404040"/>
        </w:rPr>
        <w:t xml:space="preserve">Audit-Related Fees </w:t>
      </w:r>
      <w:r>
        <w:rPr>
          <w:rFonts w:ascii="Arial" w:cs="Arial" w:eastAsia="Arial" w:hAnsi="Arial"/>
          <w:sz w:val="14"/>
          <w:szCs w:val="14"/>
          <w:color w:val="404040"/>
        </w:rPr>
        <w:t>were for assurance and related services that are reasonably related to the performance of the audit or review of the Company’s</w:t>
      </w:r>
      <w:r>
        <w:rPr>
          <w:rFonts w:ascii="Arial" w:cs="Arial" w:eastAsia="Arial" w:hAnsi="Arial"/>
          <w:sz w:val="14"/>
          <w:szCs w:val="14"/>
          <w:b w:val="1"/>
          <w:bCs w:val="1"/>
          <w:color w:val="404040"/>
        </w:rPr>
        <w:t xml:space="preserve"> </w:t>
      </w:r>
      <w:r>
        <w:rPr>
          <w:rFonts w:ascii="Arial" w:cs="Arial" w:eastAsia="Arial" w:hAnsi="Arial"/>
          <w:sz w:val="14"/>
          <w:szCs w:val="14"/>
          <w:color w:val="404040"/>
        </w:rPr>
        <w:t>financial statements or that are traditionally performed by the independent auditor. Audit-related services include consultations related to accounting, financial reporting or disclosure matters not classified as “audit services,” and agreed upon or expanded audit procedures.</w:t>
      </w:r>
    </w:p>
    <w:p>
      <w:pPr>
        <w:spacing w:after="0" w:line="10" w:lineRule="exact"/>
        <w:rPr>
          <w:rFonts w:ascii="Arial" w:cs="Arial" w:eastAsia="Arial" w:hAnsi="Arial"/>
          <w:sz w:val="14"/>
          <w:szCs w:val="14"/>
          <w:color w:val="404040"/>
        </w:rPr>
      </w:pPr>
    </w:p>
    <w:p>
      <w:pPr>
        <w:ind w:left="900" w:right="1100" w:hanging="236"/>
        <w:spacing w:after="0" w:line="285" w:lineRule="auto"/>
        <w:tabs>
          <w:tab w:leader="none" w:pos="900" w:val="left"/>
        </w:tabs>
        <w:numPr>
          <w:ilvl w:val="0"/>
          <w:numId w:val="121"/>
        </w:numPr>
        <w:rPr>
          <w:rFonts w:ascii="Arial" w:cs="Arial" w:eastAsia="Arial" w:hAnsi="Arial"/>
          <w:sz w:val="14"/>
          <w:szCs w:val="14"/>
          <w:color w:val="404040"/>
        </w:rPr>
      </w:pPr>
      <w:r>
        <w:rPr>
          <w:rFonts w:ascii="Arial" w:cs="Arial" w:eastAsia="Arial" w:hAnsi="Arial"/>
          <w:sz w:val="14"/>
          <w:szCs w:val="14"/>
          <w:b w:val="1"/>
          <w:bCs w:val="1"/>
          <w:color w:val="404040"/>
        </w:rPr>
        <w:t xml:space="preserve">Tax Fees </w:t>
      </w:r>
      <w:r>
        <w:rPr>
          <w:rFonts w:ascii="Arial" w:cs="Arial" w:eastAsia="Arial" w:hAnsi="Arial"/>
          <w:sz w:val="14"/>
          <w:szCs w:val="14"/>
          <w:color w:val="404040"/>
        </w:rPr>
        <w:t>were for services related to tax planning and compliance, tax-related and structuring-related consultation, and tax services related to</w:t>
      </w:r>
      <w:r>
        <w:rPr>
          <w:rFonts w:ascii="Arial" w:cs="Arial" w:eastAsia="Arial" w:hAnsi="Arial"/>
          <w:sz w:val="14"/>
          <w:szCs w:val="14"/>
          <w:b w:val="1"/>
          <w:bCs w:val="1"/>
          <w:color w:val="404040"/>
        </w:rPr>
        <w:t xml:space="preserve"> </w:t>
      </w:r>
      <w:r>
        <w:rPr>
          <w:rFonts w:ascii="Arial" w:cs="Arial" w:eastAsia="Arial" w:hAnsi="Arial"/>
          <w:sz w:val="14"/>
          <w:szCs w:val="14"/>
          <w:color w:val="404040"/>
        </w:rPr>
        <w:t>potential acquisitions or dispositions.</w:t>
      </w:r>
    </w:p>
    <w:p>
      <w:pPr>
        <w:spacing w:after="0" w:line="45" w:lineRule="exact"/>
        <w:rPr>
          <w:sz w:val="20"/>
          <w:szCs w:val="20"/>
          <w:color w:val="auto"/>
        </w:rPr>
      </w:pPr>
    </w:p>
    <w:p>
      <w:pPr>
        <w:ind w:left="660" w:right="820"/>
        <w:spacing w:after="0" w:line="266" w:lineRule="auto"/>
        <w:rPr>
          <w:sz w:val="20"/>
          <w:szCs w:val="20"/>
          <w:color w:val="auto"/>
        </w:rPr>
      </w:pPr>
      <w:r>
        <w:rPr>
          <w:rFonts w:ascii="Arial" w:cs="Arial" w:eastAsia="Arial" w:hAnsi="Arial"/>
          <w:sz w:val="16"/>
          <w:szCs w:val="16"/>
          <w:color w:val="auto"/>
        </w:rPr>
        <w:t>All audit, audit-related, tax, and other services were pre-approved by the Audit Committee, which concluded that the provision of such services by EY was compatible with the firm’s independence in the conduct of its auditing functions. The Audit Committee has taken into consideration whether the provision of non-audit services by EY is compatible with maintaining auditor independence.</w:t>
      </w:r>
    </w:p>
    <w:p>
      <w:pPr>
        <w:spacing w:after="0" w:line="63" w:lineRule="exact"/>
        <w:rPr>
          <w:sz w:val="20"/>
          <w:szCs w:val="20"/>
          <w:color w:val="auto"/>
        </w:rPr>
      </w:pPr>
    </w:p>
    <w:p>
      <w:pPr>
        <w:ind w:left="660" w:right="1340"/>
        <w:spacing w:after="0" w:line="286" w:lineRule="auto"/>
        <w:rPr>
          <w:sz w:val="20"/>
          <w:szCs w:val="20"/>
          <w:color w:val="auto"/>
        </w:rPr>
      </w:pPr>
      <w:r>
        <w:rPr>
          <w:rFonts w:ascii="Arial" w:cs="Arial" w:eastAsia="Arial" w:hAnsi="Arial"/>
          <w:sz w:val="16"/>
          <w:szCs w:val="16"/>
          <w:color w:val="auto"/>
        </w:rPr>
        <w:t>None of the services described above were approved pursuant to the de minimis exception provided in Rule 2-01(c)(7)(i)(C) of Regulation S-X promulgated by the SEC.</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Pre-Approval of Independent Auditor Services and Fees</w:t>
      </w:r>
    </w:p>
    <w:p>
      <w:pPr>
        <w:spacing w:after="0" w:line="240" w:lineRule="exact"/>
        <w:rPr>
          <w:sz w:val="20"/>
          <w:szCs w:val="20"/>
          <w:color w:val="auto"/>
        </w:rPr>
      </w:pPr>
    </w:p>
    <w:p>
      <w:pPr>
        <w:jc w:val="both"/>
        <w:ind w:left="660" w:right="940"/>
        <w:spacing w:after="0" w:line="266" w:lineRule="auto"/>
        <w:rPr>
          <w:sz w:val="20"/>
          <w:szCs w:val="20"/>
          <w:color w:val="auto"/>
        </w:rPr>
      </w:pPr>
      <w:r>
        <w:rPr>
          <w:rFonts w:ascii="Arial" w:cs="Arial" w:eastAsia="Arial" w:hAnsi="Arial"/>
          <w:sz w:val="16"/>
          <w:szCs w:val="16"/>
          <w:color w:val="auto"/>
        </w:rPr>
        <w:t>To ensure the independence of our independent auditor and to comply with the applicable securities laws, Nasdaq listing standards, and the Audit Committee charter, the Audit Committee has established a policy and related procedures with respect to services that may be performed by the Company’s independent auditor (the Pre-Approval Policy).</w:t>
      </w:r>
    </w:p>
    <w:p>
      <w:pPr>
        <w:spacing w:after="0" w:line="63" w:lineRule="exact"/>
        <w:rPr>
          <w:sz w:val="20"/>
          <w:szCs w:val="20"/>
          <w:color w:val="auto"/>
        </w:rPr>
      </w:pPr>
    </w:p>
    <w:p>
      <w:pPr>
        <w:ind w:left="660" w:right="840"/>
        <w:spacing w:after="0" w:line="286" w:lineRule="auto"/>
        <w:rPr>
          <w:sz w:val="20"/>
          <w:szCs w:val="20"/>
          <w:color w:val="auto"/>
        </w:rPr>
      </w:pPr>
      <w:r>
        <w:rPr>
          <w:rFonts w:ascii="Arial" w:cs="Arial" w:eastAsia="Arial" w:hAnsi="Arial"/>
          <w:sz w:val="16"/>
          <w:szCs w:val="16"/>
          <w:color w:val="auto"/>
        </w:rPr>
        <w:t>The Pre-Approval Policy provides that the Company’s independent auditor may not perform any service for the Company, subject to those exceptions that may be permitted by applicable law, unless (i) the service has been pre-approved by the Audit Committee or (ii)</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45</w:t>
            </w:r>
          </w:p>
        </w:tc>
      </w:tr>
      <w:tr>
        <w:trPr>
          <w:trHeight w:val="878"/>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08" w:right="439" w:bottom="1440" w:gutter="0" w:footer="0" w:header="0"/>
        </w:sectPr>
      </w:pPr>
    </w:p>
    <w:bookmarkStart w:id="51" w:name="page52"/>
    <w:bookmarkEnd w:id="51"/>
    <w:p>
      <w:pPr>
        <w:ind w:right="400"/>
        <w:spacing w:after="0" w:line="266" w:lineRule="auto"/>
        <w:rPr>
          <w:sz w:val="20"/>
          <w:szCs w:val="20"/>
          <w:color w:val="auto"/>
        </w:rPr>
      </w:pPr>
      <w:r>
        <w:rPr>
          <w:rFonts w:ascii="Arial" w:cs="Arial" w:eastAsia="Arial" w:hAnsi="Arial"/>
          <w:sz w:val="16"/>
          <w:szCs w:val="16"/>
          <w:color w:val="auto"/>
        </w:rPr>
        <w:t>the Company engaged the independent auditor to perform the service pursuant to the pre-approval provisions of the Pre-Approval Policy. In addition, the Pre-Approval Policy prohibits the Audit Committee from pre-approving certain non-audit services that are prohibited from being performed by the Company’s independent auditor by applicable securities laws.</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Pursuant to the Pre-Approval Policy, the Audit Committee has pre-approved certain categories of services to be performed by the independent auditor and a maximum amount of fees for each category. The Audit Committee reassesses these service categories and the associated maximum fee limits annually. Individual projects within the approved service categories have been pre-approved only to the extent that the fees for each individual project do not exceed a specified dollar limit, which amount is reassessed annually. The Audit Committee also considers on a case-by-case basis specific engagements that are not otherwise pre-approved or that exceed pre-approved fee amounts. The Audit Committee grants pre-approval, subject to fee limits, for services that fall within the “All Other Fees” category on an engagement-by-engagement basis.</w:t>
      </w:r>
    </w:p>
    <w:p>
      <w:pPr>
        <w:spacing w:after="0" w:line="7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At least annually, the Audit Committee designates a member of the Audit Committee to whom it delegates its pre-approval responsibilities. That member has the authority to approve interim requests to pre-approve services and maximum fee limits, provided that the member informs the Audit Committee of his or her decision at the Audit Committee’s next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100330</wp:posOffset>
            </wp:positionV>
            <wp:extent cx="6172200" cy="291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72200" cy="291465"/>
                    </a:xfrm>
                    <a:prstGeom prst="rect">
                      <a:avLst/>
                    </a:prstGeom>
                    <a:noFill/>
                  </pic:spPr>
                </pic:pic>
              </a:graphicData>
            </a:graphic>
          </wp:anchor>
        </w:drawing>
      </w:r>
    </w:p>
    <w:p>
      <w:pPr>
        <w:spacing w:after="0" w:line="165" w:lineRule="exact"/>
        <w:rPr>
          <w:sz w:val="20"/>
          <w:szCs w:val="20"/>
          <w:color w:val="auto"/>
        </w:rPr>
      </w:pPr>
    </w:p>
    <w:p>
      <w:pPr>
        <w:ind w:left="720" w:right="220"/>
        <w:spacing w:after="0" w:line="286" w:lineRule="auto"/>
        <w:rPr>
          <w:sz w:val="20"/>
          <w:szCs w:val="20"/>
          <w:color w:val="auto"/>
        </w:rPr>
      </w:pPr>
      <w:r>
        <w:rPr>
          <w:rFonts w:ascii="Arial" w:cs="Arial" w:eastAsia="Arial" w:hAnsi="Arial"/>
          <w:sz w:val="16"/>
          <w:szCs w:val="16"/>
          <w:color w:val="FFFFFF"/>
        </w:rPr>
        <w:t>The Board recommends that you vote FOR ratification of the appointment of EY as the Company’s independent auditor for fiscal year 2026.</w:t>
      </w: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46</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232" w:right="1119" w:bottom="1440" w:gutter="0" w:footer="0" w:header="0"/>
        </w:sectPr>
      </w:pPr>
    </w:p>
    <w:bookmarkStart w:id="52" w:name="page53"/>
    <w:bookmarkEnd w:id="52"/>
    <w:p>
      <w:pPr>
        <w:ind w:left="660"/>
        <w:spacing w:after="0"/>
        <w:rPr>
          <w:sz w:val="20"/>
          <w:szCs w:val="20"/>
          <w:color w:val="auto"/>
        </w:rPr>
      </w:pPr>
      <w:r>
        <w:rPr>
          <w:rFonts w:ascii="Arial" w:cs="Arial" w:eastAsia="Arial" w:hAnsi="Arial"/>
          <w:sz w:val="29"/>
          <w:szCs w:val="29"/>
          <w:b w:val="1"/>
          <w:bCs w:val="1"/>
          <w:color w:val="auto"/>
        </w:rPr>
        <w:t>Report of the Audit Committee</w:t>
      </w:r>
    </w:p>
    <w:p>
      <w:pPr>
        <w:spacing w:after="0" w:line="242" w:lineRule="exact"/>
        <w:rPr>
          <w:sz w:val="20"/>
          <w:szCs w:val="20"/>
          <w:color w:val="auto"/>
        </w:rPr>
      </w:pPr>
    </w:p>
    <w:p>
      <w:pPr>
        <w:ind w:left="660" w:right="660"/>
        <w:spacing w:after="0" w:line="265" w:lineRule="auto"/>
        <w:rPr>
          <w:sz w:val="20"/>
          <w:szCs w:val="20"/>
          <w:color w:val="auto"/>
        </w:rPr>
      </w:pPr>
      <w:r>
        <w:rPr>
          <w:rFonts w:ascii="Arial" w:cs="Arial" w:eastAsia="Arial" w:hAnsi="Arial"/>
          <w:sz w:val="16"/>
          <w:szCs w:val="16"/>
          <w:i w:val="1"/>
          <w:iCs w:val="1"/>
          <w:color w:val="auto"/>
        </w:rPr>
        <w:t>The following report of the Audit Committee of the Company shall not be deemed to be “soliciting material” or to be “filed” with the Securities and Exchange Commission, nor shall this report be incorporated by reference into any filing made by the Company under the Securities Act or the Exchange Act.</w:t>
      </w:r>
    </w:p>
    <w:p>
      <w:pPr>
        <w:spacing w:after="0" w:line="64" w:lineRule="exact"/>
        <w:rPr>
          <w:sz w:val="20"/>
          <w:szCs w:val="20"/>
          <w:color w:val="auto"/>
        </w:rPr>
      </w:pPr>
    </w:p>
    <w:p>
      <w:pPr>
        <w:ind w:left="660" w:right="960"/>
        <w:spacing w:after="0" w:line="266" w:lineRule="auto"/>
        <w:rPr>
          <w:sz w:val="20"/>
          <w:szCs w:val="20"/>
          <w:color w:val="auto"/>
        </w:rPr>
      </w:pPr>
      <w:r>
        <w:rPr>
          <w:rFonts w:ascii="Arial" w:cs="Arial" w:eastAsia="Arial" w:hAnsi="Arial"/>
          <w:sz w:val="16"/>
          <w:szCs w:val="16"/>
          <w:color w:val="auto"/>
        </w:rPr>
        <w:t>The Audit Committee is operated under a charter that specifies the scope of the committee’s responsibilities. The charter, which is reviewed annually and available on the Company’s website at www.apacorp.com, was last amended and restated effective May 22, 2025.</w:t>
      </w:r>
    </w:p>
    <w:p>
      <w:pPr>
        <w:spacing w:after="0" w:line="63" w:lineRule="exact"/>
        <w:rPr>
          <w:sz w:val="20"/>
          <w:szCs w:val="20"/>
          <w:color w:val="auto"/>
        </w:rPr>
      </w:pPr>
    </w:p>
    <w:p>
      <w:pPr>
        <w:jc w:val="both"/>
        <w:ind w:left="660" w:right="740"/>
        <w:spacing w:after="0" w:line="266" w:lineRule="auto"/>
        <w:rPr>
          <w:sz w:val="20"/>
          <w:szCs w:val="20"/>
          <w:color w:val="auto"/>
        </w:rPr>
      </w:pPr>
      <w:r>
        <w:rPr>
          <w:rFonts w:ascii="Arial" w:cs="Arial" w:eastAsia="Arial" w:hAnsi="Arial"/>
          <w:sz w:val="16"/>
          <w:szCs w:val="16"/>
          <w:color w:val="auto"/>
        </w:rPr>
        <w:t>The Board has determined that all members of the committee are independent based upon the standards adopted by the Board, which incorporate the independence requirements under applicable laws, rules, and regulations, including the listing standards of the Nasdaq Stock Market and Rule 10A-3 of the Exchange Act.</w:t>
      </w:r>
    </w:p>
    <w:p>
      <w:pPr>
        <w:spacing w:after="0" w:line="63" w:lineRule="exact"/>
        <w:rPr>
          <w:sz w:val="20"/>
          <w:szCs w:val="20"/>
          <w:color w:val="auto"/>
        </w:rPr>
      </w:pPr>
    </w:p>
    <w:p>
      <w:pPr>
        <w:ind w:left="660" w:right="760"/>
        <w:spacing w:after="0" w:line="256" w:lineRule="auto"/>
        <w:rPr>
          <w:sz w:val="20"/>
          <w:szCs w:val="20"/>
          <w:color w:val="auto"/>
        </w:rPr>
      </w:pPr>
      <w:r>
        <w:rPr>
          <w:rFonts w:ascii="Arial" w:cs="Arial" w:eastAsia="Arial" w:hAnsi="Arial"/>
          <w:sz w:val="16"/>
          <w:szCs w:val="16"/>
          <w:color w:val="auto"/>
        </w:rPr>
        <w:t>The Company’s management has the primary responsibility for preparing the Company’s financial statements, managing the accounting and financial reporting processes, devising and maintaining the systems of internal controls over financial reporting, and assessing the effectiveness of internal controls over financial reporting. Ernst &amp; Young LLP, the Company’s independent auditor, is responsible for the integrated audit of the consolidated financial statements and auditing the Company’s internal controls over financial reporting. The committee’s responsibility is to monitor and oversee these processes and procedures on behalf of the Board.</w:t>
      </w:r>
    </w:p>
    <w:p>
      <w:pPr>
        <w:spacing w:after="0" w:line="72" w:lineRule="exact"/>
        <w:rPr>
          <w:sz w:val="20"/>
          <w:szCs w:val="20"/>
          <w:color w:val="auto"/>
        </w:rPr>
      </w:pPr>
    </w:p>
    <w:p>
      <w:pPr>
        <w:ind w:left="660" w:right="660"/>
        <w:spacing w:after="0" w:line="253" w:lineRule="auto"/>
        <w:rPr>
          <w:sz w:val="20"/>
          <w:szCs w:val="20"/>
          <w:color w:val="auto"/>
        </w:rPr>
      </w:pPr>
      <w:r>
        <w:rPr>
          <w:rFonts w:ascii="Arial" w:cs="Arial" w:eastAsia="Arial" w:hAnsi="Arial"/>
          <w:sz w:val="16"/>
          <w:szCs w:val="16"/>
          <w:color w:val="auto"/>
        </w:rPr>
        <w:t>The Audit Committee held eight meetings during fiscal year 2025. The meetings of the Audit Committee are designed to facilitate and encourage communication among the Audit Committee, the Company, the Company’s internal audit function, and the Company’s independent auditor. Meeting agendas are set based upon the Audit Committee charter and also include suggested topics from committee members and/or other relevant topics. At four of the Audit Committee meetings held during 2025, the committee met with the internal auditors and the independent auditor, without management present, to discuss the results of their examinations, their evaluations of the Company’s internal controls, including internal controls over financial reporting, and the overall quality of the Company’s financial reporting.</w:t>
      </w:r>
    </w:p>
    <w:p>
      <w:pPr>
        <w:spacing w:after="0" w:line="73" w:lineRule="exact"/>
        <w:rPr>
          <w:sz w:val="20"/>
          <w:szCs w:val="20"/>
          <w:color w:val="auto"/>
        </w:rPr>
      </w:pPr>
    </w:p>
    <w:p>
      <w:pPr>
        <w:ind w:left="660" w:right="680"/>
        <w:spacing w:after="0" w:line="259" w:lineRule="auto"/>
        <w:rPr>
          <w:sz w:val="20"/>
          <w:szCs w:val="20"/>
          <w:color w:val="auto"/>
        </w:rPr>
      </w:pPr>
      <w:r>
        <w:rPr>
          <w:rFonts w:ascii="Arial" w:cs="Arial" w:eastAsia="Arial" w:hAnsi="Arial"/>
          <w:sz w:val="16"/>
          <w:szCs w:val="16"/>
          <w:color w:val="auto"/>
        </w:rPr>
        <w:t>The committee is responsible for oversight of the qualifications, performance, and independence of the Company’s independent auditor and annually determines whether to retain the Company’s current independent auditor. To ensure continuing auditor independence, the committee also considers whether there should be regular rotation of the independent auditor, which includes consideration of the advisability and potential impact of selecting a different independent auditor.</w:t>
      </w:r>
    </w:p>
    <w:p>
      <w:pPr>
        <w:spacing w:after="0" w:line="70" w:lineRule="exact"/>
        <w:rPr>
          <w:sz w:val="20"/>
          <w:szCs w:val="20"/>
          <w:color w:val="auto"/>
        </w:rPr>
      </w:pPr>
    </w:p>
    <w:p>
      <w:pPr>
        <w:ind w:left="660" w:right="760"/>
        <w:spacing w:after="0" w:line="256" w:lineRule="auto"/>
        <w:rPr>
          <w:sz w:val="20"/>
          <w:szCs w:val="20"/>
          <w:color w:val="auto"/>
        </w:rPr>
      </w:pPr>
      <w:r>
        <w:rPr>
          <w:rFonts w:ascii="Arial" w:cs="Arial" w:eastAsia="Arial" w:hAnsi="Arial"/>
          <w:sz w:val="16"/>
          <w:szCs w:val="16"/>
          <w:color w:val="auto"/>
        </w:rPr>
        <w:t>In its determination to retain the current independent auditor in 2025, the Audit Committee took into consideration a number of factors, including the historical and recent performance of the independent auditor and lead partner, its global capabilities, its knowledge of the Company’s operations and industry, external data relating to audit quality and performance, including recent Public Company Accounting Oversight Board (United States) (PCAOB) reports, and independence. The Audit Committee recognizes the importance of maintaining the independence of the Company’s independent auditor in both fact and appearance.</w:t>
      </w:r>
    </w:p>
    <w:p>
      <w:pPr>
        <w:spacing w:after="0" w:line="72" w:lineRule="exact"/>
        <w:rPr>
          <w:sz w:val="20"/>
          <w:szCs w:val="20"/>
          <w:color w:val="auto"/>
        </w:rPr>
      </w:pPr>
    </w:p>
    <w:p>
      <w:pPr>
        <w:ind w:left="660" w:right="760"/>
        <w:spacing w:after="0" w:line="251" w:lineRule="auto"/>
        <w:rPr>
          <w:sz w:val="20"/>
          <w:szCs w:val="20"/>
          <w:color w:val="auto"/>
        </w:rPr>
      </w:pPr>
      <w:r>
        <w:rPr>
          <w:rFonts w:ascii="Arial" w:cs="Arial" w:eastAsia="Arial" w:hAnsi="Arial"/>
          <w:sz w:val="16"/>
          <w:szCs w:val="16"/>
          <w:color w:val="auto"/>
        </w:rPr>
        <w:t xml:space="preserve">The Audit Committee discussed with the Company’s internal auditors and the independent auditor the overall scope and plans for their respective audits. In addition, the Audit Committee reviewed with the independent auditor, which is responsible for expressing an opinion on the conformity of the Company’s audited consolidated financial statements with U.S. generally accepted accounting principles, its judgments as to the quality, not just the acceptability, of the Company’s accounting principles and such other matters as are required to be discussed with the Audit Committee by the standards of the PCAOB, including PCAOB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the rules of the Securities and Exchange Commission, and other applicable regulations.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 the Audit Committee has discussed with the independent auditor the firm’s independence from Company management and the Company, including the matters in the letter from the firm required by PCAOB Rule 3526,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w:t>
      </w:r>
      <w:r>
        <w:rPr>
          <w:rFonts w:ascii="Arial" w:cs="Arial" w:eastAsia="Arial" w:hAnsi="Arial"/>
          <w:sz w:val="16"/>
          <w:szCs w:val="16"/>
          <w:i w:val="1"/>
          <w:iCs w:val="1"/>
          <w:color w:val="auto"/>
        </w:rPr>
        <w:t>Concerning Independence</w:t>
      </w:r>
      <w:r>
        <w:rPr>
          <w:rFonts w:ascii="Arial" w:cs="Arial" w:eastAsia="Arial" w:hAnsi="Arial"/>
          <w:sz w:val="16"/>
          <w:szCs w:val="16"/>
          <w:color w:val="auto"/>
        </w:rPr>
        <w:t>, and considered the compatibility of non-audit services with the independent auditor’s independence.</w:t>
      </w:r>
    </w:p>
    <w:p>
      <w:pPr>
        <w:spacing w:after="0" w:line="77" w:lineRule="exact"/>
        <w:rPr>
          <w:sz w:val="20"/>
          <w:szCs w:val="20"/>
          <w:color w:val="auto"/>
        </w:rPr>
      </w:pPr>
    </w:p>
    <w:p>
      <w:pPr>
        <w:ind w:left="660" w:right="660"/>
        <w:spacing w:after="0" w:line="256" w:lineRule="auto"/>
        <w:rPr>
          <w:sz w:val="20"/>
          <w:szCs w:val="20"/>
          <w:color w:val="auto"/>
        </w:rPr>
      </w:pPr>
      <w:r>
        <w:rPr>
          <w:rFonts w:ascii="Arial" w:cs="Arial" w:eastAsia="Arial" w:hAnsi="Arial"/>
          <w:sz w:val="16"/>
          <w:szCs w:val="16"/>
          <w:color w:val="auto"/>
        </w:rPr>
        <w:t>The Audit Committee also reviewed and discussed with management, the internal auditors, and the independent auditor the Company’s audited consolidated financial statements included in the Company’s Annual Report on Form 10-K for the fiscal year ended December 31, 2025, including the clarity of disclosures in the financial statements, the results of management’s assessment of the effectiveness of the Company’s internal controls over financial reporting, and the internal and independent auditors’ audits of the Company’s internal controls over financial reporting.</w:t>
      </w:r>
    </w:p>
    <w:p>
      <w:pPr>
        <w:spacing w:after="0" w:line="72" w:lineRule="exact"/>
        <w:rPr>
          <w:sz w:val="20"/>
          <w:szCs w:val="20"/>
          <w:color w:val="auto"/>
        </w:rPr>
      </w:pPr>
    </w:p>
    <w:p>
      <w:pPr>
        <w:ind w:left="660" w:right="860"/>
        <w:spacing w:after="0" w:line="266"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that the audited consolidated financial statements be included in the Annual Report on Form 10-K for the year ended December 31, 2025, filed by the Company with the Securities and Exchange Commission.</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Members of the Audit Committee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Kenneth M. Fisher, Chair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Chansoo Joung</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Matthew R. Bob</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Peter A. Ragauss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Anya Weaving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47</w:t>
            </w:r>
          </w:p>
        </w:tc>
      </w:tr>
      <w:tr>
        <w:trPr>
          <w:trHeight w:val="879"/>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04" w:right="439" w:bottom="1440" w:gutter="0" w:footer="0" w:header="0"/>
        </w:sectPr>
      </w:pPr>
    </w:p>
    <w:bookmarkStart w:id="53" w:name="page54"/>
    <w:bookmarkEnd w:id="53"/>
    <w:p>
      <w:pPr>
        <w:spacing w:after="0"/>
        <w:rPr>
          <w:sz w:val="20"/>
          <w:szCs w:val="20"/>
          <w:color w:val="auto"/>
        </w:rPr>
      </w:pPr>
      <w:r>
        <w:rPr>
          <w:rFonts w:ascii="Arial" w:cs="Arial" w:eastAsia="Arial" w:hAnsi="Arial"/>
          <w:sz w:val="31"/>
          <w:szCs w:val="31"/>
          <w:b w:val="1"/>
          <w:bCs w:val="1"/>
          <w:color w:val="D9AB28"/>
        </w:rPr>
        <w:t xml:space="preserve">PROPOSAL 3: </w:t>
      </w:r>
      <w:r>
        <w:rPr>
          <w:rFonts w:ascii="Arial" w:cs="Arial" w:eastAsia="Arial" w:hAnsi="Arial"/>
          <w:sz w:val="31"/>
          <w:szCs w:val="31"/>
          <w:b w:val="1"/>
          <w:bCs w:val="1"/>
          <w:color w:val="000000"/>
        </w:rPr>
        <w:t>ADVISORY VOTE ON NEO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General Information</w:t>
      </w:r>
    </w:p>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is asking its shareholders to cast an advisory vote to approve the compensation of the Company’s NEOs as disclosed in this proxy statement. This proposal, commonly known as “say-on-pay,” gives our shareholders the opportunity to express their views on the design and effectiveness of our executive compensation programs.</w:t>
      </w:r>
    </w:p>
    <w:p>
      <w:pPr>
        <w:spacing w:after="0" w:line="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Say-on-Pay</w:t>
      </w:r>
    </w:p>
    <w:p>
      <w:pPr>
        <w:spacing w:after="0" w:line="24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As described in detail in the section of this proxy statement titled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our executive compensation programs are designed to attract, motivate, and retain our executive officers (including our NEOs), who are critical to our success. Under these programs, our NEOs are rewarded for the achievement of specific annual, long-term, and strategic goals, corporate goals, and the realization of increased shareholder value. Please read the section of this proxy statement titled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w:t>
      </w:r>
      <w:r>
        <w:rPr>
          <w:rFonts w:ascii="Arial" w:cs="Arial" w:eastAsia="Arial" w:hAnsi="Arial"/>
          <w:sz w:val="16"/>
          <w:szCs w:val="16"/>
          <w:color w:val="auto"/>
        </w:rPr>
        <w:t>, and the compensation tables that follow it, for additional details about our executive compensation programs. We also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encourage you to review the section of this proxy statement titled </w:t>
      </w:r>
      <w:r>
        <w:rPr>
          <w:rFonts w:ascii="Arial" w:cs="Arial" w:eastAsia="Arial" w:hAnsi="Arial"/>
          <w:sz w:val="16"/>
          <w:szCs w:val="16"/>
          <w:i w:val="1"/>
          <w:iCs w:val="1"/>
          <w:color w:val="auto"/>
        </w:rPr>
        <w:t>Shareholder Engagement Program and Feedback</w:t>
      </w:r>
      <w:r>
        <w:rPr>
          <w:rFonts w:ascii="Arial" w:cs="Arial" w:eastAsia="Arial" w:hAnsi="Arial"/>
          <w:sz w:val="16"/>
          <w:szCs w:val="16"/>
          <w:color w:val="auto"/>
        </w:rPr>
        <w:t xml:space="preserve"> for details about our year-round shareholder engagement program, which includes soliciting feedback on our compensation programs.</w:t>
      </w:r>
    </w:p>
    <w:p>
      <w:pPr>
        <w:spacing w:after="0" w:line="7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Board and the MD&amp;C Committee considered the results of the most recent shareholder vote in setting compensation policies and making compensation decisions in the fiscal year that followed.</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are asking our shareholders to indicate their support for the compensation of our NEOs as described in this proxy statement. This vote is not intended to address any specific item of compensation, but rather the overall compensation of our NEOs and the compensation philosophy, policies, and practices described in this proxy statement. Accordingly, we ask our shareholders to vote FOR 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51435</wp:posOffset>
            </wp:positionV>
            <wp:extent cx="5619115" cy="3295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619115" cy="329565"/>
                    </a:xfrm>
                    <a:prstGeom prst="rect">
                      <a:avLst/>
                    </a:prstGeom>
                    <a:noFill/>
                  </pic:spPr>
                </pic:pic>
              </a:graphicData>
            </a:graphic>
          </wp:anchor>
        </w:drawing>
      </w:r>
    </w:p>
    <w:p>
      <w:pPr>
        <w:spacing w:after="0" w:line="117" w:lineRule="exact"/>
        <w:rPr>
          <w:sz w:val="20"/>
          <w:szCs w:val="20"/>
          <w:color w:val="auto"/>
        </w:rPr>
      </w:pPr>
    </w:p>
    <w:p>
      <w:pPr>
        <w:ind w:left="540" w:right="500"/>
        <w:spacing w:after="0" w:line="28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NEOs, as disclosed in this proxy statement, including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Discussion and Analysis</w:t>
      </w:r>
      <w:r>
        <w:rPr>
          <w:rFonts w:ascii="Arial" w:cs="Arial" w:eastAsia="Arial" w:hAnsi="Arial"/>
          <w:sz w:val="16"/>
          <w:szCs w:val="16"/>
          <w:color w:val="auto"/>
        </w:rPr>
        <w:t>, the compensation tables, and the narrative discussion, is hereby approved.</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Effect of Your Vote</w:t>
      </w:r>
    </w:p>
    <w:p>
      <w:pPr>
        <w:spacing w:after="0" w:line="240"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say-on-pay vote is advisory and, therefore, not binding on the Company, the MD&amp;C Committee, or our Board. Our Board and our MD&amp;C Committee value the opinions of our shareholders, and to the extent there is a significant vote against the compensation paid to our NEOs, as disclosed in this proxy statement, we will consider our shareholders’ concerns and will evaluate what, if any, further actions are necessary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6172200" cy="291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72200" cy="291465"/>
                    </a:xfrm>
                    <a:prstGeom prst="rect">
                      <a:avLst/>
                    </a:prstGeom>
                    <a:noFill/>
                  </pic:spPr>
                </pic:pic>
              </a:graphicData>
            </a:graphic>
          </wp:anchor>
        </w:drawing>
      </w:r>
    </w:p>
    <w:p>
      <w:pPr>
        <w:spacing w:after="0" w:line="90" w:lineRule="exact"/>
        <w:rPr>
          <w:sz w:val="20"/>
          <w:szCs w:val="20"/>
          <w:color w:val="auto"/>
        </w:rPr>
      </w:pPr>
    </w:p>
    <w:p>
      <w:pPr>
        <w:ind w:left="640" w:right="500"/>
        <w:spacing w:after="0" w:line="296" w:lineRule="auto"/>
        <w:rPr>
          <w:sz w:val="20"/>
          <w:szCs w:val="20"/>
          <w:color w:val="auto"/>
        </w:rPr>
      </w:pPr>
      <w:r>
        <w:rPr>
          <w:rFonts w:ascii="Arial" w:cs="Arial" w:eastAsia="Arial" w:hAnsi="Arial"/>
          <w:sz w:val="16"/>
          <w:szCs w:val="16"/>
          <w:b w:val="1"/>
          <w:bCs w:val="1"/>
          <w:color w:val="EBF0ED"/>
        </w:rPr>
        <w:t>The Board recommends that you vote FOR the approval of our NEOs’ compensation, as disclosed in this proxy statement pursuant.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48</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13" w:right="1119" w:bottom="1440" w:gutter="0" w:footer="0" w:header="0"/>
        </w:sectPr>
      </w:pPr>
    </w:p>
    <w:bookmarkStart w:id="54" w:name="page55"/>
    <w:bookmarkEnd w:id="54"/>
    <w:p>
      <w:pPr>
        <w:ind w:left="660"/>
        <w:spacing w:after="0"/>
        <w:rPr>
          <w:sz w:val="20"/>
          <w:szCs w:val="20"/>
          <w:color w:val="auto"/>
        </w:rPr>
      </w:pPr>
      <w:r>
        <w:rPr>
          <w:rFonts w:ascii="Arial" w:cs="Arial" w:eastAsia="Arial" w:hAnsi="Arial"/>
          <w:sz w:val="31"/>
          <w:szCs w:val="31"/>
          <w:b w:val="1"/>
          <w:bCs w:val="1"/>
          <w:color w:val="D9AB28"/>
        </w:rPr>
        <w:t xml:space="preserve">PROPOSAL 4: </w:t>
      </w:r>
      <w:r>
        <w:rPr>
          <w:rFonts w:ascii="Arial" w:cs="Arial" w:eastAsia="Arial" w:hAnsi="Arial"/>
          <w:sz w:val="31"/>
          <w:szCs w:val="31"/>
          <w:b w:val="1"/>
          <w:bCs w:val="1"/>
          <w:color w:val="000000"/>
        </w:rPr>
        <w:t>APPROVAL OF AMENDMENT TO 2016 PLAN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General Information</w:t>
      </w:r>
    </w:p>
    <w:p>
      <w:pPr>
        <w:spacing w:after="0" w:line="240" w:lineRule="exact"/>
        <w:rPr>
          <w:sz w:val="20"/>
          <w:szCs w:val="20"/>
          <w:color w:val="auto"/>
        </w:rPr>
      </w:pPr>
    </w:p>
    <w:p>
      <w:pPr>
        <w:ind w:left="660" w:right="840"/>
        <w:spacing w:after="0" w:line="286" w:lineRule="auto"/>
        <w:rPr>
          <w:sz w:val="20"/>
          <w:szCs w:val="20"/>
          <w:color w:val="auto"/>
        </w:rPr>
      </w:pPr>
      <w:r>
        <w:rPr>
          <w:rFonts w:ascii="Arial" w:cs="Arial" w:eastAsia="Arial" w:hAnsi="Arial"/>
          <w:sz w:val="16"/>
          <w:szCs w:val="16"/>
          <w:color w:val="auto"/>
        </w:rPr>
        <w:t>The Board is asking shareholders to approve an amendment (the Amendment) to the APA Corporation 2016 Omnibus Compensation Plan, as amended (the 2016 Plan), to:</w:t>
      </w:r>
    </w:p>
    <w:p>
      <w:pPr>
        <w:spacing w:after="0" w:line="166" w:lineRule="exact"/>
        <w:rPr>
          <w:sz w:val="20"/>
          <w:szCs w:val="20"/>
          <w:color w:val="auto"/>
        </w:rPr>
      </w:pPr>
    </w:p>
    <w:p>
      <w:pPr>
        <w:ind w:left="1140" w:hanging="243"/>
        <w:spacing w:after="0"/>
        <w:tabs>
          <w:tab w:leader="none" w:pos="1140" w:val="left"/>
        </w:tabs>
        <w:numPr>
          <w:ilvl w:val="0"/>
          <w:numId w:val="122"/>
        </w:numPr>
        <w:rPr>
          <w:rFonts w:ascii="Times New Roman" w:cs="Times New Roman" w:eastAsia="Times New Roman" w:hAnsi="Times New Roman"/>
          <w:sz w:val="22"/>
          <w:szCs w:val="22"/>
          <w:color w:val="D9AB26"/>
        </w:rPr>
      </w:pPr>
      <w:r>
        <w:rPr>
          <w:rFonts w:ascii="Arial" w:cs="Arial" w:eastAsia="Arial" w:hAnsi="Arial"/>
          <w:sz w:val="16"/>
          <w:szCs w:val="16"/>
          <w:b w:val="1"/>
          <w:bCs w:val="1"/>
          <w:color w:val="auto"/>
        </w:rPr>
        <w:t xml:space="preserve">Extend the term </w:t>
      </w:r>
      <w:r>
        <w:rPr>
          <w:rFonts w:ascii="Arial" w:cs="Arial" w:eastAsia="Arial" w:hAnsi="Arial"/>
          <w:sz w:val="16"/>
          <w:szCs w:val="16"/>
          <w:color w:val="auto"/>
        </w:rPr>
        <w:t>of the 2016 Plan by ten (10) years, through May 21, 2036; and</w:t>
      </w:r>
    </w:p>
    <w:p>
      <w:pPr>
        <w:spacing w:after="0" w:line="128" w:lineRule="exact"/>
        <w:rPr>
          <w:rFonts w:ascii="Times New Roman" w:cs="Times New Roman" w:eastAsia="Times New Roman" w:hAnsi="Times New Roman"/>
          <w:sz w:val="22"/>
          <w:szCs w:val="22"/>
          <w:color w:val="D9AB26"/>
        </w:rPr>
      </w:pPr>
    </w:p>
    <w:p>
      <w:pPr>
        <w:ind w:left="1140" w:right="1000" w:hanging="243"/>
        <w:spacing w:after="0" w:line="221" w:lineRule="auto"/>
        <w:tabs>
          <w:tab w:leader="none" w:pos="1140" w:val="left"/>
        </w:tabs>
        <w:numPr>
          <w:ilvl w:val="0"/>
          <w:numId w:val="122"/>
        </w:numPr>
        <w:rPr>
          <w:rFonts w:ascii="Times New Roman" w:cs="Times New Roman" w:eastAsia="Times New Roman" w:hAnsi="Times New Roman"/>
          <w:sz w:val="22"/>
          <w:szCs w:val="22"/>
          <w:color w:val="D9AB26"/>
        </w:rPr>
      </w:pPr>
      <w:r>
        <w:rPr>
          <w:rFonts w:ascii="Arial" w:cs="Arial" w:eastAsia="Arial" w:hAnsi="Arial"/>
          <w:sz w:val="16"/>
          <w:szCs w:val="16"/>
          <w:b w:val="1"/>
          <w:bCs w:val="1"/>
          <w:color w:val="auto"/>
        </w:rPr>
        <w:t xml:space="preserve">Increase the number of shares </w:t>
      </w:r>
      <w:r>
        <w:rPr>
          <w:rFonts w:ascii="Arial" w:cs="Arial" w:eastAsia="Arial" w:hAnsi="Arial"/>
          <w:sz w:val="16"/>
          <w:szCs w:val="16"/>
          <w:color w:val="auto"/>
        </w:rPr>
        <w:t>of APA common stock, par value $0.625 per share, authorized for issuance under the 2016</w:t>
      </w:r>
      <w:r>
        <w:rPr>
          <w:rFonts w:ascii="Arial" w:cs="Arial" w:eastAsia="Arial" w:hAnsi="Arial"/>
          <w:sz w:val="16"/>
          <w:szCs w:val="16"/>
          <w:b w:val="1"/>
          <w:bCs w:val="1"/>
          <w:color w:val="auto"/>
        </w:rPr>
        <w:t xml:space="preserve"> </w:t>
      </w:r>
      <w:r>
        <w:rPr>
          <w:rFonts w:ascii="Arial" w:cs="Arial" w:eastAsia="Arial" w:hAnsi="Arial"/>
          <w:sz w:val="16"/>
          <w:szCs w:val="16"/>
          <w:color w:val="auto"/>
        </w:rPr>
        <w:t>Plan by 24,160,000 shares.</w:t>
      </w:r>
    </w:p>
    <w:p>
      <w:pPr>
        <w:spacing w:after="0" w:line="192" w:lineRule="exact"/>
        <w:rPr>
          <w:sz w:val="20"/>
          <w:szCs w:val="20"/>
          <w:color w:val="auto"/>
        </w:rPr>
      </w:pPr>
    </w:p>
    <w:p>
      <w:pPr>
        <w:ind w:left="660" w:right="700"/>
        <w:spacing w:after="0" w:line="254" w:lineRule="auto"/>
        <w:rPr>
          <w:sz w:val="20"/>
          <w:szCs w:val="20"/>
          <w:color w:val="auto"/>
        </w:rPr>
      </w:pPr>
      <w:r>
        <w:rPr>
          <w:rFonts w:ascii="Arial" w:cs="Arial" w:eastAsia="Arial" w:hAnsi="Arial"/>
          <w:sz w:val="16"/>
          <w:szCs w:val="16"/>
          <w:color w:val="auto"/>
        </w:rPr>
        <w:t>The 2016 Plan was adopted by the Board on February 3, 2016, and was approved by our shareholders and effective on May 12, 2016. The 2016 Plan is the only shareholder-approved plan under which equity-based incentive awards are currently granted to the Company’s employees and non-employee directors. The Amendment was adopted by the Board on March 12, 2026. Shareholder approval of the Amendment is required under Nasdaq rules, and, therefore, it is now being submitted to our shareholders for approval at the annual meeting. The Amendment will become effective upon such approval. Other than the extension of the term and increase in the share reserve, no other substantive changes are being made by the Amendment to the 2016 Plan.</w:t>
      </w:r>
    </w:p>
    <w:p>
      <w:pPr>
        <w:spacing w:after="0" w:line="182" w:lineRule="exact"/>
        <w:rPr>
          <w:sz w:val="20"/>
          <w:szCs w:val="20"/>
          <w:color w:val="auto"/>
        </w:rPr>
      </w:pPr>
    </w:p>
    <w:p>
      <w:pPr>
        <w:ind w:left="660" w:right="660"/>
        <w:spacing w:after="0" w:line="259" w:lineRule="auto"/>
        <w:rPr>
          <w:sz w:val="20"/>
          <w:szCs w:val="20"/>
          <w:color w:val="auto"/>
        </w:rPr>
      </w:pPr>
      <w:r>
        <w:rPr>
          <w:rFonts w:ascii="Arial" w:cs="Arial" w:eastAsia="Arial" w:hAnsi="Arial"/>
          <w:sz w:val="16"/>
          <w:szCs w:val="16"/>
          <w:color w:val="auto"/>
        </w:rPr>
        <w:t xml:space="preserve">The above summary does not purport to be a complete description of the Amendment and is qualified in its entirety by the full text of the Amendment, which is attached to this proxy statement as </w:t>
      </w:r>
      <w:r>
        <w:rPr>
          <w:rFonts w:ascii="Arial" w:cs="Arial" w:eastAsia="Arial" w:hAnsi="Arial"/>
          <w:sz w:val="16"/>
          <w:szCs w:val="16"/>
          <w:u w:val="single" w:color="auto"/>
          <w:color w:val="auto"/>
        </w:rPr>
        <w:t>Exhibit A</w:t>
      </w:r>
      <w:r>
        <w:rPr>
          <w:rFonts w:ascii="Arial" w:cs="Arial" w:eastAsia="Arial" w:hAnsi="Arial"/>
          <w:sz w:val="16"/>
          <w:szCs w:val="16"/>
          <w:color w:val="auto"/>
        </w:rPr>
        <w:t>, and by the 2016 Plan, which is included as Exhibit 10.1 to the Current Report on Form 8-K filed by the Company’s predecessor registrant, Apache Corporation, on May 16, 2016 (SEC File Number 001-04300), as amended.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Rationale for the Amendment</w:t>
      </w:r>
    </w:p>
    <w:p>
      <w:pPr>
        <w:spacing w:after="0" w:line="240" w:lineRule="exact"/>
        <w:rPr>
          <w:sz w:val="20"/>
          <w:szCs w:val="20"/>
          <w:color w:val="auto"/>
        </w:rPr>
      </w:pPr>
    </w:p>
    <w:p>
      <w:pPr>
        <w:ind w:left="660" w:right="820"/>
        <w:spacing w:after="0" w:line="266" w:lineRule="auto"/>
        <w:rPr>
          <w:sz w:val="20"/>
          <w:szCs w:val="20"/>
          <w:color w:val="auto"/>
        </w:rPr>
      </w:pPr>
      <w:r>
        <w:rPr>
          <w:rFonts w:ascii="Arial" w:cs="Arial" w:eastAsia="Arial" w:hAnsi="Arial"/>
          <w:sz w:val="16"/>
          <w:szCs w:val="16"/>
          <w:color w:val="auto"/>
        </w:rPr>
        <w:t>The 2016 Plan is a key component of the Company’s compensation program. Equity-based awards are issued to officers, employees, and non-employee directors, promoting alignment with our shareholders, supporting retention of critical talent, and encouraging sustained value creation.</w:t>
      </w:r>
    </w:p>
    <w:p>
      <w:pPr>
        <w:spacing w:after="0" w:line="212" w:lineRule="exact"/>
        <w:rPr>
          <w:sz w:val="20"/>
          <w:szCs w:val="20"/>
          <w:color w:val="auto"/>
        </w:rPr>
      </w:pPr>
    </w:p>
    <w:p>
      <w:pPr>
        <w:ind w:left="1140" w:right="840" w:hanging="243"/>
        <w:spacing w:after="0" w:line="221" w:lineRule="auto"/>
        <w:tabs>
          <w:tab w:leader="none" w:pos="1140" w:val="left"/>
        </w:tabs>
        <w:numPr>
          <w:ilvl w:val="0"/>
          <w:numId w:val="123"/>
        </w:numPr>
        <w:rPr>
          <w:rFonts w:ascii="Times New Roman" w:cs="Times New Roman" w:eastAsia="Times New Roman" w:hAnsi="Times New Roman"/>
          <w:sz w:val="22"/>
          <w:szCs w:val="22"/>
          <w:color w:val="D9AB26"/>
        </w:rPr>
      </w:pPr>
      <w:r>
        <w:rPr>
          <w:rFonts w:ascii="Arial" w:cs="Arial" w:eastAsia="Arial" w:hAnsi="Arial"/>
          <w:sz w:val="16"/>
          <w:szCs w:val="16"/>
          <w:b w:val="1"/>
          <w:bCs w:val="1"/>
          <w:color w:val="auto"/>
        </w:rPr>
        <w:t xml:space="preserve">Term Extension: </w:t>
      </w:r>
      <w:r>
        <w:rPr>
          <w:rFonts w:ascii="Arial" w:cs="Arial" w:eastAsia="Arial" w:hAnsi="Arial"/>
          <w:sz w:val="16"/>
          <w:szCs w:val="16"/>
          <w:color w:val="auto"/>
        </w:rPr>
        <w:t>The 2016 Plan is scheduled to expire in May 2026, after which no new awards may be granted thereunder.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Extending the 2016 Plan ensures continuity in the Company’s compensation program without requiring adoption of a new plan.</w:t>
      </w:r>
    </w:p>
    <w:p>
      <w:pPr>
        <w:spacing w:after="0" w:line="124" w:lineRule="exact"/>
        <w:rPr>
          <w:rFonts w:ascii="Times New Roman" w:cs="Times New Roman" w:eastAsia="Times New Roman" w:hAnsi="Times New Roman"/>
          <w:sz w:val="22"/>
          <w:szCs w:val="22"/>
          <w:color w:val="D9AB26"/>
        </w:rPr>
      </w:pPr>
    </w:p>
    <w:p>
      <w:pPr>
        <w:ind w:left="1140" w:right="840" w:hanging="243"/>
        <w:spacing w:after="0" w:line="221" w:lineRule="auto"/>
        <w:tabs>
          <w:tab w:leader="none" w:pos="1140" w:val="left"/>
        </w:tabs>
        <w:numPr>
          <w:ilvl w:val="0"/>
          <w:numId w:val="123"/>
        </w:numPr>
        <w:rPr>
          <w:rFonts w:ascii="Times New Roman" w:cs="Times New Roman" w:eastAsia="Times New Roman" w:hAnsi="Times New Roman"/>
          <w:sz w:val="22"/>
          <w:szCs w:val="22"/>
          <w:color w:val="D9AB26"/>
        </w:rPr>
      </w:pPr>
      <w:r>
        <w:rPr>
          <w:rFonts w:ascii="Arial" w:cs="Arial" w:eastAsia="Arial" w:hAnsi="Arial"/>
          <w:sz w:val="16"/>
          <w:szCs w:val="16"/>
          <w:b w:val="1"/>
          <w:bCs w:val="1"/>
          <w:color w:val="auto"/>
        </w:rPr>
        <w:t xml:space="preserve">Share Increase: </w:t>
      </w:r>
      <w:r>
        <w:rPr>
          <w:rFonts w:ascii="Arial" w:cs="Arial" w:eastAsia="Arial" w:hAnsi="Arial"/>
          <w:sz w:val="16"/>
          <w:szCs w:val="16"/>
          <w:color w:val="auto"/>
        </w:rPr>
        <w:t>As of February 28, 2026, approximately 2,772,165 shares remained available for future grants. The proposed</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is intended to provide a sufficient pool of shares for future awards while maintaining prudent dilution levels.</w:t>
      </w:r>
    </w:p>
    <w:p>
      <w:pPr>
        <w:spacing w:after="0" w:line="192" w:lineRule="exact"/>
        <w:rPr>
          <w:sz w:val="20"/>
          <w:szCs w:val="20"/>
          <w:color w:val="auto"/>
        </w:rPr>
      </w:pPr>
    </w:p>
    <w:p>
      <w:pPr>
        <w:ind w:left="660" w:right="780"/>
        <w:spacing w:after="0" w:line="266" w:lineRule="auto"/>
        <w:rPr>
          <w:sz w:val="20"/>
          <w:szCs w:val="20"/>
          <w:color w:val="auto"/>
        </w:rPr>
      </w:pPr>
      <w:r>
        <w:rPr>
          <w:rFonts w:ascii="Arial" w:cs="Arial" w:eastAsia="Arial" w:hAnsi="Arial"/>
          <w:sz w:val="16"/>
          <w:szCs w:val="16"/>
          <w:color w:val="auto"/>
        </w:rPr>
        <w:t>The Board elected to amend the existing 2016 Plan, rather than adopt a new equity plan, to preserve continuity in award terms, maintain consistent governance protections, and avoid unnecessary administrative complexity, while continuing to require shareholder approval for plan changes when required by any state or federal law or regulation or Nasdaq rules.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Share Usage, Dilution, and Burn Rate</w:t>
      </w:r>
    </w:p>
    <w:p>
      <w:pPr>
        <w:spacing w:after="0" w:line="240" w:lineRule="exact"/>
        <w:rPr>
          <w:sz w:val="20"/>
          <w:szCs w:val="20"/>
          <w:color w:val="auto"/>
        </w:rPr>
      </w:pPr>
    </w:p>
    <w:p>
      <w:pPr>
        <w:ind w:left="660" w:right="680"/>
        <w:spacing w:after="0" w:line="266" w:lineRule="auto"/>
        <w:rPr>
          <w:sz w:val="20"/>
          <w:szCs w:val="20"/>
          <w:color w:val="auto"/>
        </w:rPr>
      </w:pPr>
      <w:r>
        <w:rPr>
          <w:rFonts w:ascii="Arial" w:cs="Arial" w:eastAsia="Arial" w:hAnsi="Arial"/>
          <w:sz w:val="16"/>
          <w:szCs w:val="16"/>
          <w:color w:val="auto"/>
        </w:rPr>
        <w:t>In evaluating the proposed share increase, the Board and the MD&amp;C Committee considered the factors that investors commonly review in assessing equity compensation plans, including total shareholder value transfer, historical and projected equity usage, and plan design features intended to protect shareholder interests. This includes:</w:t>
      </w:r>
    </w:p>
    <w:p>
      <w:pPr>
        <w:spacing w:after="0" w:line="181" w:lineRule="exact"/>
        <w:rPr>
          <w:sz w:val="20"/>
          <w:szCs w:val="20"/>
          <w:color w:val="auto"/>
        </w:rPr>
      </w:pPr>
    </w:p>
    <w:p>
      <w:pPr>
        <w:ind w:left="1140" w:hanging="243"/>
        <w:spacing w:after="0"/>
        <w:tabs>
          <w:tab w:leader="none" w:pos="1140" w:val="left"/>
        </w:tabs>
        <w:numPr>
          <w:ilvl w:val="0"/>
          <w:numId w:val="124"/>
        </w:numPr>
        <w:rPr>
          <w:rFonts w:ascii="Times New Roman" w:cs="Times New Roman" w:eastAsia="Times New Roman" w:hAnsi="Times New Roman"/>
          <w:sz w:val="22"/>
          <w:szCs w:val="22"/>
          <w:color w:val="D9AB26"/>
        </w:rPr>
      </w:pPr>
      <w:r>
        <w:rPr>
          <w:rFonts w:ascii="Arial" w:cs="Arial" w:eastAsia="Arial" w:hAnsi="Arial"/>
          <w:sz w:val="16"/>
          <w:szCs w:val="16"/>
          <w:b w:val="1"/>
          <w:bCs w:val="1"/>
          <w:color w:val="auto"/>
        </w:rPr>
        <w:t xml:space="preserve">Overhang </w:t>
      </w:r>
      <w:r>
        <w:rPr>
          <w:rFonts w:ascii="Arial" w:cs="Arial" w:eastAsia="Arial" w:hAnsi="Arial"/>
          <w:sz w:val="16"/>
          <w:szCs w:val="16"/>
          <w:color w:val="auto"/>
        </w:rPr>
        <w:t>for 2025 at approximately 2.55%</w:t>
      </w:r>
    </w:p>
    <w:p>
      <w:pPr>
        <w:spacing w:after="0" w:line="98" w:lineRule="exact"/>
        <w:rPr>
          <w:rFonts w:ascii="Times New Roman" w:cs="Times New Roman" w:eastAsia="Times New Roman" w:hAnsi="Times New Roman"/>
          <w:sz w:val="22"/>
          <w:szCs w:val="22"/>
          <w:color w:val="D9AB26"/>
        </w:rPr>
      </w:pPr>
    </w:p>
    <w:p>
      <w:pPr>
        <w:ind w:left="1140" w:hanging="243"/>
        <w:spacing w:after="0"/>
        <w:tabs>
          <w:tab w:leader="none" w:pos="1140" w:val="left"/>
        </w:tabs>
        <w:numPr>
          <w:ilvl w:val="0"/>
          <w:numId w:val="124"/>
        </w:numPr>
        <w:rPr>
          <w:rFonts w:ascii="Times New Roman" w:cs="Times New Roman" w:eastAsia="Times New Roman" w:hAnsi="Times New Roman"/>
          <w:sz w:val="22"/>
          <w:szCs w:val="22"/>
          <w:color w:val="D9AB26"/>
        </w:rPr>
      </w:pPr>
      <w:r>
        <w:rPr>
          <w:rFonts w:ascii="Arial" w:cs="Arial" w:eastAsia="Arial" w:hAnsi="Arial"/>
          <w:sz w:val="16"/>
          <w:szCs w:val="16"/>
          <w:b w:val="1"/>
          <w:bCs w:val="1"/>
          <w:color w:val="auto"/>
        </w:rPr>
        <w:t xml:space="preserve">Weighted average burn rate </w:t>
      </w:r>
      <w:r>
        <w:rPr>
          <w:rFonts w:ascii="Arial" w:cs="Arial" w:eastAsia="Arial" w:hAnsi="Arial"/>
          <w:sz w:val="16"/>
          <w:szCs w:val="16"/>
          <w:color w:val="auto"/>
        </w:rPr>
        <w:t>for fiscal years 2025, 2024, and 2023 at approximately 0.39%, 0.25%, and 0.21%, respectively</w:t>
      </w:r>
    </w:p>
    <w:p>
      <w:pPr>
        <w:spacing w:after="0" w:line="196" w:lineRule="exact"/>
        <w:rPr>
          <w:sz w:val="20"/>
          <w:szCs w:val="20"/>
          <w:color w:val="auto"/>
        </w:rPr>
      </w:pPr>
    </w:p>
    <w:p>
      <w:pPr>
        <w:ind w:left="660" w:right="740"/>
        <w:spacing w:after="0" w:line="254" w:lineRule="auto"/>
        <w:rPr>
          <w:sz w:val="20"/>
          <w:szCs w:val="20"/>
          <w:color w:val="auto"/>
        </w:rPr>
      </w:pPr>
      <w:r>
        <w:rPr>
          <w:rFonts w:ascii="Arial" w:cs="Arial" w:eastAsia="Arial" w:hAnsi="Arial"/>
          <w:sz w:val="16"/>
          <w:szCs w:val="16"/>
          <w:color w:val="auto"/>
        </w:rPr>
        <w:t>The Company believes that the proposed share increase is reasonable and consistent with market practice for companies of similar size and complexity. Additionally, based on the Company’s current capitalization and historical equity grant practices, the MD&amp;C Committee believes that the proposed share increase will result in total shareholder value transfer that is within the range considered acceptable by investors for companies of similar size and industry. Without giving effect to the shares remaining for issuance under the 2016 Plan, the proposed increase to the share reserve represents approximately 6.84% of our shares issued and outstanding as of March 23, 2026, the record date.</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49</w:t>
            </w:r>
          </w:p>
        </w:tc>
      </w:tr>
      <w:tr>
        <w:trPr>
          <w:trHeight w:val="878"/>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13" w:right="439" w:bottom="1440" w:gutter="0" w:footer="0" w:header="0"/>
        </w:sectPr>
      </w:pPr>
    </w:p>
    <w:bookmarkStart w:id="55" w:name="page56"/>
    <w:bookmarkEnd w:id="55"/>
    <w:p>
      <w:pPr>
        <w:ind w:right="60"/>
        <w:spacing w:after="0" w:line="266" w:lineRule="auto"/>
        <w:rPr>
          <w:sz w:val="20"/>
          <w:szCs w:val="20"/>
          <w:color w:val="auto"/>
        </w:rPr>
      </w:pPr>
      <w:r>
        <w:rPr>
          <w:rFonts w:ascii="Arial" w:cs="Arial" w:eastAsia="Arial" w:hAnsi="Arial"/>
          <w:sz w:val="16"/>
          <w:szCs w:val="16"/>
          <w:color w:val="auto"/>
        </w:rPr>
        <w:t>While the Board is cognizant of the potential dilutive effect of compensatory stock awards and the expense reflected on the Company’s statement of operations, the Board is committed to continuing the prudent issuance of these awards and recognizes the significant motivational and performance benefits that are achieved from making such awards.</w:t>
      </w:r>
    </w:p>
    <w:p>
      <w:pPr>
        <w:spacing w:after="0" w:line="15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Best Practices and Shareholder Protections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The 2016 Plan includes the following features that are consistent with best practices:</w:t>
      </w:r>
    </w:p>
    <w:p>
      <w:pPr>
        <w:spacing w:after="0" w:line="223" w:lineRule="exact"/>
        <w:rPr>
          <w:sz w:val="20"/>
          <w:szCs w:val="20"/>
          <w:color w:val="auto"/>
        </w:rPr>
      </w:pPr>
    </w:p>
    <w:p>
      <w:pPr>
        <w:ind w:left="480" w:hanging="243"/>
        <w:spacing w:after="0"/>
        <w:tabs>
          <w:tab w:leader="none" w:pos="480" w:val="left"/>
        </w:tabs>
        <w:numPr>
          <w:ilvl w:val="0"/>
          <w:numId w:val="125"/>
        </w:numPr>
        <w:rPr>
          <w:rFonts w:ascii="Times New Roman" w:cs="Times New Roman" w:eastAsia="Times New Roman" w:hAnsi="Times New Roman"/>
          <w:sz w:val="22"/>
          <w:szCs w:val="22"/>
          <w:color w:val="D9AB26"/>
        </w:rPr>
      </w:pPr>
      <w:r>
        <w:rPr>
          <w:rFonts w:ascii="Arial" w:cs="Arial" w:eastAsia="Arial" w:hAnsi="Arial"/>
          <w:sz w:val="16"/>
          <w:szCs w:val="16"/>
          <w:color w:val="auto"/>
        </w:rPr>
        <w:t>No repricing of stock options or SARs without shareholder approval</w:t>
      </w:r>
    </w:p>
    <w:p>
      <w:pPr>
        <w:spacing w:after="0" w:line="14" w:lineRule="exact"/>
        <w:rPr>
          <w:rFonts w:ascii="Times New Roman" w:cs="Times New Roman" w:eastAsia="Times New Roman" w:hAnsi="Times New Roman"/>
          <w:sz w:val="22"/>
          <w:szCs w:val="22"/>
          <w:color w:val="D9AB26"/>
        </w:rPr>
      </w:pPr>
    </w:p>
    <w:p>
      <w:pPr>
        <w:ind w:left="480" w:hanging="243"/>
        <w:spacing w:after="0" w:line="217" w:lineRule="auto"/>
        <w:tabs>
          <w:tab w:leader="none" w:pos="480" w:val="left"/>
        </w:tabs>
        <w:numPr>
          <w:ilvl w:val="0"/>
          <w:numId w:val="125"/>
        </w:numPr>
        <w:rPr>
          <w:rFonts w:ascii="Times New Roman" w:cs="Times New Roman" w:eastAsia="Times New Roman" w:hAnsi="Times New Roman"/>
          <w:sz w:val="22"/>
          <w:szCs w:val="22"/>
          <w:color w:val="D9AB26"/>
        </w:rPr>
      </w:pPr>
      <w:r>
        <w:rPr>
          <w:rFonts w:ascii="Arial" w:cs="Arial" w:eastAsia="Arial" w:hAnsi="Arial"/>
          <w:sz w:val="16"/>
          <w:szCs w:val="16"/>
          <w:color w:val="auto"/>
        </w:rPr>
        <w:t>No discounted stock options or SARs</w:t>
      </w:r>
    </w:p>
    <w:p>
      <w:pPr>
        <w:spacing w:after="0" w:line="14" w:lineRule="exact"/>
        <w:rPr>
          <w:rFonts w:ascii="Times New Roman" w:cs="Times New Roman" w:eastAsia="Times New Roman" w:hAnsi="Times New Roman"/>
          <w:sz w:val="22"/>
          <w:szCs w:val="22"/>
          <w:color w:val="D9AB26"/>
        </w:rPr>
      </w:pPr>
    </w:p>
    <w:p>
      <w:pPr>
        <w:ind w:left="480" w:hanging="243"/>
        <w:spacing w:after="0" w:line="217" w:lineRule="auto"/>
        <w:tabs>
          <w:tab w:leader="none" w:pos="480" w:val="left"/>
        </w:tabs>
        <w:numPr>
          <w:ilvl w:val="0"/>
          <w:numId w:val="125"/>
        </w:numPr>
        <w:rPr>
          <w:rFonts w:ascii="Times New Roman" w:cs="Times New Roman" w:eastAsia="Times New Roman" w:hAnsi="Times New Roman"/>
          <w:sz w:val="22"/>
          <w:szCs w:val="22"/>
          <w:color w:val="D9AB26"/>
        </w:rPr>
      </w:pPr>
      <w:r>
        <w:rPr>
          <w:rFonts w:ascii="Arial" w:cs="Arial" w:eastAsia="Arial" w:hAnsi="Arial"/>
          <w:sz w:val="16"/>
          <w:szCs w:val="16"/>
          <w:color w:val="auto"/>
        </w:rPr>
        <w:t>No liberal share recycling</w:t>
      </w:r>
    </w:p>
    <w:p>
      <w:pPr>
        <w:spacing w:after="0" w:line="14" w:lineRule="exact"/>
        <w:rPr>
          <w:rFonts w:ascii="Times New Roman" w:cs="Times New Roman" w:eastAsia="Times New Roman" w:hAnsi="Times New Roman"/>
          <w:sz w:val="22"/>
          <w:szCs w:val="22"/>
          <w:color w:val="D9AB26"/>
        </w:rPr>
      </w:pPr>
    </w:p>
    <w:p>
      <w:pPr>
        <w:ind w:left="480" w:hanging="243"/>
        <w:spacing w:after="0" w:line="217" w:lineRule="auto"/>
        <w:tabs>
          <w:tab w:leader="none" w:pos="480" w:val="left"/>
        </w:tabs>
        <w:numPr>
          <w:ilvl w:val="0"/>
          <w:numId w:val="125"/>
        </w:numPr>
        <w:rPr>
          <w:rFonts w:ascii="Times New Roman" w:cs="Times New Roman" w:eastAsia="Times New Roman" w:hAnsi="Times New Roman"/>
          <w:sz w:val="22"/>
          <w:szCs w:val="22"/>
          <w:color w:val="D9AB26"/>
        </w:rPr>
      </w:pPr>
      <w:r>
        <w:rPr>
          <w:rFonts w:ascii="Arial" w:cs="Arial" w:eastAsia="Arial" w:hAnsi="Arial"/>
          <w:sz w:val="16"/>
          <w:szCs w:val="16"/>
          <w:color w:val="auto"/>
        </w:rPr>
        <w:t>Minimum vesting requirements, subject to limited exceptions</w:t>
      </w:r>
    </w:p>
    <w:p>
      <w:pPr>
        <w:spacing w:after="0" w:line="14" w:lineRule="exact"/>
        <w:rPr>
          <w:rFonts w:ascii="Times New Roman" w:cs="Times New Roman" w:eastAsia="Times New Roman" w:hAnsi="Times New Roman"/>
          <w:sz w:val="22"/>
          <w:szCs w:val="22"/>
          <w:color w:val="D9AB26"/>
        </w:rPr>
      </w:pPr>
    </w:p>
    <w:p>
      <w:pPr>
        <w:ind w:left="480" w:hanging="243"/>
        <w:spacing w:after="0" w:line="217" w:lineRule="auto"/>
        <w:tabs>
          <w:tab w:leader="none" w:pos="480" w:val="left"/>
        </w:tabs>
        <w:numPr>
          <w:ilvl w:val="0"/>
          <w:numId w:val="125"/>
        </w:numPr>
        <w:rPr>
          <w:rFonts w:ascii="Times New Roman" w:cs="Times New Roman" w:eastAsia="Times New Roman" w:hAnsi="Times New Roman"/>
          <w:sz w:val="22"/>
          <w:szCs w:val="22"/>
          <w:color w:val="D9AB26"/>
        </w:rPr>
      </w:pPr>
      <w:r>
        <w:rPr>
          <w:rFonts w:ascii="Arial" w:cs="Arial" w:eastAsia="Arial" w:hAnsi="Arial"/>
          <w:sz w:val="16"/>
          <w:szCs w:val="16"/>
          <w:color w:val="auto"/>
        </w:rPr>
        <w:t>No evergreen share increases</w:t>
      </w:r>
    </w:p>
    <w:p>
      <w:pPr>
        <w:spacing w:after="0" w:line="14" w:lineRule="exact"/>
        <w:rPr>
          <w:rFonts w:ascii="Times New Roman" w:cs="Times New Roman" w:eastAsia="Times New Roman" w:hAnsi="Times New Roman"/>
          <w:sz w:val="22"/>
          <w:szCs w:val="22"/>
          <w:color w:val="D9AB26"/>
        </w:rPr>
      </w:pPr>
    </w:p>
    <w:p>
      <w:pPr>
        <w:ind w:left="480" w:hanging="243"/>
        <w:spacing w:after="0" w:line="217" w:lineRule="auto"/>
        <w:tabs>
          <w:tab w:leader="none" w:pos="480" w:val="left"/>
        </w:tabs>
        <w:numPr>
          <w:ilvl w:val="0"/>
          <w:numId w:val="125"/>
        </w:numPr>
        <w:rPr>
          <w:rFonts w:ascii="Times New Roman" w:cs="Times New Roman" w:eastAsia="Times New Roman" w:hAnsi="Times New Roman"/>
          <w:sz w:val="22"/>
          <w:szCs w:val="22"/>
          <w:color w:val="D9AB26"/>
        </w:rPr>
      </w:pPr>
      <w:r>
        <w:rPr>
          <w:rFonts w:ascii="Arial" w:cs="Arial" w:eastAsia="Arial" w:hAnsi="Arial"/>
          <w:sz w:val="16"/>
          <w:szCs w:val="16"/>
          <w:color w:val="auto"/>
        </w:rPr>
        <w:t>Clawback provisions consistent with applicable law</w:t>
      </w:r>
    </w:p>
    <w:p>
      <w:pPr>
        <w:spacing w:after="0" w:line="14" w:lineRule="exact"/>
        <w:rPr>
          <w:rFonts w:ascii="Times New Roman" w:cs="Times New Roman" w:eastAsia="Times New Roman" w:hAnsi="Times New Roman"/>
          <w:sz w:val="22"/>
          <w:szCs w:val="22"/>
          <w:color w:val="D9AB26"/>
        </w:rPr>
      </w:pPr>
    </w:p>
    <w:p>
      <w:pPr>
        <w:ind w:left="480" w:hanging="243"/>
        <w:spacing w:after="0" w:line="217" w:lineRule="auto"/>
        <w:tabs>
          <w:tab w:leader="none" w:pos="480" w:val="left"/>
        </w:tabs>
        <w:numPr>
          <w:ilvl w:val="0"/>
          <w:numId w:val="125"/>
        </w:numPr>
        <w:rPr>
          <w:rFonts w:ascii="Times New Roman" w:cs="Times New Roman" w:eastAsia="Times New Roman" w:hAnsi="Times New Roman"/>
          <w:sz w:val="22"/>
          <w:szCs w:val="22"/>
          <w:color w:val="D9AB26"/>
        </w:rPr>
      </w:pPr>
      <w:r>
        <w:rPr>
          <w:rFonts w:ascii="Arial" w:cs="Arial" w:eastAsia="Arial" w:hAnsi="Arial"/>
          <w:sz w:val="16"/>
          <w:szCs w:val="16"/>
          <w:color w:val="auto"/>
        </w:rPr>
        <w:t>Awards settled only in shares or cash, with no excessive change-in-control benefits</w:t>
      </w:r>
    </w:p>
    <w:p>
      <w:pPr>
        <w:spacing w:after="0" w:line="1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Expected Future Equity Usage</w:t>
      </w:r>
    </w:p>
    <w:p>
      <w:pPr>
        <w:spacing w:after="0" w:line="24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MD&amp;C Committee does not currently anticipate any material increase in the Company’s annual equity grant practices because of the proposed share increase. The additional shares are intended to support the continuation of the Company’s existing long-term incentive program over the extended term of the 2016 Plan, rather than to increase overall equity usage levels. Further, while the MD&amp;C Committee retains discretion to grant awards under the 2016 Plan, the committee does not intend to materially deviate from the Company’s historical grant practices or award mix without compelling business justification and appropriate disclosure.</w:t>
      </w:r>
    </w:p>
    <w:p>
      <w:pPr>
        <w:spacing w:after="0" w:line="16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Failure to Approve the Amendment</w:t>
      </w:r>
    </w:p>
    <w:p>
      <w:pPr>
        <w:spacing w:after="0" w:line="24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If the Amendment to the 2016 Plan is not approved by our shareholders, it will not become effective, and the 2016 Plan will expire by its own terms. No additional grants of awards would then be made under the 2016 Plan, and any shares remaining available for grant under the 2016 Plan will cease to be available for grant. The 2016 Plan would continue in existence solely for the purpose of governing any outstanding grants made prior to expiration of the 2016 Plan. If and to the extent that the shares subject to any awards outstanding under the 2016 Plan cease for any reason to be subject to such awards, such shares will not become available for award under the 2016 Plan.</w:t>
      </w:r>
    </w:p>
    <w:p>
      <w:pPr>
        <w:spacing w:after="0" w:line="37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Additionally, if the Amendment is not approved and the 2016 Plan expires as described above, we would need to make significant changes to our long-term incentive program, including utilizing cash instead of equity awards. This would likely place the Company at a disadvantage for retaining and attracting the critical talent needed for us to create long-term value for our shareholders. The lack of equity-based awards would also remove a key component of ensuring our executive compensation programs are aligned with our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Recommendation</w:t>
      </w:r>
    </w:p>
    <w:p>
      <w:pPr>
        <w:spacing w:after="0" w:line="240"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In approving the proposed Amendment, the Board and MD&amp;C Committee considered equity usage, dilution, plan design features, and governance safeguards. The Board believes that the proposed extension and share increase balance the Company’s need to continue offering competitive long-term incentives with shareholders’ interest in prudent equity usage and strong plan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117475</wp:posOffset>
            </wp:positionV>
            <wp:extent cx="6172200" cy="291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72200" cy="291465"/>
                    </a:xfrm>
                    <a:prstGeom prst="rect">
                      <a:avLst/>
                    </a:prstGeom>
                    <a:noFill/>
                  </pic:spPr>
                </pic:pic>
              </a:graphicData>
            </a:graphic>
          </wp:anchor>
        </w:drawing>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EBF0ED"/>
        </w:rPr>
        <w:t>The Board recommends that you vote FOR the approval of the Amendment to the 2016 Plan.</w:t>
      </w: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50</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340" w:right="1119" w:bottom="1440" w:gutter="0" w:footer="0" w:header="0"/>
        </w:sectPr>
      </w:pPr>
    </w:p>
    <w:bookmarkStart w:id="56" w:name="page57"/>
    <w:bookmarkEnd w:id="56"/>
    <w:p>
      <w:pPr>
        <w:ind w:left="660"/>
        <w:spacing w:after="0"/>
        <w:rPr>
          <w:sz w:val="20"/>
          <w:szCs w:val="20"/>
          <w:color w:val="auto"/>
        </w:rPr>
      </w:pPr>
      <w:r>
        <w:rPr>
          <w:rFonts w:ascii="Arial" w:cs="Arial" w:eastAsia="Arial" w:hAnsi="Arial"/>
          <w:sz w:val="32"/>
          <w:szCs w:val="32"/>
          <w:b w:val="1"/>
          <w:bCs w:val="1"/>
          <w:color w:val="auto"/>
        </w:rPr>
        <w:t>OTHER INFORMATION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Securities Ownership and Principal Holders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Beneficial Ownership by Directors and Named Executive Officers</w:t>
      </w:r>
    </w:p>
    <w:p>
      <w:pPr>
        <w:spacing w:after="0" w:line="124" w:lineRule="exact"/>
        <w:rPr>
          <w:sz w:val="20"/>
          <w:szCs w:val="20"/>
          <w:color w:val="auto"/>
        </w:rPr>
      </w:pPr>
    </w:p>
    <w:p>
      <w:pPr>
        <w:ind w:left="660" w:right="700"/>
        <w:spacing w:after="0" w:line="256" w:lineRule="auto"/>
        <w:rPr>
          <w:sz w:val="20"/>
          <w:szCs w:val="20"/>
          <w:color w:val="auto"/>
        </w:rPr>
      </w:pPr>
      <w:r>
        <w:rPr>
          <w:rFonts w:ascii="Arial" w:cs="Arial" w:eastAsia="Arial" w:hAnsi="Arial"/>
          <w:sz w:val="16"/>
          <w:szCs w:val="16"/>
          <w:color w:val="auto"/>
        </w:rPr>
        <w:t>The following table sets forth, as of February 28, 2026, the beneficial ownership of the Company’s common stock, par value $0.625 per share, of (i) each director or nominee for director of the Company, (ii) the principal executive officer, the principal financial officer, and the other named executive officers of the Company for fiscal year 2025, and (iii) all directors and executive officers of the Company as a group. All ownership information is based upon filings made by those persons with the SEC and upon information provided to the Company.</w:t>
      </w:r>
    </w:p>
    <w:p>
      <w:pPr>
        <w:spacing w:after="0" w:line="66"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4440" w:type="dxa"/>
            <w:vAlign w:val="bottom"/>
            <w:tcBorders>
              <w:top w:val="single" w:sz="8" w:color="auto"/>
            </w:tcBorders>
            <w:shd w:val="clear" w:color="auto" w:fill="F3F3F4"/>
          </w:tcPr>
          <w:p>
            <w:pPr>
              <w:spacing w:after="0"/>
              <w:rPr>
                <w:sz w:val="16"/>
                <w:szCs w:val="16"/>
                <w:color w:val="auto"/>
              </w:rPr>
            </w:pPr>
          </w:p>
        </w:tc>
        <w:tc>
          <w:tcPr>
            <w:tcW w:w="1120" w:type="dxa"/>
            <w:vAlign w:val="bottom"/>
            <w:tcBorders>
              <w:top w:val="single" w:sz="8" w:color="auto"/>
            </w:tcBorders>
            <w:shd w:val="clear" w:color="auto" w:fill="F3F3F4"/>
          </w:tcPr>
          <w:p>
            <w:pPr>
              <w:spacing w:after="0"/>
              <w:rPr>
                <w:sz w:val="16"/>
                <w:szCs w:val="16"/>
                <w:color w:val="auto"/>
              </w:rPr>
            </w:pPr>
          </w:p>
        </w:tc>
        <w:tc>
          <w:tcPr>
            <w:tcW w:w="960" w:type="dxa"/>
            <w:vAlign w:val="bottom"/>
            <w:tcBorders>
              <w:top w:val="single" w:sz="8" w:color="auto"/>
            </w:tcBorders>
            <w:shd w:val="clear" w:color="auto" w:fill="F3F3F4"/>
          </w:tcPr>
          <w:p>
            <w:pPr>
              <w:jc w:val="right"/>
              <w:ind w:right="59"/>
              <w:spacing w:after="0"/>
              <w:rPr>
                <w:sz w:val="20"/>
                <w:szCs w:val="20"/>
                <w:color w:val="auto"/>
              </w:rPr>
            </w:pPr>
            <w:r>
              <w:rPr>
                <w:rFonts w:ascii="Arial" w:cs="Arial" w:eastAsia="Arial" w:hAnsi="Arial"/>
                <w:sz w:val="16"/>
                <w:szCs w:val="16"/>
                <w:b w:val="1"/>
                <w:bCs w:val="1"/>
                <w:color w:val="auto"/>
              </w:rPr>
              <w:t>Deferred</w:t>
            </w:r>
          </w:p>
        </w:tc>
        <w:tc>
          <w:tcPr>
            <w:tcW w:w="1060" w:type="dxa"/>
            <w:vAlign w:val="bottom"/>
            <w:tcBorders>
              <w:top w:val="single" w:sz="8" w:color="auto"/>
            </w:tcBorders>
            <w:shd w:val="clear" w:color="auto" w:fill="F3F3F4"/>
          </w:tcPr>
          <w:p>
            <w:pPr>
              <w:spacing w:after="0"/>
              <w:rPr>
                <w:sz w:val="16"/>
                <w:szCs w:val="16"/>
                <w:color w:val="auto"/>
              </w:rPr>
            </w:pPr>
          </w:p>
        </w:tc>
        <w:tc>
          <w:tcPr>
            <w:tcW w:w="1140" w:type="dxa"/>
            <w:vAlign w:val="bottom"/>
            <w:tcBorders>
              <w:top w:val="single" w:sz="8" w:color="auto"/>
            </w:tcBorders>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1000" w:type="dxa"/>
            <w:vAlign w:val="bottom"/>
            <w:tcBorders>
              <w:top w:val="single" w:sz="8" w:color="auto"/>
            </w:tcBorders>
            <w:shd w:val="clear" w:color="auto" w:fill="F3F3F4"/>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440" w:type="dxa"/>
            <w:vAlign w:val="bottom"/>
            <w:shd w:val="clear" w:color="auto" w:fill="F3F3F4"/>
          </w:tcPr>
          <w:p>
            <w:pPr>
              <w:spacing w:after="0"/>
              <w:rPr>
                <w:sz w:val="14"/>
                <w:szCs w:val="14"/>
                <w:color w:val="auto"/>
              </w:rPr>
            </w:pPr>
          </w:p>
        </w:tc>
        <w:tc>
          <w:tcPr>
            <w:tcW w:w="1120" w:type="dxa"/>
            <w:vAlign w:val="bottom"/>
            <w:vMerge w:val="restart"/>
            <w:shd w:val="clear" w:color="auto" w:fill="F3F3F4"/>
          </w:tcPr>
          <w:p>
            <w:pPr>
              <w:jc w:val="right"/>
              <w:ind w:right="79"/>
              <w:spacing w:after="0"/>
              <w:rPr>
                <w:sz w:val="20"/>
                <w:szCs w:val="20"/>
                <w:color w:val="auto"/>
              </w:rPr>
            </w:pPr>
            <w:r>
              <w:rPr>
                <w:rFonts w:ascii="Arial" w:cs="Arial" w:eastAsia="Arial" w:hAnsi="Arial"/>
                <w:sz w:val="16"/>
                <w:szCs w:val="16"/>
                <w:b w:val="1"/>
                <w:bCs w:val="1"/>
                <w:color w:val="auto"/>
              </w:rPr>
              <w:t>Options</w:t>
            </w:r>
            <w:r>
              <w:rPr>
                <w:rFonts w:ascii="Arial" w:cs="Arial" w:eastAsia="Arial" w:hAnsi="Arial"/>
                <w:sz w:val="21"/>
                <w:szCs w:val="21"/>
                <w:color w:val="auto"/>
                <w:vertAlign w:val="superscript"/>
              </w:rPr>
              <w:t>(1)</w:t>
            </w:r>
          </w:p>
        </w:tc>
        <w:tc>
          <w:tcPr>
            <w:tcW w:w="960" w:type="dxa"/>
            <w:vAlign w:val="bottom"/>
            <w:shd w:val="clear" w:color="auto" w:fill="F3F3F4"/>
          </w:tcPr>
          <w:p>
            <w:pPr>
              <w:jc w:val="right"/>
              <w:ind w:right="59"/>
              <w:spacing w:after="0" w:line="163" w:lineRule="exact"/>
              <w:rPr>
                <w:sz w:val="20"/>
                <w:szCs w:val="20"/>
                <w:color w:val="auto"/>
              </w:rPr>
            </w:pPr>
            <w:r>
              <w:rPr>
                <w:rFonts w:ascii="Arial" w:cs="Arial" w:eastAsia="Arial" w:hAnsi="Arial"/>
                <w:sz w:val="16"/>
                <w:szCs w:val="16"/>
                <w:b w:val="1"/>
                <w:bCs w:val="1"/>
                <w:color w:val="auto"/>
              </w:rPr>
              <w:t>Stock</w:t>
            </w:r>
          </w:p>
        </w:tc>
        <w:tc>
          <w:tcPr>
            <w:tcW w:w="1060" w:type="dxa"/>
            <w:vAlign w:val="bottom"/>
            <w:shd w:val="clear" w:color="auto" w:fill="F3F3F4"/>
          </w:tcPr>
          <w:p>
            <w:pPr>
              <w:jc w:val="right"/>
              <w:ind w:right="59"/>
              <w:spacing w:after="0" w:line="163" w:lineRule="exact"/>
              <w:rPr>
                <w:sz w:val="20"/>
                <w:szCs w:val="20"/>
                <w:color w:val="auto"/>
              </w:rPr>
            </w:pPr>
            <w:r>
              <w:rPr>
                <w:rFonts w:ascii="Arial" w:cs="Arial" w:eastAsia="Arial" w:hAnsi="Arial"/>
                <w:sz w:val="16"/>
                <w:szCs w:val="16"/>
                <w:b w:val="1"/>
                <w:bCs w:val="1"/>
                <w:color w:val="auto"/>
              </w:rPr>
              <w:t>Retirement</w:t>
            </w:r>
          </w:p>
        </w:tc>
        <w:tc>
          <w:tcPr>
            <w:tcW w:w="1140" w:type="dxa"/>
            <w:vAlign w:val="bottom"/>
            <w:shd w:val="clear" w:color="auto" w:fill="F3F3F4"/>
          </w:tcPr>
          <w:p>
            <w:pPr>
              <w:jc w:val="right"/>
              <w:ind w:right="19"/>
              <w:spacing w:after="0" w:line="163" w:lineRule="exact"/>
              <w:rPr>
                <w:sz w:val="20"/>
                <w:szCs w:val="20"/>
                <w:color w:val="auto"/>
              </w:rPr>
            </w:pPr>
            <w:r>
              <w:rPr>
                <w:rFonts w:ascii="Arial" w:cs="Arial" w:eastAsia="Arial" w:hAnsi="Arial"/>
                <w:sz w:val="16"/>
                <w:szCs w:val="16"/>
                <w:b w:val="1"/>
                <w:bCs w:val="1"/>
                <w:color w:val="auto"/>
              </w:rPr>
              <w:t>Beneficial</w:t>
            </w:r>
          </w:p>
        </w:tc>
        <w:tc>
          <w:tcPr>
            <w:tcW w:w="1000" w:type="dxa"/>
            <w:vAlign w:val="bottom"/>
            <w:shd w:val="clear" w:color="auto" w:fill="F3F3F4"/>
          </w:tcPr>
          <w:p>
            <w:pPr>
              <w:jc w:val="right"/>
              <w:ind w:right="79"/>
              <w:spacing w:after="0" w:line="163" w:lineRule="exact"/>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Name of Beneficial Owner</w:t>
            </w:r>
          </w:p>
        </w:tc>
        <w:tc>
          <w:tcPr>
            <w:tcW w:w="1120" w:type="dxa"/>
            <w:vAlign w:val="bottom"/>
            <w:tcBorders>
              <w:bottom w:val="single" w:sz="8" w:color="auto"/>
            </w:tcBorders>
            <w:vMerge w:val="continue"/>
            <w:shd w:val="clear" w:color="auto" w:fill="F3F3F4"/>
          </w:tcPr>
          <w:p>
            <w:pPr>
              <w:spacing w:after="0"/>
              <w:rPr>
                <w:sz w:val="19"/>
                <w:szCs w:val="19"/>
                <w:color w:val="auto"/>
              </w:rPr>
            </w:pPr>
          </w:p>
        </w:tc>
        <w:tc>
          <w:tcPr>
            <w:tcW w:w="960" w:type="dxa"/>
            <w:vAlign w:val="bottom"/>
            <w:tcBorders>
              <w:bottom w:val="single" w:sz="8" w:color="auto"/>
            </w:tcBorders>
            <w:shd w:val="clear" w:color="auto" w:fill="F3F3F4"/>
          </w:tcPr>
          <w:p>
            <w:pPr>
              <w:jc w:val="right"/>
              <w:spacing w:after="0" w:line="230" w:lineRule="exact"/>
              <w:rPr>
                <w:sz w:val="20"/>
                <w:szCs w:val="20"/>
                <w:color w:val="auto"/>
              </w:rPr>
            </w:pPr>
            <w:r>
              <w:rPr>
                <w:rFonts w:ascii="Arial" w:cs="Arial" w:eastAsia="Arial" w:hAnsi="Arial"/>
                <w:sz w:val="16"/>
                <w:szCs w:val="16"/>
                <w:b w:val="1"/>
                <w:bCs w:val="1"/>
                <w:color w:val="auto"/>
              </w:rPr>
              <w:t>Units</w:t>
            </w:r>
            <w:r>
              <w:rPr>
                <w:rFonts w:ascii="Arial" w:cs="Arial" w:eastAsia="Arial" w:hAnsi="Arial"/>
                <w:sz w:val="21"/>
                <w:szCs w:val="21"/>
                <w:color w:val="auto"/>
                <w:vertAlign w:val="superscript"/>
              </w:rPr>
              <w:t>(2)</w:t>
            </w:r>
          </w:p>
        </w:tc>
        <w:tc>
          <w:tcPr>
            <w:tcW w:w="1060" w:type="dxa"/>
            <w:vAlign w:val="bottom"/>
            <w:tcBorders>
              <w:bottom w:val="single" w:sz="8" w:color="auto"/>
            </w:tcBorders>
            <w:shd w:val="clear" w:color="auto" w:fill="F3F3F4"/>
          </w:tcPr>
          <w:p>
            <w:pPr>
              <w:jc w:val="right"/>
              <w:ind w:right="19"/>
              <w:spacing w:after="0" w:line="230" w:lineRule="exact"/>
              <w:rPr>
                <w:sz w:val="20"/>
                <w:szCs w:val="20"/>
                <w:color w:val="auto"/>
              </w:rPr>
            </w:pPr>
            <w:r>
              <w:rPr>
                <w:rFonts w:ascii="Arial" w:cs="Arial" w:eastAsia="Arial" w:hAnsi="Arial"/>
                <w:sz w:val="16"/>
                <w:szCs w:val="16"/>
                <w:b w:val="1"/>
                <w:bCs w:val="1"/>
                <w:color w:val="auto"/>
              </w:rPr>
              <w:t>Plans</w:t>
            </w:r>
            <w:r>
              <w:rPr>
                <w:rFonts w:ascii="Arial" w:cs="Arial" w:eastAsia="Arial" w:hAnsi="Arial"/>
                <w:sz w:val="21"/>
                <w:szCs w:val="21"/>
                <w:color w:val="auto"/>
                <w:vertAlign w:val="superscript"/>
              </w:rPr>
              <w:t>(3)</w:t>
            </w:r>
          </w:p>
        </w:tc>
        <w:tc>
          <w:tcPr>
            <w:tcW w:w="1140" w:type="dxa"/>
            <w:vAlign w:val="bottom"/>
            <w:tcBorders>
              <w:bottom w:val="single" w:sz="8" w:color="auto"/>
            </w:tcBorders>
            <w:shd w:val="clear" w:color="auto" w:fill="F3F3F4"/>
          </w:tcPr>
          <w:p>
            <w:pPr>
              <w:jc w:val="right"/>
              <w:spacing w:after="0" w:line="230" w:lineRule="exact"/>
              <w:rPr>
                <w:sz w:val="20"/>
                <w:szCs w:val="20"/>
                <w:color w:val="auto"/>
              </w:rPr>
            </w:pPr>
            <w:r>
              <w:rPr>
                <w:rFonts w:ascii="Arial" w:cs="Arial" w:eastAsia="Arial" w:hAnsi="Arial"/>
                <w:sz w:val="16"/>
                <w:szCs w:val="16"/>
                <w:b w:val="1"/>
                <w:bCs w:val="1"/>
                <w:color w:val="auto"/>
              </w:rPr>
              <w:t>Ownership</w:t>
            </w:r>
            <w:r>
              <w:rPr>
                <w:rFonts w:ascii="Arial" w:cs="Arial" w:eastAsia="Arial" w:hAnsi="Arial"/>
                <w:sz w:val="21"/>
                <w:szCs w:val="21"/>
                <w:color w:val="auto"/>
                <w:vertAlign w:val="superscript"/>
              </w:rPr>
              <w:t>(4)</w:t>
            </w:r>
          </w:p>
        </w:tc>
        <w:tc>
          <w:tcPr>
            <w:tcW w:w="1000" w:type="dxa"/>
            <w:vAlign w:val="bottom"/>
            <w:tcBorders>
              <w:bottom w:val="single" w:sz="8" w:color="auto"/>
            </w:tcBorders>
            <w:shd w:val="clear" w:color="auto" w:fill="F3F3F4"/>
          </w:tcPr>
          <w:p>
            <w:pPr>
              <w:jc w:val="right"/>
              <w:ind w:right="39"/>
              <w:spacing w:after="0"/>
              <w:rPr>
                <w:sz w:val="20"/>
                <w:szCs w:val="20"/>
                <w:color w:val="auto"/>
              </w:rPr>
            </w:pPr>
            <w:r>
              <w:rPr>
                <w:rFonts w:ascii="Arial" w:cs="Arial" w:eastAsia="Arial" w:hAnsi="Arial"/>
                <w:sz w:val="16"/>
                <w:szCs w:val="16"/>
                <w:b w:val="1"/>
                <w:bCs w:val="1"/>
                <w:color w:val="auto"/>
              </w:rPr>
              <w:t>Class</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shd w:val="clear" w:color="auto" w:fill="F3F3F4"/>
          </w:tcPr>
          <w:p>
            <w:pPr>
              <w:spacing w:after="0" w:line="183" w:lineRule="exact"/>
              <w:rPr>
                <w:sz w:val="20"/>
                <w:szCs w:val="20"/>
                <w:color w:val="auto"/>
              </w:rPr>
            </w:pPr>
            <w:r>
              <w:rPr>
                <w:rFonts w:ascii="Arial" w:cs="Arial" w:eastAsia="Arial" w:hAnsi="Arial"/>
                <w:sz w:val="16"/>
                <w:szCs w:val="16"/>
                <w:b w:val="1"/>
                <w:bCs w:val="1"/>
                <w:color w:val="auto"/>
              </w:rPr>
              <w:t>Non-Employee Directors and Nominees</w:t>
            </w:r>
          </w:p>
        </w:tc>
        <w:tc>
          <w:tcPr>
            <w:tcW w:w="1120" w:type="dxa"/>
            <w:vAlign w:val="bottom"/>
            <w:tcBorders>
              <w:bottom w:val="single" w:sz="8" w:color="auto"/>
            </w:tcBorders>
            <w:shd w:val="clear" w:color="auto" w:fill="F3F3F4"/>
          </w:tcPr>
          <w:p>
            <w:pPr>
              <w:spacing w:after="0"/>
              <w:rPr>
                <w:sz w:val="15"/>
                <w:szCs w:val="15"/>
                <w:color w:val="auto"/>
              </w:rPr>
            </w:pPr>
          </w:p>
        </w:tc>
        <w:tc>
          <w:tcPr>
            <w:tcW w:w="960" w:type="dxa"/>
            <w:vAlign w:val="bottom"/>
            <w:tcBorders>
              <w:bottom w:val="single" w:sz="8" w:color="auto"/>
            </w:tcBorders>
            <w:shd w:val="clear" w:color="auto" w:fill="F3F3F4"/>
          </w:tcPr>
          <w:p>
            <w:pPr>
              <w:spacing w:after="0"/>
              <w:rPr>
                <w:sz w:val="15"/>
                <w:szCs w:val="15"/>
                <w:color w:val="auto"/>
              </w:rPr>
            </w:pPr>
          </w:p>
        </w:tc>
        <w:tc>
          <w:tcPr>
            <w:tcW w:w="1060" w:type="dxa"/>
            <w:vAlign w:val="bottom"/>
            <w:tcBorders>
              <w:bottom w:val="single" w:sz="8" w:color="auto"/>
            </w:tcBorders>
            <w:shd w:val="clear" w:color="auto" w:fill="F3F3F4"/>
          </w:tcPr>
          <w:p>
            <w:pPr>
              <w:spacing w:after="0"/>
              <w:rPr>
                <w:sz w:val="15"/>
                <w:szCs w:val="15"/>
                <w:color w:val="auto"/>
              </w:rPr>
            </w:pPr>
          </w:p>
        </w:tc>
        <w:tc>
          <w:tcPr>
            <w:tcW w:w="1140" w:type="dxa"/>
            <w:vAlign w:val="bottom"/>
            <w:tcBorders>
              <w:bottom w:val="single" w:sz="8" w:color="auto"/>
            </w:tcBorders>
            <w:shd w:val="clear" w:color="auto" w:fill="F3F3F4"/>
          </w:tcPr>
          <w:p>
            <w:pPr>
              <w:spacing w:after="0"/>
              <w:rPr>
                <w:sz w:val="15"/>
                <w:szCs w:val="15"/>
                <w:color w:val="auto"/>
              </w:rPr>
            </w:pPr>
          </w:p>
        </w:tc>
        <w:tc>
          <w:tcPr>
            <w:tcW w:w="1000" w:type="dxa"/>
            <w:vAlign w:val="bottom"/>
            <w:tcBorders>
              <w:bottom w:val="single" w:sz="8" w:color="auto"/>
            </w:tcBorders>
            <w:shd w:val="clear" w:color="auto" w:fill="F3F3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Annell R. Bay</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99,492</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99,492</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Matthew R. Bob</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15,775</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45,409</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Juliet S. Ellis</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73,692</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86,128</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Kenneth M. Fisher</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11,184</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11,184</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Charles W. Hooper</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28,783</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28,783</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Chansoo Joung</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101,086</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241,371</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H. Lamar McKay</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51,291</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51,291</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Peter A. Ragauss</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98,504</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98,504</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David L. Stover</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28,492</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28,492</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Anya Weaving</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15,775</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15,775</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shd w:val="clear" w:color="auto" w:fill="F3F3F4"/>
          </w:tcPr>
          <w:p>
            <w:pPr>
              <w:spacing w:after="0" w:line="183" w:lineRule="exact"/>
              <w:rPr>
                <w:sz w:val="20"/>
                <w:szCs w:val="20"/>
                <w:color w:val="auto"/>
              </w:rPr>
            </w:pPr>
            <w:r>
              <w:rPr>
                <w:rFonts w:ascii="Arial" w:cs="Arial" w:eastAsia="Arial" w:hAnsi="Arial"/>
                <w:sz w:val="16"/>
                <w:szCs w:val="16"/>
                <w:b w:val="1"/>
                <w:bCs w:val="1"/>
                <w:color w:val="auto"/>
              </w:rPr>
              <w:t>Named Executive Officers</w:t>
            </w:r>
          </w:p>
        </w:tc>
        <w:tc>
          <w:tcPr>
            <w:tcW w:w="1120" w:type="dxa"/>
            <w:vAlign w:val="bottom"/>
            <w:tcBorders>
              <w:bottom w:val="single" w:sz="8" w:color="auto"/>
            </w:tcBorders>
            <w:shd w:val="clear" w:color="auto" w:fill="F3F3F4"/>
          </w:tcPr>
          <w:p>
            <w:pPr>
              <w:spacing w:after="0"/>
              <w:rPr>
                <w:sz w:val="15"/>
                <w:szCs w:val="15"/>
                <w:color w:val="auto"/>
              </w:rPr>
            </w:pPr>
          </w:p>
        </w:tc>
        <w:tc>
          <w:tcPr>
            <w:tcW w:w="960" w:type="dxa"/>
            <w:vAlign w:val="bottom"/>
            <w:tcBorders>
              <w:bottom w:val="single" w:sz="8" w:color="auto"/>
            </w:tcBorders>
            <w:shd w:val="clear" w:color="auto" w:fill="F3F3F4"/>
          </w:tcPr>
          <w:p>
            <w:pPr>
              <w:spacing w:after="0"/>
              <w:rPr>
                <w:sz w:val="15"/>
                <w:szCs w:val="15"/>
                <w:color w:val="auto"/>
              </w:rPr>
            </w:pPr>
          </w:p>
        </w:tc>
        <w:tc>
          <w:tcPr>
            <w:tcW w:w="1060" w:type="dxa"/>
            <w:vAlign w:val="bottom"/>
            <w:tcBorders>
              <w:bottom w:val="single" w:sz="8" w:color="auto"/>
            </w:tcBorders>
            <w:shd w:val="clear" w:color="auto" w:fill="F3F3F4"/>
          </w:tcPr>
          <w:p>
            <w:pPr>
              <w:spacing w:after="0"/>
              <w:rPr>
                <w:sz w:val="15"/>
                <w:szCs w:val="15"/>
                <w:color w:val="auto"/>
              </w:rPr>
            </w:pPr>
          </w:p>
        </w:tc>
        <w:tc>
          <w:tcPr>
            <w:tcW w:w="1140" w:type="dxa"/>
            <w:vAlign w:val="bottom"/>
            <w:tcBorders>
              <w:bottom w:val="single" w:sz="8" w:color="auto"/>
            </w:tcBorders>
            <w:shd w:val="clear" w:color="auto" w:fill="F3F3F4"/>
          </w:tcPr>
          <w:p>
            <w:pPr>
              <w:spacing w:after="0"/>
              <w:rPr>
                <w:sz w:val="15"/>
                <w:szCs w:val="15"/>
                <w:color w:val="auto"/>
              </w:rPr>
            </w:pPr>
          </w:p>
        </w:tc>
        <w:tc>
          <w:tcPr>
            <w:tcW w:w="1000" w:type="dxa"/>
            <w:vAlign w:val="bottom"/>
            <w:tcBorders>
              <w:bottom w:val="single" w:sz="8" w:color="auto"/>
            </w:tcBorders>
            <w:shd w:val="clear" w:color="auto" w:fill="F3F3F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John J. Christmann IV</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269,385</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70,035</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203,746</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1,223,988</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Stephen J. Riney</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108,618</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94,682</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419,453</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Ben C. Rodgers</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10,515</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51,772</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Tracey K. Henderson</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15,334</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66,060</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Kimberly O. Warnica</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15,334</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18,699</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D. Clay Bretches</w:t>
            </w: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4440" w:type="dxa"/>
            <w:vAlign w:val="bottom"/>
            <w:shd w:val="clear" w:color="auto" w:fill="F3F3F4"/>
          </w:tcPr>
          <w:p>
            <w:pPr>
              <w:spacing w:after="0" w:line="168" w:lineRule="exact"/>
              <w:rPr>
                <w:sz w:val="20"/>
                <w:szCs w:val="20"/>
                <w:color w:val="auto"/>
              </w:rPr>
            </w:pPr>
            <w:r>
              <w:rPr>
                <w:rFonts w:ascii="Arial" w:cs="Arial" w:eastAsia="Arial" w:hAnsi="Arial"/>
                <w:sz w:val="16"/>
                <w:szCs w:val="16"/>
                <w:b w:val="1"/>
                <w:bCs w:val="1"/>
                <w:color w:val="auto"/>
              </w:rPr>
              <w:t>All directors, nominees, and executive officers as a</w:t>
            </w:r>
          </w:p>
        </w:tc>
        <w:tc>
          <w:tcPr>
            <w:tcW w:w="1120" w:type="dxa"/>
            <w:vAlign w:val="bottom"/>
            <w:shd w:val="clear" w:color="auto" w:fill="F3F3F4"/>
          </w:tcPr>
          <w:p>
            <w:pPr>
              <w:spacing w:after="0"/>
              <w:rPr>
                <w:sz w:val="14"/>
                <w:szCs w:val="14"/>
                <w:color w:val="auto"/>
              </w:rPr>
            </w:pPr>
          </w:p>
        </w:tc>
        <w:tc>
          <w:tcPr>
            <w:tcW w:w="960" w:type="dxa"/>
            <w:vAlign w:val="bottom"/>
            <w:shd w:val="clear" w:color="auto" w:fill="F3F3F4"/>
          </w:tcPr>
          <w:p>
            <w:pPr>
              <w:spacing w:after="0"/>
              <w:rPr>
                <w:sz w:val="14"/>
                <w:szCs w:val="14"/>
                <w:color w:val="auto"/>
              </w:rPr>
            </w:pPr>
          </w:p>
        </w:tc>
        <w:tc>
          <w:tcPr>
            <w:tcW w:w="1060" w:type="dxa"/>
            <w:vAlign w:val="bottom"/>
            <w:shd w:val="clear" w:color="auto" w:fill="F3F3F4"/>
          </w:tcPr>
          <w:p>
            <w:pPr>
              <w:spacing w:after="0"/>
              <w:rPr>
                <w:sz w:val="14"/>
                <w:szCs w:val="14"/>
                <w:color w:val="auto"/>
              </w:rPr>
            </w:pPr>
          </w:p>
        </w:tc>
        <w:tc>
          <w:tcPr>
            <w:tcW w:w="1140" w:type="dxa"/>
            <w:vAlign w:val="bottom"/>
            <w:shd w:val="clear" w:color="auto" w:fill="F3F3F4"/>
          </w:tcPr>
          <w:p>
            <w:pPr>
              <w:spacing w:after="0"/>
              <w:rPr>
                <w:sz w:val="14"/>
                <w:szCs w:val="14"/>
                <w:color w:val="auto"/>
              </w:rPr>
            </w:pPr>
          </w:p>
        </w:tc>
        <w:tc>
          <w:tcPr>
            <w:tcW w:w="1000" w:type="dxa"/>
            <w:vAlign w:val="bottom"/>
            <w:shd w:val="clear" w:color="auto" w:fill="F3F3F4"/>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group (including the above-named persons)</w:t>
            </w:r>
          </w:p>
        </w:tc>
        <w:tc>
          <w:tcPr>
            <w:tcW w:w="1120" w:type="dxa"/>
            <w:vAlign w:val="bottom"/>
            <w:tcBorders>
              <w:bottom w:val="single" w:sz="8" w:color="auto"/>
            </w:tcBorders>
            <w:shd w:val="clear" w:color="auto" w:fill="F3F3F4"/>
          </w:tcPr>
          <w:p>
            <w:pPr>
              <w:jc w:val="right"/>
              <w:ind w:right="79"/>
              <w:spacing w:after="0"/>
              <w:rPr>
                <w:sz w:val="20"/>
                <w:szCs w:val="20"/>
                <w:color w:val="auto"/>
              </w:rPr>
            </w:pPr>
            <w:r>
              <w:rPr>
                <w:rFonts w:ascii="Arial" w:cs="Arial" w:eastAsia="Arial" w:hAnsi="Arial"/>
                <w:sz w:val="16"/>
                <w:szCs w:val="16"/>
                <w:b w:val="1"/>
                <w:bCs w:val="1"/>
                <w:color w:val="auto"/>
              </w:rPr>
              <w:t>447,276</w:t>
            </w:r>
          </w:p>
        </w:tc>
        <w:tc>
          <w:tcPr>
            <w:tcW w:w="96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6"/>
                <w:szCs w:val="16"/>
                <w:b w:val="1"/>
                <w:bCs w:val="1"/>
                <w:color w:val="auto"/>
              </w:rPr>
              <w:t>594,109</w:t>
            </w:r>
          </w:p>
        </w:tc>
        <w:tc>
          <w:tcPr>
            <w:tcW w:w="1060" w:type="dxa"/>
            <w:vAlign w:val="bottom"/>
            <w:tcBorders>
              <w:bottom w:val="single" w:sz="8" w:color="auto"/>
            </w:tcBorders>
            <w:shd w:val="clear" w:color="auto" w:fill="F3F3F4"/>
          </w:tcPr>
          <w:p>
            <w:pPr>
              <w:jc w:val="right"/>
              <w:ind w:right="19"/>
              <w:spacing w:after="0"/>
              <w:rPr>
                <w:sz w:val="20"/>
                <w:szCs w:val="20"/>
                <w:color w:val="auto"/>
              </w:rPr>
            </w:pPr>
            <w:r>
              <w:rPr>
                <w:rFonts w:ascii="Arial" w:cs="Arial" w:eastAsia="Arial" w:hAnsi="Arial"/>
                <w:sz w:val="16"/>
                <w:szCs w:val="16"/>
                <w:b w:val="1"/>
                <w:bCs w:val="1"/>
                <w:color w:val="auto"/>
              </w:rPr>
              <w:t>304,725</w:t>
            </w:r>
          </w:p>
        </w:tc>
        <w:tc>
          <w:tcPr>
            <w:tcW w:w="114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6"/>
                <w:szCs w:val="16"/>
                <w:b w:val="1"/>
                <w:bCs w:val="1"/>
                <w:color w:val="auto"/>
              </w:rPr>
              <w:t>2,597,398</w:t>
            </w:r>
          </w:p>
        </w:tc>
        <w:tc>
          <w:tcPr>
            <w:tcW w:w="1000" w:type="dxa"/>
            <w:vAlign w:val="bottom"/>
            <w:tcBorders>
              <w:bottom w:val="single" w:sz="8" w:color="auto"/>
            </w:tcBorders>
            <w:shd w:val="clear" w:color="auto" w:fill="F3F3F4"/>
          </w:tcPr>
          <w:p>
            <w:pPr>
              <w:jc w:val="right"/>
              <w:ind w:right="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ind w:left="980" w:hanging="316"/>
        <w:spacing w:after="0"/>
        <w:tabs>
          <w:tab w:leader="none" w:pos="980" w:val="left"/>
        </w:tabs>
        <w:numPr>
          <w:ilvl w:val="0"/>
          <w:numId w:val="126"/>
        </w:numPr>
        <w:rPr>
          <w:rFonts w:ascii="Arial" w:cs="Arial" w:eastAsia="Arial" w:hAnsi="Arial"/>
          <w:sz w:val="14"/>
          <w:szCs w:val="14"/>
          <w:color w:val="404040"/>
        </w:rPr>
      </w:pPr>
      <w:r>
        <w:rPr>
          <w:rFonts w:ascii="Arial" w:cs="Arial" w:eastAsia="Arial" w:hAnsi="Arial"/>
          <w:sz w:val="14"/>
          <w:szCs w:val="14"/>
          <w:color w:val="404040"/>
        </w:rPr>
        <w:t>Represents less than 1% of outstanding shares of the Company’s common stock.</w:t>
      </w:r>
    </w:p>
    <w:p>
      <w:pPr>
        <w:spacing w:after="0" w:line="6" w:lineRule="exact"/>
        <w:rPr>
          <w:sz w:val="20"/>
          <w:szCs w:val="20"/>
          <w:color w:val="auto"/>
        </w:rPr>
      </w:pPr>
    </w:p>
    <w:p>
      <w:pPr>
        <w:ind w:left="900" w:hanging="236"/>
        <w:spacing w:after="0"/>
        <w:tabs>
          <w:tab w:leader="none" w:pos="900" w:val="left"/>
        </w:tabs>
        <w:numPr>
          <w:ilvl w:val="0"/>
          <w:numId w:val="127"/>
        </w:numPr>
        <w:rPr>
          <w:rFonts w:ascii="Arial" w:cs="Arial" w:eastAsia="Arial" w:hAnsi="Arial"/>
          <w:sz w:val="14"/>
          <w:szCs w:val="14"/>
          <w:color w:val="404040"/>
        </w:rPr>
      </w:pPr>
      <w:r>
        <w:rPr>
          <w:rFonts w:ascii="Arial" w:cs="Arial" w:eastAsia="Arial" w:hAnsi="Arial"/>
          <w:sz w:val="14"/>
          <w:szCs w:val="14"/>
          <w:color w:val="404040"/>
        </w:rPr>
        <w:t>Common stock issuable upon the exercise of outstanding employee stock options, which are exercisable within 60 days.</w:t>
      </w:r>
    </w:p>
    <w:p>
      <w:pPr>
        <w:spacing w:after="0" w:line="1" w:lineRule="exact"/>
        <w:rPr>
          <w:rFonts w:ascii="Arial" w:cs="Arial" w:eastAsia="Arial" w:hAnsi="Arial"/>
          <w:sz w:val="14"/>
          <w:szCs w:val="14"/>
          <w:color w:val="404040"/>
        </w:rPr>
      </w:pPr>
    </w:p>
    <w:p>
      <w:pPr>
        <w:jc w:val="both"/>
        <w:ind w:left="900" w:right="860" w:hanging="236"/>
        <w:spacing w:after="0" w:line="241" w:lineRule="auto"/>
        <w:tabs>
          <w:tab w:leader="none" w:pos="900" w:val="left"/>
        </w:tabs>
        <w:numPr>
          <w:ilvl w:val="0"/>
          <w:numId w:val="127"/>
        </w:numPr>
        <w:rPr>
          <w:rFonts w:ascii="Arial" w:cs="Arial" w:eastAsia="Arial" w:hAnsi="Arial"/>
          <w:sz w:val="14"/>
          <w:szCs w:val="14"/>
          <w:color w:val="404040"/>
        </w:rPr>
      </w:pPr>
      <w:r>
        <w:rPr>
          <w:rFonts w:ascii="Arial" w:cs="Arial" w:eastAsia="Arial" w:hAnsi="Arial"/>
          <w:sz w:val="14"/>
          <w:szCs w:val="14"/>
          <w:color w:val="404040"/>
        </w:rPr>
        <w:t>For non-employee directors, these amounts represent common stock equivalents related to retainer fees deferred under the Company’s Directors’ Compensation Plan and/or the Company’s Outside Directors’ Deferral Program. For officers, these amounts represent common stock equivalents held through the Company’s Deferred Delivery Plan.</w:t>
      </w:r>
    </w:p>
    <w:p>
      <w:pPr>
        <w:spacing w:after="0" w:line="1" w:lineRule="exact"/>
        <w:rPr>
          <w:rFonts w:ascii="Arial" w:cs="Arial" w:eastAsia="Arial" w:hAnsi="Arial"/>
          <w:sz w:val="14"/>
          <w:szCs w:val="14"/>
          <w:color w:val="404040"/>
        </w:rPr>
      </w:pPr>
    </w:p>
    <w:p>
      <w:pPr>
        <w:ind w:left="900" w:right="820" w:hanging="236"/>
        <w:spacing w:after="0" w:line="241" w:lineRule="auto"/>
        <w:tabs>
          <w:tab w:leader="none" w:pos="900" w:val="left"/>
        </w:tabs>
        <w:numPr>
          <w:ilvl w:val="0"/>
          <w:numId w:val="127"/>
        </w:numPr>
        <w:rPr>
          <w:rFonts w:ascii="Arial" w:cs="Arial" w:eastAsia="Arial" w:hAnsi="Arial"/>
          <w:sz w:val="14"/>
          <w:szCs w:val="14"/>
          <w:color w:val="404040"/>
        </w:rPr>
      </w:pPr>
      <w:r>
        <w:rPr>
          <w:rFonts w:ascii="Arial" w:cs="Arial" w:eastAsia="Arial" w:hAnsi="Arial"/>
          <w:sz w:val="14"/>
          <w:szCs w:val="14"/>
          <w:color w:val="404040"/>
        </w:rPr>
        <w:t>Common stock held by the trustee of Apache Corporation’s 401(k) Savings Plan and/or Non-Qualified Retirement/Savings Plan or the trustee of an individual retirement account.</w:t>
      </w:r>
    </w:p>
    <w:p>
      <w:pPr>
        <w:jc w:val="both"/>
        <w:ind w:left="900" w:right="680" w:hanging="236"/>
        <w:spacing w:after="0" w:line="241" w:lineRule="auto"/>
        <w:tabs>
          <w:tab w:leader="none" w:pos="900" w:val="left"/>
        </w:tabs>
        <w:numPr>
          <w:ilvl w:val="0"/>
          <w:numId w:val="127"/>
        </w:numPr>
        <w:rPr>
          <w:rFonts w:ascii="Arial" w:cs="Arial" w:eastAsia="Arial" w:hAnsi="Arial"/>
          <w:sz w:val="14"/>
          <w:szCs w:val="14"/>
          <w:color w:val="404040"/>
        </w:rPr>
      </w:pPr>
      <w:r>
        <w:rPr>
          <w:rFonts w:ascii="Arial" w:cs="Arial" w:eastAsia="Arial" w:hAnsi="Arial"/>
          <w:sz w:val="14"/>
          <w:szCs w:val="14"/>
          <w:color w:val="404040"/>
        </w:rPr>
        <w:t>All ownership is sole and direct unless otherwise noted. Inclusion of any common stock not owned directly shall not be construed as an admission of beneficial ownership. Excludes the following shares of unvested RSUs granted under the Company’s 2016 Omnibus Plan: Mr. Christmann - 266,273; Mr. Riney - 129,967; Mr. Rodgers - 28,867; Ms. Henderson - 62,968; Ms. Warnica - 30,284; and all executive officers as a group - 572,400.</w:t>
      </w:r>
    </w:p>
    <w:p>
      <w:pPr>
        <w:spacing w:after="0" w:line="1" w:lineRule="exact"/>
        <w:rPr>
          <w:rFonts w:ascii="Arial" w:cs="Arial" w:eastAsia="Arial" w:hAnsi="Arial"/>
          <w:sz w:val="14"/>
          <w:szCs w:val="14"/>
          <w:color w:val="404040"/>
        </w:rPr>
      </w:pPr>
    </w:p>
    <w:p>
      <w:pPr>
        <w:ind w:left="900"/>
        <w:spacing w:after="0"/>
        <w:rPr>
          <w:rFonts w:ascii="Arial" w:cs="Arial" w:eastAsia="Arial" w:hAnsi="Arial"/>
          <w:sz w:val="14"/>
          <w:szCs w:val="14"/>
          <w:color w:val="404040"/>
        </w:rPr>
      </w:pPr>
      <w:r>
        <w:rPr>
          <w:rFonts w:ascii="Arial" w:cs="Arial" w:eastAsia="Arial" w:hAnsi="Arial"/>
          <w:sz w:val="14"/>
          <w:szCs w:val="14"/>
          <w:color w:val="404040"/>
        </w:rPr>
        <w:t>Fractional stock has been rounded to the nearest whole share.</w:t>
      </w:r>
    </w:p>
    <w:p>
      <w:pPr>
        <w:spacing w:after="0" w:line="1" w:lineRule="exact"/>
        <w:rPr>
          <w:rFonts w:ascii="Arial" w:cs="Arial" w:eastAsia="Arial" w:hAnsi="Arial"/>
          <w:sz w:val="14"/>
          <w:szCs w:val="14"/>
          <w:color w:val="404040"/>
        </w:rPr>
      </w:pPr>
    </w:p>
    <w:p>
      <w:pPr>
        <w:ind w:left="900" w:right="1280" w:hanging="236"/>
        <w:spacing w:after="0" w:line="264" w:lineRule="auto"/>
        <w:tabs>
          <w:tab w:leader="none" w:pos="900" w:val="left"/>
        </w:tabs>
        <w:numPr>
          <w:ilvl w:val="0"/>
          <w:numId w:val="127"/>
        </w:numPr>
        <w:rPr>
          <w:rFonts w:ascii="Arial" w:cs="Arial" w:eastAsia="Arial" w:hAnsi="Arial"/>
          <w:sz w:val="14"/>
          <w:szCs w:val="14"/>
          <w:color w:val="404040"/>
        </w:rPr>
      </w:pPr>
      <w:r>
        <w:rPr>
          <w:rFonts w:ascii="Arial" w:cs="Arial" w:eastAsia="Arial" w:hAnsi="Arial"/>
          <w:sz w:val="14"/>
          <w:szCs w:val="14"/>
          <w:color w:val="404040"/>
        </w:rPr>
        <w:t>Mr. Bretches ceased employment with the Company effective June 4, 2025. The Company does not have available information on his stock ownership as of the date set forth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51</w:t>
            </w:r>
          </w:p>
        </w:tc>
      </w:tr>
      <w:tr>
        <w:trPr>
          <w:trHeight w:val="879"/>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08" w:right="439" w:bottom="1440" w:gutter="0" w:footer="0" w:header="0"/>
        </w:sectPr>
      </w:pPr>
    </w:p>
    <w:bookmarkStart w:id="57" w:name="page58"/>
    <w:bookmarkEnd w:id="57"/>
    <w:p>
      <w:pPr>
        <w:spacing w:after="0"/>
        <w:rPr>
          <w:sz w:val="20"/>
          <w:szCs w:val="20"/>
          <w:color w:val="auto"/>
        </w:rPr>
      </w:pPr>
      <w:r>
        <w:rPr>
          <w:rFonts w:ascii="Arial" w:cs="Arial" w:eastAsia="Arial" w:hAnsi="Arial"/>
          <w:sz w:val="25"/>
          <w:szCs w:val="25"/>
          <w:b w:val="1"/>
          <w:bCs w:val="1"/>
          <w:i w:val="1"/>
          <w:iCs w:val="1"/>
          <w:color w:val="auto"/>
        </w:rPr>
        <w:t>Ownership by 5% Owners</w:t>
      </w:r>
    </w:p>
    <w:p>
      <w:pPr>
        <w:spacing w:after="0" w:line="12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following table sets forth the only persons known to the Company to be the owners of more than 5% of the outstanding shares of the Company’s common stock, par value $0.625 per share, as of December 31, 2025, based on the information available as of February 28, 2026, according to reports filed with the SEC:</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00" w:type="dxa"/>
            <w:vAlign w:val="bottom"/>
            <w:tcBorders>
              <w:top w:val="single" w:sz="8" w:color="auto"/>
            </w:tcBorders>
            <w:shd w:val="clear" w:color="auto" w:fill="F3F3F4"/>
          </w:tcPr>
          <w:p>
            <w:pPr>
              <w:spacing w:after="0"/>
              <w:rPr>
                <w:sz w:val="16"/>
                <w:szCs w:val="16"/>
                <w:color w:val="auto"/>
              </w:rPr>
            </w:pPr>
          </w:p>
        </w:tc>
        <w:tc>
          <w:tcPr>
            <w:tcW w:w="1240" w:type="dxa"/>
            <w:vAlign w:val="bottom"/>
            <w:tcBorders>
              <w:top w:val="single" w:sz="8" w:color="auto"/>
            </w:tcBorders>
            <w:shd w:val="clear" w:color="auto" w:fill="F3F3F4"/>
          </w:tcPr>
          <w:p>
            <w:pPr>
              <w:spacing w:after="0"/>
              <w:rPr>
                <w:sz w:val="16"/>
                <w:szCs w:val="16"/>
                <w:color w:val="auto"/>
              </w:rPr>
            </w:pPr>
          </w:p>
        </w:tc>
        <w:tc>
          <w:tcPr>
            <w:tcW w:w="1240" w:type="dxa"/>
            <w:vAlign w:val="bottom"/>
            <w:tcBorders>
              <w:top w:val="single" w:sz="8" w:color="auto"/>
            </w:tcBorders>
            <w:shd w:val="clear" w:color="auto" w:fill="F3F3F4"/>
          </w:tcPr>
          <w:p>
            <w:pPr>
              <w:spacing w:after="0"/>
              <w:rPr>
                <w:sz w:val="16"/>
                <w:szCs w:val="16"/>
                <w:color w:val="auto"/>
              </w:rPr>
            </w:pPr>
          </w:p>
        </w:tc>
        <w:tc>
          <w:tcPr>
            <w:tcW w:w="1260" w:type="dxa"/>
            <w:vAlign w:val="bottom"/>
            <w:tcBorders>
              <w:top w:val="single" w:sz="8" w:color="auto"/>
            </w:tcBorders>
            <w:shd w:val="clear" w:color="auto" w:fill="F3F3F4"/>
          </w:tcPr>
          <w:p>
            <w:pPr>
              <w:spacing w:after="0"/>
              <w:rPr>
                <w:sz w:val="16"/>
                <w:szCs w:val="16"/>
                <w:color w:val="auto"/>
              </w:rPr>
            </w:pPr>
          </w:p>
        </w:tc>
        <w:tc>
          <w:tcPr>
            <w:tcW w:w="1180" w:type="dxa"/>
            <w:vAlign w:val="bottom"/>
            <w:tcBorders>
              <w:top w:val="single" w:sz="8" w:color="auto"/>
            </w:tcBorders>
            <w:shd w:val="clear" w:color="auto" w:fill="F3F3F4"/>
          </w:tcPr>
          <w:p>
            <w:pPr>
              <w:spacing w:after="0"/>
              <w:rPr>
                <w:sz w:val="16"/>
                <w:szCs w:val="16"/>
                <w:color w:val="auto"/>
              </w:rPr>
            </w:pPr>
          </w:p>
        </w:tc>
        <w:tc>
          <w:tcPr>
            <w:tcW w:w="1260" w:type="dxa"/>
            <w:vAlign w:val="bottom"/>
            <w:tcBorders>
              <w:top w:val="single" w:sz="8" w:color="auto"/>
            </w:tcBorders>
            <w:shd w:val="clear" w:color="auto" w:fill="F3F3F4"/>
          </w:tcPr>
          <w:p>
            <w:pPr>
              <w:jc w:val="right"/>
              <w:ind w:right="59"/>
              <w:spacing w:after="0"/>
              <w:rPr>
                <w:sz w:val="20"/>
                <w:szCs w:val="20"/>
                <w:color w:val="auto"/>
              </w:rPr>
            </w:pPr>
            <w:r>
              <w:rPr>
                <w:rFonts w:ascii="Arial" w:cs="Arial" w:eastAsia="Arial" w:hAnsi="Arial"/>
                <w:sz w:val="16"/>
                <w:szCs w:val="16"/>
                <w:b w:val="1"/>
                <w:bCs w:val="1"/>
                <w:color w:val="auto"/>
              </w:rPr>
              <w:t>Amount and</w:t>
            </w:r>
          </w:p>
        </w:tc>
        <w:tc>
          <w:tcPr>
            <w:tcW w:w="1040" w:type="dxa"/>
            <w:vAlign w:val="bottom"/>
            <w:tcBorders>
              <w:top w:val="single" w:sz="8" w:color="auto"/>
            </w:tcBorders>
            <w:shd w:val="clear" w:color="auto" w:fill="F3F3F4"/>
          </w:tcPr>
          <w:p>
            <w:pPr>
              <w:spacing w:after="0"/>
              <w:rPr>
                <w:sz w:val="16"/>
                <w:szCs w:val="16"/>
                <w:color w:val="auto"/>
              </w:rPr>
            </w:pPr>
          </w:p>
        </w:tc>
      </w:tr>
      <w:tr>
        <w:trPr>
          <w:trHeight w:val="189"/>
        </w:trPr>
        <w:tc>
          <w:tcPr>
            <w:tcW w:w="2500" w:type="dxa"/>
            <w:vAlign w:val="bottom"/>
            <w:shd w:val="clear" w:color="auto" w:fill="F3F3F4"/>
          </w:tcPr>
          <w:p>
            <w:pPr>
              <w:spacing w:after="0"/>
              <w:rPr>
                <w:sz w:val="16"/>
                <w:szCs w:val="16"/>
                <w:color w:val="auto"/>
              </w:rPr>
            </w:pPr>
          </w:p>
        </w:tc>
        <w:tc>
          <w:tcPr>
            <w:tcW w:w="1240" w:type="dxa"/>
            <w:vAlign w:val="bottom"/>
            <w:shd w:val="clear" w:color="auto" w:fill="F3F3F4"/>
          </w:tcPr>
          <w:p>
            <w:pPr>
              <w:jc w:val="right"/>
              <w:ind w:right="79"/>
              <w:spacing w:after="0"/>
              <w:rPr>
                <w:sz w:val="20"/>
                <w:szCs w:val="20"/>
                <w:color w:val="auto"/>
              </w:rPr>
            </w:pPr>
            <w:r>
              <w:rPr>
                <w:rFonts w:ascii="Arial" w:cs="Arial" w:eastAsia="Arial" w:hAnsi="Arial"/>
                <w:sz w:val="16"/>
                <w:szCs w:val="16"/>
                <w:b w:val="1"/>
                <w:bCs w:val="1"/>
                <w:color w:val="auto"/>
              </w:rPr>
              <w:t>Sole</w:t>
            </w:r>
          </w:p>
        </w:tc>
        <w:tc>
          <w:tcPr>
            <w:tcW w:w="1240" w:type="dxa"/>
            <w:vAlign w:val="bottom"/>
            <w:shd w:val="clear" w:color="auto" w:fill="F3F3F4"/>
          </w:tcPr>
          <w:p>
            <w:pPr>
              <w:jc w:val="right"/>
              <w:ind w:right="199"/>
              <w:spacing w:after="0"/>
              <w:rPr>
                <w:sz w:val="20"/>
                <w:szCs w:val="20"/>
                <w:color w:val="auto"/>
              </w:rPr>
            </w:pPr>
            <w:r>
              <w:rPr>
                <w:rFonts w:ascii="Arial" w:cs="Arial" w:eastAsia="Arial" w:hAnsi="Arial"/>
                <w:sz w:val="16"/>
                <w:szCs w:val="16"/>
                <w:b w:val="1"/>
                <w:bCs w:val="1"/>
                <w:color w:val="auto"/>
              </w:rPr>
              <w:t>Shared</w:t>
            </w:r>
          </w:p>
        </w:tc>
        <w:tc>
          <w:tcPr>
            <w:tcW w:w="1260" w:type="dxa"/>
            <w:vAlign w:val="bottom"/>
            <w:shd w:val="clear" w:color="auto" w:fill="F3F3F4"/>
          </w:tcPr>
          <w:p>
            <w:pPr>
              <w:jc w:val="right"/>
              <w:ind w:right="39"/>
              <w:spacing w:after="0"/>
              <w:rPr>
                <w:sz w:val="20"/>
                <w:szCs w:val="20"/>
                <w:color w:val="auto"/>
              </w:rPr>
            </w:pPr>
            <w:r>
              <w:rPr>
                <w:rFonts w:ascii="Arial" w:cs="Arial" w:eastAsia="Arial" w:hAnsi="Arial"/>
                <w:sz w:val="16"/>
                <w:szCs w:val="16"/>
                <w:b w:val="1"/>
                <w:bCs w:val="1"/>
                <w:color w:val="auto"/>
              </w:rPr>
              <w:t>Sole</w:t>
            </w:r>
          </w:p>
        </w:tc>
        <w:tc>
          <w:tcPr>
            <w:tcW w:w="1180" w:type="dxa"/>
            <w:vAlign w:val="bottom"/>
            <w:shd w:val="clear" w:color="auto" w:fill="F3F3F4"/>
          </w:tcPr>
          <w:p>
            <w:pPr>
              <w:jc w:val="right"/>
              <w:ind w:right="99"/>
              <w:spacing w:after="0"/>
              <w:rPr>
                <w:sz w:val="20"/>
                <w:szCs w:val="20"/>
                <w:color w:val="auto"/>
              </w:rPr>
            </w:pPr>
            <w:r>
              <w:rPr>
                <w:rFonts w:ascii="Arial" w:cs="Arial" w:eastAsia="Arial" w:hAnsi="Arial"/>
                <w:sz w:val="16"/>
                <w:szCs w:val="16"/>
                <w:b w:val="1"/>
                <w:bCs w:val="1"/>
                <w:color w:val="auto"/>
              </w:rPr>
              <w:t>Shared</w:t>
            </w:r>
          </w:p>
        </w:tc>
        <w:tc>
          <w:tcPr>
            <w:tcW w:w="1260" w:type="dxa"/>
            <w:vAlign w:val="bottom"/>
            <w:shd w:val="clear" w:color="auto" w:fill="F3F3F4"/>
          </w:tcPr>
          <w:p>
            <w:pPr>
              <w:jc w:val="right"/>
              <w:ind w:right="59"/>
              <w:spacing w:after="0"/>
              <w:rPr>
                <w:sz w:val="20"/>
                <w:szCs w:val="20"/>
                <w:color w:val="auto"/>
              </w:rPr>
            </w:pPr>
            <w:r>
              <w:rPr>
                <w:rFonts w:ascii="Arial" w:cs="Arial" w:eastAsia="Arial" w:hAnsi="Arial"/>
                <w:sz w:val="16"/>
                <w:szCs w:val="16"/>
                <w:b w:val="1"/>
                <w:bCs w:val="1"/>
                <w:color w:val="auto"/>
              </w:rPr>
              <w:t>Nature of</w:t>
            </w:r>
          </w:p>
        </w:tc>
        <w:tc>
          <w:tcPr>
            <w:tcW w:w="1040" w:type="dxa"/>
            <w:vAlign w:val="bottom"/>
            <w:shd w:val="clear" w:color="auto" w:fill="F3F3F4"/>
          </w:tcPr>
          <w:p>
            <w:pPr>
              <w:spacing w:after="0"/>
              <w:rPr>
                <w:sz w:val="16"/>
                <w:szCs w:val="16"/>
                <w:color w:val="auto"/>
              </w:rPr>
            </w:pPr>
          </w:p>
        </w:tc>
      </w:tr>
      <w:tr>
        <w:trPr>
          <w:trHeight w:val="189"/>
        </w:trPr>
        <w:tc>
          <w:tcPr>
            <w:tcW w:w="2500" w:type="dxa"/>
            <w:vAlign w:val="bottom"/>
            <w:shd w:val="clear" w:color="auto" w:fill="F3F3F4"/>
          </w:tcPr>
          <w:p>
            <w:pPr>
              <w:spacing w:after="0"/>
              <w:rPr>
                <w:sz w:val="20"/>
                <w:szCs w:val="20"/>
                <w:color w:val="auto"/>
              </w:rPr>
            </w:pPr>
            <w:r>
              <w:rPr>
                <w:rFonts w:ascii="Arial" w:cs="Arial" w:eastAsia="Arial" w:hAnsi="Arial"/>
                <w:sz w:val="16"/>
                <w:szCs w:val="16"/>
                <w:b w:val="1"/>
                <w:bCs w:val="1"/>
                <w:color w:val="auto"/>
              </w:rPr>
              <w:t>Name and Address of</w:t>
            </w:r>
          </w:p>
        </w:tc>
        <w:tc>
          <w:tcPr>
            <w:tcW w:w="1240" w:type="dxa"/>
            <w:vAlign w:val="bottom"/>
            <w:shd w:val="clear" w:color="auto" w:fill="F3F3F4"/>
          </w:tcPr>
          <w:p>
            <w:pPr>
              <w:jc w:val="right"/>
              <w:ind w:right="79"/>
              <w:spacing w:after="0"/>
              <w:rPr>
                <w:sz w:val="20"/>
                <w:szCs w:val="20"/>
                <w:color w:val="auto"/>
              </w:rPr>
            </w:pPr>
            <w:r>
              <w:rPr>
                <w:rFonts w:ascii="Arial" w:cs="Arial" w:eastAsia="Arial" w:hAnsi="Arial"/>
                <w:sz w:val="16"/>
                <w:szCs w:val="16"/>
                <w:b w:val="1"/>
                <w:bCs w:val="1"/>
                <w:color w:val="auto"/>
              </w:rPr>
              <w:t>Voting</w:t>
            </w:r>
          </w:p>
        </w:tc>
        <w:tc>
          <w:tcPr>
            <w:tcW w:w="1240" w:type="dxa"/>
            <w:vAlign w:val="bottom"/>
            <w:shd w:val="clear" w:color="auto" w:fill="F3F3F4"/>
          </w:tcPr>
          <w:p>
            <w:pPr>
              <w:jc w:val="right"/>
              <w:ind w:right="199"/>
              <w:spacing w:after="0"/>
              <w:rPr>
                <w:sz w:val="20"/>
                <w:szCs w:val="20"/>
                <w:color w:val="auto"/>
              </w:rPr>
            </w:pPr>
            <w:r>
              <w:rPr>
                <w:rFonts w:ascii="Arial" w:cs="Arial" w:eastAsia="Arial" w:hAnsi="Arial"/>
                <w:sz w:val="16"/>
                <w:szCs w:val="16"/>
                <w:b w:val="1"/>
                <w:bCs w:val="1"/>
                <w:color w:val="auto"/>
              </w:rPr>
              <w:t>Voting</w:t>
            </w:r>
          </w:p>
        </w:tc>
        <w:tc>
          <w:tcPr>
            <w:tcW w:w="1260" w:type="dxa"/>
            <w:vAlign w:val="bottom"/>
            <w:shd w:val="clear" w:color="auto" w:fill="F3F3F4"/>
          </w:tcPr>
          <w:p>
            <w:pPr>
              <w:jc w:val="right"/>
              <w:ind w:right="39"/>
              <w:spacing w:after="0"/>
              <w:rPr>
                <w:sz w:val="20"/>
                <w:szCs w:val="20"/>
                <w:color w:val="auto"/>
              </w:rPr>
            </w:pPr>
            <w:r>
              <w:rPr>
                <w:rFonts w:ascii="Arial" w:cs="Arial" w:eastAsia="Arial" w:hAnsi="Arial"/>
                <w:sz w:val="16"/>
                <w:szCs w:val="16"/>
                <w:b w:val="1"/>
                <w:bCs w:val="1"/>
                <w:color w:val="auto"/>
              </w:rPr>
              <w:t>Dispositive</w:t>
            </w:r>
          </w:p>
        </w:tc>
        <w:tc>
          <w:tcPr>
            <w:tcW w:w="1180" w:type="dxa"/>
            <w:vAlign w:val="bottom"/>
            <w:shd w:val="clear" w:color="auto" w:fill="F3F3F4"/>
          </w:tcPr>
          <w:p>
            <w:pPr>
              <w:jc w:val="right"/>
              <w:ind w:right="99"/>
              <w:spacing w:after="0"/>
              <w:rPr>
                <w:sz w:val="20"/>
                <w:szCs w:val="20"/>
                <w:color w:val="auto"/>
              </w:rPr>
            </w:pPr>
            <w:r>
              <w:rPr>
                <w:rFonts w:ascii="Arial" w:cs="Arial" w:eastAsia="Arial" w:hAnsi="Arial"/>
                <w:sz w:val="16"/>
                <w:szCs w:val="16"/>
                <w:b w:val="1"/>
                <w:bCs w:val="1"/>
                <w:color w:val="auto"/>
              </w:rPr>
              <w:t>Dispositive</w:t>
            </w:r>
          </w:p>
        </w:tc>
        <w:tc>
          <w:tcPr>
            <w:tcW w:w="1260" w:type="dxa"/>
            <w:vAlign w:val="bottom"/>
            <w:shd w:val="clear" w:color="auto" w:fill="F3F3F4"/>
          </w:tcPr>
          <w:p>
            <w:pPr>
              <w:jc w:val="right"/>
              <w:ind w:right="59"/>
              <w:spacing w:after="0"/>
              <w:rPr>
                <w:sz w:val="20"/>
                <w:szCs w:val="20"/>
                <w:color w:val="auto"/>
              </w:rPr>
            </w:pPr>
            <w:r>
              <w:rPr>
                <w:rFonts w:ascii="Arial" w:cs="Arial" w:eastAsia="Arial" w:hAnsi="Arial"/>
                <w:sz w:val="16"/>
                <w:szCs w:val="16"/>
                <w:b w:val="1"/>
                <w:bCs w:val="1"/>
                <w:color w:val="auto"/>
              </w:rPr>
              <w:t>Beneficial</w:t>
            </w:r>
          </w:p>
        </w:tc>
        <w:tc>
          <w:tcPr>
            <w:tcW w:w="1040" w:type="dxa"/>
            <w:vAlign w:val="bottom"/>
            <w:shd w:val="clear" w:color="auto" w:fill="F3F3F4"/>
          </w:tcPr>
          <w:p>
            <w:pPr>
              <w:jc w:val="right"/>
              <w:ind w:right="99"/>
              <w:spacing w:after="0"/>
              <w:rPr>
                <w:sz w:val="20"/>
                <w:szCs w:val="20"/>
                <w:color w:val="auto"/>
              </w:rPr>
            </w:pPr>
            <w:r>
              <w:rPr>
                <w:rFonts w:ascii="Arial" w:cs="Arial" w:eastAsia="Arial" w:hAnsi="Arial"/>
                <w:sz w:val="16"/>
                <w:szCs w:val="16"/>
                <w:b w:val="1"/>
                <w:bCs w:val="1"/>
                <w:color w:val="auto"/>
              </w:rPr>
              <w:t>Percent</w:t>
            </w:r>
          </w:p>
        </w:tc>
      </w:tr>
      <w:tr>
        <w:trPr>
          <w:trHeight w:val="203"/>
        </w:trPr>
        <w:tc>
          <w:tcPr>
            <w:tcW w:w="250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Beneficial Owner</w:t>
            </w:r>
          </w:p>
        </w:tc>
        <w:tc>
          <w:tcPr>
            <w:tcW w:w="1240" w:type="dxa"/>
            <w:vAlign w:val="bottom"/>
            <w:tcBorders>
              <w:bottom w:val="single" w:sz="8" w:color="auto"/>
            </w:tcBorders>
            <w:shd w:val="clear" w:color="auto" w:fill="F3F3F4"/>
          </w:tcPr>
          <w:p>
            <w:pPr>
              <w:jc w:val="right"/>
              <w:ind w:right="79"/>
              <w:spacing w:after="0"/>
              <w:rPr>
                <w:sz w:val="20"/>
                <w:szCs w:val="20"/>
                <w:color w:val="auto"/>
              </w:rPr>
            </w:pPr>
            <w:r>
              <w:rPr>
                <w:rFonts w:ascii="Arial" w:cs="Arial" w:eastAsia="Arial" w:hAnsi="Arial"/>
                <w:sz w:val="16"/>
                <w:szCs w:val="16"/>
                <w:b w:val="1"/>
                <w:bCs w:val="1"/>
                <w:color w:val="auto"/>
              </w:rPr>
              <w:t>Power</w:t>
            </w:r>
          </w:p>
        </w:tc>
        <w:tc>
          <w:tcPr>
            <w:tcW w:w="1240" w:type="dxa"/>
            <w:vAlign w:val="bottom"/>
            <w:tcBorders>
              <w:bottom w:val="single" w:sz="8" w:color="auto"/>
            </w:tcBorders>
            <w:shd w:val="clear" w:color="auto" w:fill="F3F3F4"/>
          </w:tcPr>
          <w:p>
            <w:pPr>
              <w:jc w:val="right"/>
              <w:ind w:right="199"/>
              <w:spacing w:after="0"/>
              <w:rPr>
                <w:sz w:val="20"/>
                <w:szCs w:val="20"/>
                <w:color w:val="auto"/>
              </w:rPr>
            </w:pPr>
            <w:r>
              <w:rPr>
                <w:rFonts w:ascii="Arial" w:cs="Arial" w:eastAsia="Arial" w:hAnsi="Arial"/>
                <w:sz w:val="16"/>
                <w:szCs w:val="16"/>
                <w:b w:val="1"/>
                <w:bCs w:val="1"/>
                <w:color w:val="auto"/>
              </w:rPr>
              <w:t>Power</w:t>
            </w:r>
          </w:p>
        </w:tc>
        <w:tc>
          <w:tcPr>
            <w:tcW w:w="1260" w:type="dxa"/>
            <w:vAlign w:val="bottom"/>
            <w:tcBorders>
              <w:bottom w:val="single" w:sz="8" w:color="auto"/>
            </w:tcBorders>
            <w:shd w:val="clear" w:color="auto" w:fill="F3F3F4"/>
          </w:tcPr>
          <w:p>
            <w:pPr>
              <w:jc w:val="right"/>
              <w:ind w:right="39"/>
              <w:spacing w:after="0"/>
              <w:rPr>
                <w:sz w:val="20"/>
                <w:szCs w:val="20"/>
                <w:color w:val="auto"/>
              </w:rPr>
            </w:pPr>
            <w:r>
              <w:rPr>
                <w:rFonts w:ascii="Arial" w:cs="Arial" w:eastAsia="Arial" w:hAnsi="Arial"/>
                <w:sz w:val="16"/>
                <w:szCs w:val="16"/>
                <w:b w:val="1"/>
                <w:bCs w:val="1"/>
                <w:color w:val="auto"/>
              </w:rPr>
              <w:t>Power</w:t>
            </w:r>
          </w:p>
        </w:tc>
        <w:tc>
          <w:tcPr>
            <w:tcW w:w="1180" w:type="dxa"/>
            <w:vAlign w:val="bottom"/>
            <w:tcBorders>
              <w:bottom w:val="single" w:sz="8" w:color="auto"/>
            </w:tcBorders>
            <w:shd w:val="clear" w:color="auto" w:fill="F3F3F4"/>
          </w:tcPr>
          <w:p>
            <w:pPr>
              <w:jc w:val="right"/>
              <w:ind w:right="99"/>
              <w:spacing w:after="0"/>
              <w:rPr>
                <w:sz w:val="20"/>
                <w:szCs w:val="20"/>
                <w:color w:val="auto"/>
              </w:rPr>
            </w:pPr>
            <w:r>
              <w:rPr>
                <w:rFonts w:ascii="Arial" w:cs="Arial" w:eastAsia="Arial" w:hAnsi="Arial"/>
                <w:sz w:val="16"/>
                <w:szCs w:val="16"/>
                <w:b w:val="1"/>
                <w:bCs w:val="1"/>
                <w:color w:val="auto"/>
              </w:rPr>
              <w:t>Power</w:t>
            </w:r>
          </w:p>
        </w:tc>
        <w:tc>
          <w:tcPr>
            <w:tcW w:w="1260" w:type="dxa"/>
            <w:vAlign w:val="bottom"/>
            <w:tcBorders>
              <w:bottom w:val="single" w:sz="8" w:color="auto"/>
            </w:tcBorders>
            <w:shd w:val="clear" w:color="auto" w:fill="F3F3F4"/>
          </w:tcPr>
          <w:p>
            <w:pPr>
              <w:jc w:val="right"/>
              <w:ind w:right="59"/>
              <w:spacing w:after="0"/>
              <w:rPr>
                <w:sz w:val="20"/>
                <w:szCs w:val="20"/>
                <w:color w:val="auto"/>
              </w:rPr>
            </w:pPr>
            <w:r>
              <w:rPr>
                <w:rFonts w:ascii="Arial" w:cs="Arial" w:eastAsia="Arial" w:hAnsi="Arial"/>
                <w:sz w:val="16"/>
                <w:szCs w:val="16"/>
                <w:b w:val="1"/>
                <w:bCs w:val="1"/>
                <w:color w:val="auto"/>
              </w:rPr>
              <w:t>Ownership</w:t>
            </w:r>
          </w:p>
        </w:tc>
        <w:tc>
          <w:tcPr>
            <w:tcW w:w="1040" w:type="dxa"/>
            <w:vAlign w:val="bottom"/>
            <w:tcBorders>
              <w:bottom w:val="single" w:sz="8" w:color="auto"/>
            </w:tcBorders>
            <w:shd w:val="clear" w:color="auto" w:fill="F3F3F4"/>
          </w:tcPr>
          <w:p>
            <w:pPr>
              <w:jc w:val="right"/>
              <w:ind w:right="99"/>
              <w:spacing w:after="0"/>
              <w:rPr>
                <w:sz w:val="20"/>
                <w:szCs w:val="20"/>
                <w:color w:val="auto"/>
              </w:rPr>
            </w:pPr>
            <w:r>
              <w:rPr>
                <w:rFonts w:ascii="Arial" w:cs="Arial" w:eastAsia="Arial" w:hAnsi="Arial"/>
                <w:sz w:val="16"/>
                <w:szCs w:val="16"/>
                <w:b w:val="1"/>
                <w:bCs w:val="1"/>
                <w:color w:val="auto"/>
              </w:rPr>
              <w:t>of Class*</w:t>
            </w:r>
          </w:p>
        </w:tc>
      </w:tr>
      <w:tr>
        <w:trPr>
          <w:trHeight w:val="168"/>
        </w:trPr>
        <w:tc>
          <w:tcPr>
            <w:tcW w:w="2500" w:type="dxa"/>
            <w:vAlign w:val="bottom"/>
          </w:tcPr>
          <w:p>
            <w:pPr>
              <w:spacing w:after="0" w:line="168" w:lineRule="exact"/>
              <w:rPr>
                <w:sz w:val="20"/>
                <w:szCs w:val="20"/>
                <w:color w:val="auto"/>
              </w:rPr>
            </w:pPr>
            <w:r>
              <w:rPr>
                <w:rFonts w:ascii="Arial" w:cs="Arial" w:eastAsia="Arial" w:hAnsi="Arial"/>
                <w:sz w:val="15"/>
                <w:szCs w:val="15"/>
                <w:b w:val="1"/>
                <w:bCs w:val="1"/>
                <w:color w:val="auto"/>
              </w:rPr>
              <w:t>The Vanguard Group, Inc.</w:t>
            </w:r>
            <w:r>
              <w:rPr>
                <w:rFonts w:ascii="Arial" w:cs="Arial" w:eastAsia="Arial" w:hAnsi="Arial"/>
                <w:sz w:val="19"/>
                <w:szCs w:val="19"/>
                <w:color w:val="auto"/>
                <w:vertAlign w:val="superscript"/>
              </w:rPr>
              <w:t>(1)</w:t>
            </w:r>
          </w:p>
        </w:tc>
        <w:tc>
          <w:tcPr>
            <w:tcW w:w="1240" w:type="dxa"/>
            <w:vAlign w:val="bottom"/>
          </w:tcPr>
          <w:p>
            <w:pPr>
              <w:jc w:val="right"/>
              <w:ind w:right="79"/>
              <w:spacing w:after="0" w:line="168"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199"/>
              <w:spacing w:after="0" w:line="168" w:lineRule="exact"/>
              <w:rPr>
                <w:sz w:val="20"/>
                <w:szCs w:val="20"/>
                <w:color w:val="auto"/>
              </w:rPr>
            </w:pPr>
            <w:r>
              <w:rPr>
                <w:rFonts w:ascii="Arial" w:cs="Arial" w:eastAsia="Arial" w:hAnsi="Arial"/>
                <w:sz w:val="16"/>
                <w:szCs w:val="16"/>
                <w:color w:val="auto"/>
              </w:rPr>
              <w:t>368,527</w:t>
            </w:r>
          </w:p>
        </w:tc>
        <w:tc>
          <w:tcPr>
            <w:tcW w:w="12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43,983,221</w:t>
            </w:r>
          </w:p>
        </w:tc>
        <w:tc>
          <w:tcPr>
            <w:tcW w:w="1180" w:type="dxa"/>
            <w:vAlign w:val="bottom"/>
          </w:tcPr>
          <w:p>
            <w:pPr>
              <w:jc w:val="right"/>
              <w:ind w:right="99"/>
              <w:spacing w:after="0" w:line="168" w:lineRule="exact"/>
              <w:rPr>
                <w:sz w:val="20"/>
                <w:szCs w:val="20"/>
                <w:color w:val="auto"/>
              </w:rPr>
            </w:pPr>
            <w:r>
              <w:rPr>
                <w:rFonts w:ascii="Arial" w:cs="Arial" w:eastAsia="Arial" w:hAnsi="Arial"/>
                <w:sz w:val="16"/>
                <w:szCs w:val="16"/>
                <w:color w:val="auto"/>
              </w:rPr>
              <w:t>1,355,800</w:t>
            </w:r>
          </w:p>
        </w:tc>
        <w:tc>
          <w:tcPr>
            <w:tcW w:w="1260" w:type="dxa"/>
            <w:vAlign w:val="bottom"/>
          </w:tcPr>
          <w:p>
            <w:pPr>
              <w:jc w:val="right"/>
              <w:ind w:right="59"/>
              <w:spacing w:after="0" w:line="168" w:lineRule="exact"/>
              <w:rPr>
                <w:sz w:val="20"/>
                <w:szCs w:val="20"/>
                <w:color w:val="auto"/>
              </w:rPr>
            </w:pPr>
            <w:r>
              <w:rPr>
                <w:rFonts w:ascii="Arial" w:cs="Arial" w:eastAsia="Arial" w:hAnsi="Arial"/>
                <w:sz w:val="16"/>
                <w:szCs w:val="16"/>
                <w:b w:val="1"/>
                <w:bCs w:val="1"/>
                <w:color w:val="auto"/>
              </w:rPr>
              <w:t>45,339,021</w:t>
            </w:r>
          </w:p>
        </w:tc>
        <w:tc>
          <w:tcPr>
            <w:tcW w:w="1040" w:type="dxa"/>
            <w:vAlign w:val="bottom"/>
          </w:tcPr>
          <w:p>
            <w:pPr>
              <w:jc w:val="right"/>
              <w:spacing w:after="0" w:line="168" w:lineRule="exact"/>
              <w:rPr>
                <w:sz w:val="20"/>
                <w:szCs w:val="20"/>
                <w:color w:val="auto"/>
              </w:rPr>
            </w:pPr>
            <w:r>
              <w:rPr>
                <w:rFonts w:ascii="Arial" w:cs="Arial" w:eastAsia="Arial" w:hAnsi="Arial"/>
                <w:sz w:val="16"/>
                <w:szCs w:val="16"/>
                <w:color w:val="auto"/>
              </w:rPr>
              <w:t>12.83%</w:t>
            </w: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100 Vanguard Blvd.</w:t>
            </w: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Malvern, PA 19355</w:t>
            </w:r>
          </w:p>
        </w:tc>
        <w:tc>
          <w:tcPr>
            <w:tcW w:w="1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42"/>
        </w:trPr>
        <w:tc>
          <w:tcPr>
            <w:tcW w:w="2500" w:type="dxa"/>
            <w:vAlign w:val="bottom"/>
          </w:tcPr>
          <w:p>
            <w:pPr>
              <w:spacing w:after="0" w:line="142" w:lineRule="exact"/>
              <w:rPr>
                <w:sz w:val="20"/>
                <w:szCs w:val="20"/>
                <w:color w:val="auto"/>
              </w:rPr>
            </w:pPr>
            <w:r>
              <w:rPr>
                <w:rFonts w:ascii="Arial" w:cs="Arial" w:eastAsia="Arial" w:hAnsi="Arial"/>
                <w:sz w:val="16"/>
                <w:szCs w:val="16"/>
                <w:b w:val="1"/>
                <w:bCs w:val="1"/>
                <w:color w:val="auto"/>
              </w:rPr>
              <w:t>Hotchkis and Wiley Capital</w:t>
            </w:r>
          </w:p>
        </w:tc>
        <w:tc>
          <w:tcPr>
            <w:tcW w:w="1240" w:type="dxa"/>
            <w:vAlign w:val="bottom"/>
          </w:tcPr>
          <w:p>
            <w:pPr>
              <w:jc w:val="right"/>
              <w:ind w:right="79"/>
              <w:spacing w:after="0" w:line="142" w:lineRule="exact"/>
              <w:rPr>
                <w:sz w:val="20"/>
                <w:szCs w:val="20"/>
                <w:color w:val="auto"/>
              </w:rPr>
            </w:pPr>
            <w:r>
              <w:rPr>
                <w:rFonts w:ascii="Arial" w:cs="Arial" w:eastAsia="Arial" w:hAnsi="Arial"/>
                <w:sz w:val="16"/>
                <w:szCs w:val="16"/>
                <w:color w:val="auto"/>
              </w:rPr>
              <w:t>33,797,033</w:t>
            </w:r>
          </w:p>
        </w:tc>
        <w:tc>
          <w:tcPr>
            <w:tcW w:w="1240" w:type="dxa"/>
            <w:vAlign w:val="bottom"/>
          </w:tcPr>
          <w:p>
            <w:pPr>
              <w:jc w:val="right"/>
              <w:ind w:right="199"/>
              <w:spacing w:after="0" w:line="142"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line="142" w:lineRule="exact"/>
              <w:rPr>
                <w:sz w:val="20"/>
                <w:szCs w:val="20"/>
                <w:color w:val="auto"/>
              </w:rPr>
            </w:pPr>
            <w:r>
              <w:rPr>
                <w:rFonts w:ascii="Arial" w:cs="Arial" w:eastAsia="Arial" w:hAnsi="Arial"/>
                <w:sz w:val="16"/>
                <w:szCs w:val="16"/>
                <w:color w:val="auto"/>
              </w:rPr>
              <w:t>36,439,749</w:t>
            </w:r>
          </w:p>
        </w:tc>
        <w:tc>
          <w:tcPr>
            <w:tcW w:w="1180" w:type="dxa"/>
            <w:vAlign w:val="bottom"/>
          </w:tcPr>
          <w:p>
            <w:pPr>
              <w:jc w:val="right"/>
              <w:ind w:right="99"/>
              <w:spacing w:after="0" w:line="142"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line="142" w:lineRule="exact"/>
              <w:rPr>
                <w:sz w:val="20"/>
                <w:szCs w:val="20"/>
                <w:color w:val="auto"/>
              </w:rPr>
            </w:pPr>
            <w:r>
              <w:rPr>
                <w:rFonts w:ascii="Arial" w:cs="Arial" w:eastAsia="Arial" w:hAnsi="Arial"/>
                <w:sz w:val="16"/>
                <w:szCs w:val="16"/>
                <w:b w:val="1"/>
                <w:bCs w:val="1"/>
                <w:color w:val="auto"/>
              </w:rPr>
              <w:t>36,439,749</w:t>
            </w:r>
          </w:p>
        </w:tc>
        <w:tc>
          <w:tcPr>
            <w:tcW w:w="1040" w:type="dxa"/>
            <w:vAlign w:val="bottom"/>
          </w:tcPr>
          <w:p>
            <w:pPr>
              <w:jc w:val="right"/>
              <w:spacing w:after="0" w:line="142" w:lineRule="exact"/>
              <w:rPr>
                <w:sz w:val="20"/>
                <w:szCs w:val="20"/>
                <w:color w:val="auto"/>
              </w:rPr>
            </w:pPr>
            <w:r>
              <w:rPr>
                <w:rFonts w:ascii="Arial" w:cs="Arial" w:eastAsia="Arial" w:hAnsi="Arial"/>
                <w:sz w:val="16"/>
                <w:szCs w:val="16"/>
                <w:color w:val="auto"/>
              </w:rPr>
              <w:t>10.31%</w:t>
            </w:r>
          </w:p>
        </w:tc>
      </w:tr>
      <w:tr>
        <w:trPr>
          <w:trHeight w:val="215"/>
        </w:trPr>
        <w:tc>
          <w:tcPr>
            <w:tcW w:w="2500" w:type="dxa"/>
            <w:vAlign w:val="bottom"/>
          </w:tcPr>
          <w:p>
            <w:pPr>
              <w:spacing w:after="0" w:line="216" w:lineRule="exact"/>
              <w:rPr>
                <w:sz w:val="20"/>
                <w:szCs w:val="20"/>
                <w:color w:val="auto"/>
              </w:rPr>
            </w:pPr>
            <w:r>
              <w:rPr>
                <w:rFonts w:ascii="Arial" w:cs="Arial" w:eastAsia="Arial" w:hAnsi="Arial"/>
                <w:sz w:val="16"/>
                <w:szCs w:val="16"/>
                <w:b w:val="1"/>
                <w:bCs w:val="1"/>
                <w:color w:val="auto"/>
              </w:rPr>
              <w:t>Management, LLC</w:t>
            </w:r>
            <w:r>
              <w:rPr>
                <w:rFonts w:ascii="Arial" w:cs="Arial" w:eastAsia="Arial" w:hAnsi="Arial"/>
                <w:sz w:val="21"/>
                <w:szCs w:val="21"/>
                <w:color w:val="auto"/>
                <w:vertAlign w:val="superscript"/>
              </w:rPr>
              <w:t>(2)</w:t>
            </w: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601 S. Figueroa St., 39th Floor</w:t>
            </w: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Los Angeles, CA 90017</w:t>
            </w:r>
          </w:p>
        </w:tc>
        <w:tc>
          <w:tcPr>
            <w:tcW w:w="1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68"/>
        </w:trPr>
        <w:tc>
          <w:tcPr>
            <w:tcW w:w="2500" w:type="dxa"/>
            <w:vAlign w:val="bottom"/>
          </w:tcPr>
          <w:p>
            <w:pPr>
              <w:spacing w:after="0" w:line="168" w:lineRule="exact"/>
              <w:rPr>
                <w:sz w:val="20"/>
                <w:szCs w:val="20"/>
                <w:color w:val="auto"/>
              </w:rPr>
            </w:pPr>
            <w:r>
              <w:rPr>
                <w:rFonts w:ascii="Arial" w:cs="Arial" w:eastAsia="Arial" w:hAnsi="Arial"/>
                <w:sz w:val="15"/>
                <w:szCs w:val="15"/>
                <w:b w:val="1"/>
                <w:bCs w:val="1"/>
                <w:color w:val="auto"/>
              </w:rPr>
              <w:t>BlackRock, Inc.</w:t>
            </w:r>
            <w:r>
              <w:rPr>
                <w:rFonts w:ascii="Arial" w:cs="Arial" w:eastAsia="Arial" w:hAnsi="Arial"/>
                <w:sz w:val="19"/>
                <w:szCs w:val="19"/>
                <w:color w:val="auto"/>
                <w:vertAlign w:val="superscript"/>
              </w:rPr>
              <w:t>(3)</w:t>
            </w:r>
          </w:p>
        </w:tc>
        <w:tc>
          <w:tcPr>
            <w:tcW w:w="1240" w:type="dxa"/>
            <w:vAlign w:val="bottom"/>
          </w:tcPr>
          <w:p>
            <w:pPr>
              <w:jc w:val="right"/>
              <w:ind w:right="79"/>
              <w:spacing w:after="0" w:line="168" w:lineRule="exact"/>
              <w:rPr>
                <w:sz w:val="20"/>
                <w:szCs w:val="20"/>
                <w:color w:val="auto"/>
              </w:rPr>
            </w:pPr>
            <w:r>
              <w:rPr>
                <w:rFonts w:ascii="Arial" w:cs="Arial" w:eastAsia="Arial" w:hAnsi="Arial"/>
                <w:sz w:val="16"/>
                <w:szCs w:val="16"/>
                <w:color w:val="auto"/>
              </w:rPr>
              <w:t>22,098,206</w:t>
            </w:r>
          </w:p>
        </w:tc>
        <w:tc>
          <w:tcPr>
            <w:tcW w:w="1240" w:type="dxa"/>
            <w:vAlign w:val="bottom"/>
          </w:tcPr>
          <w:p>
            <w:pPr>
              <w:jc w:val="right"/>
              <w:ind w:right="199"/>
              <w:spacing w:after="0" w:line="168"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22,869,642</w:t>
            </w:r>
          </w:p>
        </w:tc>
        <w:tc>
          <w:tcPr>
            <w:tcW w:w="1180" w:type="dxa"/>
            <w:vAlign w:val="bottom"/>
          </w:tcPr>
          <w:p>
            <w:pPr>
              <w:jc w:val="right"/>
              <w:ind w:right="99"/>
              <w:spacing w:after="0" w:line="168"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line="168" w:lineRule="exact"/>
              <w:rPr>
                <w:sz w:val="20"/>
                <w:szCs w:val="20"/>
                <w:color w:val="auto"/>
              </w:rPr>
            </w:pPr>
            <w:r>
              <w:rPr>
                <w:rFonts w:ascii="Arial" w:cs="Arial" w:eastAsia="Arial" w:hAnsi="Arial"/>
                <w:sz w:val="16"/>
                <w:szCs w:val="16"/>
                <w:b w:val="1"/>
                <w:bCs w:val="1"/>
                <w:color w:val="auto"/>
              </w:rPr>
              <w:t>22,869,642</w:t>
            </w:r>
          </w:p>
        </w:tc>
        <w:tc>
          <w:tcPr>
            <w:tcW w:w="1040" w:type="dxa"/>
            <w:vAlign w:val="bottom"/>
          </w:tcPr>
          <w:p>
            <w:pPr>
              <w:jc w:val="right"/>
              <w:spacing w:after="0" w:line="168" w:lineRule="exact"/>
              <w:rPr>
                <w:sz w:val="20"/>
                <w:szCs w:val="20"/>
                <w:color w:val="auto"/>
              </w:rPr>
            </w:pPr>
            <w:r>
              <w:rPr>
                <w:rFonts w:ascii="Arial" w:cs="Arial" w:eastAsia="Arial" w:hAnsi="Arial"/>
                <w:sz w:val="16"/>
                <w:szCs w:val="16"/>
                <w:color w:val="auto"/>
              </w:rPr>
              <w:t>6.47%</w:t>
            </w: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50 Hudson Yards</w:t>
            </w: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New York, NY 10001</w:t>
            </w:r>
          </w:p>
        </w:tc>
        <w:tc>
          <w:tcPr>
            <w:tcW w:w="1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84"/>
        </w:trPr>
        <w:tc>
          <w:tcPr>
            <w:tcW w:w="2500" w:type="dxa"/>
            <w:vAlign w:val="bottom"/>
          </w:tcPr>
          <w:p>
            <w:pPr>
              <w:spacing w:after="0" w:line="185" w:lineRule="exact"/>
              <w:rPr>
                <w:sz w:val="20"/>
                <w:szCs w:val="20"/>
                <w:color w:val="auto"/>
              </w:rPr>
            </w:pPr>
            <w:r>
              <w:rPr>
                <w:rFonts w:ascii="Arial" w:cs="Arial" w:eastAsia="Arial" w:hAnsi="Arial"/>
                <w:sz w:val="16"/>
                <w:szCs w:val="16"/>
                <w:b w:val="1"/>
                <w:bCs w:val="1"/>
                <w:color w:val="auto"/>
              </w:rPr>
              <w:t>State Street Corp.</w:t>
            </w:r>
            <w:r>
              <w:rPr>
                <w:rFonts w:ascii="Arial" w:cs="Arial" w:eastAsia="Arial" w:hAnsi="Arial"/>
                <w:sz w:val="21"/>
                <w:szCs w:val="21"/>
                <w:color w:val="auto"/>
                <w:vertAlign w:val="superscript"/>
              </w:rPr>
              <w:t>(4)</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15,447,646</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19,990,057</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20,002,099</w:t>
            </w:r>
          </w:p>
        </w:tc>
        <w:tc>
          <w:tcPr>
            <w:tcW w:w="1040" w:type="dxa"/>
            <w:vAlign w:val="bottom"/>
          </w:tcPr>
          <w:p>
            <w:pPr>
              <w:jc w:val="right"/>
              <w:spacing w:after="0"/>
              <w:rPr>
                <w:sz w:val="20"/>
                <w:szCs w:val="20"/>
                <w:color w:val="auto"/>
              </w:rPr>
            </w:pPr>
            <w:r>
              <w:rPr>
                <w:rFonts w:ascii="Arial" w:cs="Arial" w:eastAsia="Arial" w:hAnsi="Arial"/>
                <w:sz w:val="16"/>
                <w:szCs w:val="16"/>
                <w:color w:val="auto"/>
              </w:rPr>
              <w:t>5.66%</w:t>
            </w:r>
          </w:p>
        </w:tc>
      </w:tr>
    </w:tbl>
    <w:p>
      <w:pPr>
        <w:spacing w:after="0"/>
        <w:rPr>
          <w:sz w:val="20"/>
          <w:szCs w:val="20"/>
          <w:color w:val="auto"/>
        </w:rPr>
      </w:pPr>
      <w:r>
        <w:rPr>
          <w:rFonts w:ascii="Arial" w:cs="Arial" w:eastAsia="Arial" w:hAnsi="Arial"/>
          <w:sz w:val="16"/>
          <w:szCs w:val="16"/>
          <w:color w:val="auto"/>
        </w:rPr>
        <w:t>1 Congress St., Ste. 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Boston, MA 02114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61722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ind w:left="320" w:hanging="316"/>
        <w:spacing w:after="0"/>
        <w:tabs>
          <w:tab w:leader="none" w:pos="320" w:val="left"/>
        </w:tabs>
        <w:numPr>
          <w:ilvl w:val="0"/>
          <w:numId w:val="128"/>
        </w:numPr>
        <w:rPr>
          <w:rFonts w:ascii="Arial" w:cs="Arial" w:eastAsia="Arial" w:hAnsi="Arial"/>
          <w:sz w:val="14"/>
          <w:szCs w:val="14"/>
          <w:color w:val="404040"/>
        </w:rPr>
      </w:pPr>
      <w:r>
        <w:rPr>
          <w:rFonts w:ascii="Arial" w:cs="Arial" w:eastAsia="Arial" w:hAnsi="Arial"/>
          <w:sz w:val="14"/>
          <w:szCs w:val="14"/>
          <w:color w:val="404040"/>
        </w:rPr>
        <w:t>Calculated based on the aggregate number of shares of the Company’s common stock outstanding as of February 28, 2026.</w:t>
      </w:r>
    </w:p>
    <w:p>
      <w:pPr>
        <w:spacing w:after="0" w:line="8" w:lineRule="exact"/>
        <w:rPr>
          <w:sz w:val="20"/>
          <w:szCs w:val="20"/>
          <w:color w:val="auto"/>
        </w:rPr>
      </w:pPr>
    </w:p>
    <w:p>
      <w:pPr>
        <w:ind w:left="240" w:right="20" w:hanging="236"/>
        <w:spacing w:after="0" w:line="241" w:lineRule="auto"/>
        <w:tabs>
          <w:tab w:leader="none" w:pos="240" w:val="left"/>
        </w:tabs>
        <w:numPr>
          <w:ilvl w:val="0"/>
          <w:numId w:val="129"/>
        </w:numPr>
        <w:rPr>
          <w:rFonts w:ascii="Arial" w:cs="Arial" w:eastAsia="Arial" w:hAnsi="Arial"/>
          <w:sz w:val="14"/>
          <w:szCs w:val="14"/>
          <w:color w:val="404040"/>
        </w:rPr>
      </w:pPr>
      <w:r>
        <w:rPr>
          <w:rFonts w:ascii="Arial" w:cs="Arial" w:eastAsia="Arial" w:hAnsi="Arial"/>
          <w:sz w:val="14"/>
          <w:szCs w:val="14"/>
          <w:color w:val="404040"/>
        </w:rPr>
        <w:t>Per Schedule 13G/A filed by The Vanguard Group, Inc. (Vanguard) on April 30, 2025. Subsequent to the as-of date specified above, Vanguard reported an internal realignment and that it no longer has, or is deemed to have, beneficial ownership over Company securities beneficially owned by certain Vanguard subsidiaries or business divisions. Vanguard also reported that certain subsidiaries or business divisions that formerly had, or were deemed to have, beneficial ownership with Vanguard will report beneficial ownership separately, on a disaggregated basis.</w:t>
      </w:r>
    </w:p>
    <w:p>
      <w:pPr>
        <w:spacing w:after="0" w:line="1" w:lineRule="exact"/>
        <w:rPr>
          <w:rFonts w:ascii="Arial" w:cs="Arial" w:eastAsia="Arial" w:hAnsi="Arial"/>
          <w:sz w:val="14"/>
          <w:szCs w:val="14"/>
          <w:color w:val="404040"/>
        </w:rPr>
      </w:pPr>
    </w:p>
    <w:p>
      <w:pPr>
        <w:ind w:left="240" w:hanging="236"/>
        <w:spacing w:after="0"/>
        <w:tabs>
          <w:tab w:leader="none" w:pos="240" w:val="left"/>
        </w:tabs>
        <w:numPr>
          <w:ilvl w:val="0"/>
          <w:numId w:val="129"/>
        </w:numPr>
        <w:rPr>
          <w:rFonts w:ascii="Arial" w:cs="Arial" w:eastAsia="Arial" w:hAnsi="Arial"/>
          <w:sz w:val="14"/>
          <w:szCs w:val="14"/>
          <w:color w:val="404040"/>
        </w:rPr>
      </w:pPr>
      <w:r>
        <w:rPr>
          <w:rFonts w:ascii="Arial" w:cs="Arial" w:eastAsia="Arial" w:hAnsi="Arial"/>
          <w:sz w:val="14"/>
          <w:szCs w:val="14"/>
          <w:color w:val="404040"/>
        </w:rPr>
        <w:t>Per Schedule 13G/A filed by Hotchkis and Wiley Capital Management, LLC on April 7, 2025.</w:t>
      </w:r>
    </w:p>
    <w:p>
      <w:pPr>
        <w:spacing w:after="0" w:line="1" w:lineRule="exact"/>
        <w:rPr>
          <w:rFonts w:ascii="Arial" w:cs="Arial" w:eastAsia="Arial" w:hAnsi="Arial"/>
          <w:sz w:val="14"/>
          <w:szCs w:val="14"/>
          <w:color w:val="404040"/>
        </w:rPr>
      </w:pPr>
    </w:p>
    <w:p>
      <w:pPr>
        <w:ind w:left="240" w:hanging="236"/>
        <w:spacing w:after="0"/>
        <w:tabs>
          <w:tab w:leader="none" w:pos="240" w:val="left"/>
        </w:tabs>
        <w:numPr>
          <w:ilvl w:val="0"/>
          <w:numId w:val="129"/>
        </w:numPr>
        <w:rPr>
          <w:rFonts w:ascii="Arial" w:cs="Arial" w:eastAsia="Arial" w:hAnsi="Arial"/>
          <w:sz w:val="14"/>
          <w:szCs w:val="14"/>
          <w:color w:val="404040"/>
        </w:rPr>
      </w:pPr>
      <w:r>
        <w:rPr>
          <w:rFonts w:ascii="Arial" w:cs="Arial" w:eastAsia="Arial" w:hAnsi="Arial"/>
          <w:sz w:val="14"/>
          <w:szCs w:val="14"/>
          <w:color w:val="404040"/>
        </w:rPr>
        <w:t>Per Schedule 13G/A filed by BlackRock, Inc. on April 17, 2025.</w:t>
      </w:r>
    </w:p>
    <w:p>
      <w:pPr>
        <w:spacing w:after="0" w:line="1" w:lineRule="exact"/>
        <w:rPr>
          <w:rFonts w:ascii="Arial" w:cs="Arial" w:eastAsia="Arial" w:hAnsi="Arial"/>
          <w:sz w:val="14"/>
          <w:szCs w:val="14"/>
          <w:color w:val="404040"/>
        </w:rPr>
      </w:pPr>
    </w:p>
    <w:p>
      <w:pPr>
        <w:ind w:left="240" w:hanging="236"/>
        <w:spacing w:after="0"/>
        <w:tabs>
          <w:tab w:leader="none" w:pos="240" w:val="left"/>
        </w:tabs>
        <w:numPr>
          <w:ilvl w:val="0"/>
          <w:numId w:val="129"/>
        </w:numPr>
        <w:rPr>
          <w:rFonts w:ascii="Arial" w:cs="Arial" w:eastAsia="Arial" w:hAnsi="Arial"/>
          <w:sz w:val="14"/>
          <w:szCs w:val="14"/>
          <w:color w:val="404040"/>
        </w:rPr>
      </w:pPr>
      <w:r>
        <w:rPr>
          <w:rFonts w:ascii="Arial" w:cs="Arial" w:eastAsia="Arial" w:hAnsi="Arial"/>
          <w:sz w:val="14"/>
          <w:szCs w:val="14"/>
          <w:color w:val="404040"/>
        </w:rPr>
        <w:t>Per Schedule 13G/A filed by State Street Corp. on January 30, 2024.</w:t>
      </w:r>
    </w:p>
    <w:p>
      <w:pPr>
        <w:spacing w:after="0" w:line="17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Equity Compensation Plan Information</w:t>
      </w:r>
    </w:p>
    <w:p>
      <w:pPr>
        <w:spacing w:after="0" w:line="24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following table summarizes information as of December 31, 2025, relating to the Company’s equity compensation plans, under which grants of stock options, RSUs, and other rights to acquire shares of APA common stock may be granted from time to time.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60" w:type="dxa"/>
            <w:vAlign w:val="bottom"/>
            <w:tcBorders>
              <w:top w:val="single" w:sz="8" w:color="auto"/>
            </w:tcBorders>
            <w:shd w:val="clear" w:color="auto" w:fill="F3F3F4"/>
          </w:tcPr>
          <w:p>
            <w:pPr>
              <w:spacing w:after="0"/>
              <w:rPr>
                <w:sz w:val="16"/>
                <w:szCs w:val="16"/>
                <w:color w:val="auto"/>
              </w:rPr>
            </w:pPr>
          </w:p>
        </w:tc>
        <w:tc>
          <w:tcPr>
            <w:tcW w:w="1840" w:type="dxa"/>
            <w:vAlign w:val="bottom"/>
            <w:tcBorders>
              <w:top w:val="single" w:sz="8" w:color="auto"/>
            </w:tcBorders>
            <w:shd w:val="clear" w:color="auto" w:fill="F3F3F4"/>
          </w:tcPr>
          <w:p>
            <w:pPr>
              <w:spacing w:after="0"/>
              <w:rPr>
                <w:sz w:val="16"/>
                <w:szCs w:val="16"/>
                <w:color w:val="auto"/>
              </w:rPr>
            </w:pPr>
          </w:p>
        </w:tc>
        <w:tc>
          <w:tcPr>
            <w:tcW w:w="1660" w:type="dxa"/>
            <w:vAlign w:val="bottom"/>
            <w:tcBorders>
              <w:top w:val="single" w:sz="8" w:color="auto"/>
            </w:tcBorders>
            <w:shd w:val="clear" w:color="auto" w:fill="F3F3F4"/>
          </w:tcPr>
          <w:p>
            <w:pPr>
              <w:spacing w:after="0"/>
              <w:rPr>
                <w:sz w:val="16"/>
                <w:szCs w:val="16"/>
                <w:color w:val="auto"/>
              </w:rPr>
            </w:pPr>
          </w:p>
        </w:tc>
        <w:tc>
          <w:tcPr>
            <w:tcW w:w="180" w:type="dxa"/>
            <w:vAlign w:val="bottom"/>
            <w:tcBorders>
              <w:top w:val="single" w:sz="8" w:color="auto"/>
            </w:tcBorders>
            <w:shd w:val="clear" w:color="auto" w:fill="F3F3F4"/>
          </w:tcPr>
          <w:p>
            <w:pPr>
              <w:spacing w:after="0"/>
              <w:rPr>
                <w:sz w:val="16"/>
                <w:szCs w:val="16"/>
                <w:color w:val="auto"/>
              </w:rPr>
            </w:pPr>
          </w:p>
        </w:tc>
        <w:tc>
          <w:tcPr>
            <w:tcW w:w="2240" w:type="dxa"/>
            <w:vAlign w:val="bottom"/>
            <w:tcBorders>
              <w:top w:val="single" w:sz="8" w:color="auto"/>
            </w:tcBorders>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Number of Securities</w:t>
            </w:r>
          </w:p>
        </w:tc>
        <w:tc>
          <w:tcPr>
            <w:tcW w:w="240" w:type="dxa"/>
            <w:vAlign w:val="bottom"/>
            <w:tcBorders>
              <w:top w:val="single" w:sz="8" w:color="auto"/>
            </w:tcBorders>
            <w:shd w:val="clear" w:color="auto" w:fill="F3F3F4"/>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F3F3F4"/>
          </w:tcPr>
          <w:p>
            <w:pPr>
              <w:spacing w:after="0"/>
              <w:rPr>
                <w:sz w:val="14"/>
                <w:szCs w:val="14"/>
                <w:color w:val="auto"/>
              </w:rPr>
            </w:pPr>
          </w:p>
        </w:tc>
        <w:tc>
          <w:tcPr>
            <w:tcW w:w="1840" w:type="dxa"/>
            <w:vAlign w:val="bottom"/>
            <w:shd w:val="clear" w:color="auto" w:fill="F3F3F4"/>
          </w:tcPr>
          <w:p>
            <w:pPr>
              <w:jc w:val="right"/>
              <w:ind w:right="68"/>
              <w:spacing w:after="0"/>
              <w:rPr>
                <w:sz w:val="20"/>
                <w:szCs w:val="20"/>
                <w:color w:val="auto"/>
              </w:rPr>
            </w:pPr>
            <w:r>
              <w:rPr>
                <w:rFonts w:ascii="Arial" w:cs="Arial" w:eastAsia="Arial" w:hAnsi="Arial"/>
                <w:sz w:val="14"/>
                <w:szCs w:val="14"/>
                <w:b w:val="1"/>
                <w:bCs w:val="1"/>
                <w:color w:val="auto"/>
              </w:rPr>
              <w:t>Number of Securities</w:t>
            </w:r>
          </w:p>
        </w:tc>
        <w:tc>
          <w:tcPr>
            <w:tcW w:w="1660" w:type="dxa"/>
            <w:vAlign w:val="bottom"/>
            <w:shd w:val="clear" w:color="auto" w:fill="F3F3F4"/>
          </w:tcPr>
          <w:p>
            <w:pPr>
              <w:spacing w:after="0"/>
              <w:rPr>
                <w:sz w:val="14"/>
                <w:szCs w:val="14"/>
                <w:color w:val="auto"/>
              </w:rPr>
            </w:pPr>
          </w:p>
        </w:tc>
        <w:tc>
          <w:tcPr>
            <w:tcW w:w="180" w:type="dxa"/>
            <w:vAlign w:val="bottom"/>
            <w:shd w:val="clear" w:color="auto" w:fill="F3F3F4"/>
          </w:tcPr>
          <w:p>
            <w:pPr>
              <w:spacing w:after="0"/>
              <w:rPr>
                <w:sz w:val="14"/>
                <w:szCs w:val="14"/>
                <w:color w:val="auto"/>
              </w:rPr>
            </w:pPr>
          </w:p>
        </w:tc>
        <w:tc>
          <w:tcPr>
            <w:tcW w:w="2240" w:type="dxa"/>
            <w:vAlign w:val="bottom"/>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Remaining Available for Future</w:t>
            </w:r>
          </w:p>
        </w:tc>
        <w:tc>
          <w:tcPr>
            <w:tcW w:w="240" w:type="dxa"/>
            <w:vAlign w:val="bottom"/>
            <w:shd w:val="clear" w:color="auto" w:fill="F3F3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F3F3F4"/>
          </w:tcPr>
          <w:p>
            <w:pPr>
              <w:spacing w:after="0"/>
              <w:rPr>
                <w:sz w:val="14"/>
                <w:szCs w:val="14"/>
                <w:color w:val="auto"/>
              </w:rPr>
            </w:pPr>
          </w:p>
        </w:tc>
        <w:tc>
          <w:tcPr>
            <w:tcW w:w="1840" w:type="dxa"/>
            <w:vAlign w:val="bottom"/>
            <w:shd w:val="clear" w:color="auto" w:fill="F3F3F4"/>
          </w:tcPr>
          <w:p>
            <w:pPr>
              <w:jc w:val="right"/>
              <w:ind w:right="68"/>
              <w:spacing w:after="0"/>
              <w:rPr>
                <w:sz w:val="20"/>
                <w:szCs w:val="20"/>
                <w:color w:val="auto"/>
              </w:rPr>
            </w:pPr>
            <w:r>
              <w:rPr>
                <w:rFonts w:ascii="Arial" w:cs="Arial" w:eastAsia="Arial" w:hAnsi="Arial"/>
                <w:sz w:val="14"/>
                <w:szCs w:val="14"/>
                <w:b w:val="1"/>
                <w:bCs w:val="1"/>
                <w:color w:val="auto"/>
              </w:rPr>
              <w:t>to be Issued Upon</w:t>
            </w:r>
          </w:p>
        </w:tc>
        <w:tc>
          <w:tcPr>
            <w:tcW w:w="1660" w:type="dxa"/>
            <w:vAlign w:val="bottom"/>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Weighted-Average</w:t>
            </w:r>
          </w:p>
        </w:tc>
        <w:tc>
          <w:tcPr>
            <w:tcW w:w="180" w:type="dxa"/>
            <w:vAlign w:val="bottom"/>
            <w:shd w:val="clear" w:color="auto" w:fill="F3F3F4"/>
          </w:tcPr>
          <w:p>
            <w:pPr>
              <w:spacing w:after="0"/>
              <w:rPr>
                <w:sz w:val="14"/>
                <w:szCs w:val="14"/>
                <w:color w:val="auto"/>
              </w:rPr>
            </w:pPr>
          </w:p>
        </w:tc>
        <w:tc>
          <w:tcPr>
            <w:tcW w:w="2240" w:type="dxa"/>
            <w:vAlign w:val="bottom"/>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Issuance Under Equity</w:t>
            </w:r>
          </w:p>
        </w:tc>
        <w:tc>
          <w:tcPr>
            <w:tcW w:w="240" w:type="dxa"/>
            <w:vAlign w:val="bottom"/>
            <w:shd w:val="clear" w:color="auto" w:fill="F3F3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F3F3F4"/>
          </w:tcPr>
          <w:p>
            <w:pPr>
              <w:spacing w:after="0"/>
              <w:rPr>
                <w:sz w:val="14"/>
                <w:szCs w:val="14"/>
                <w:color w:val="auto"/>
              </w:rPr>
            </w:pPr>
          </w:p>
        </w:tc>
        <w:tc>
          <w:tcPr>
            <w:tcW w:w="1840" w:type="dxa"/>
            <w:vAlign w:val="bottom"/>
            <w:shd w:val="clear" w:color="auto" w:fill="F3F3F4"/>
          </w:tcPr>
          <w:p>
            <w:pPr>
              <w:jc w:val="right"/>
              <w:ind w:right="68"/>
              <w:spacing w:after="0"/>
              <w:rPr>
                <w:sz w:val="20"/>
                <w:szCs w:val="20"/>
                <w:color w:val="auto"/>
              </w:rPr>
            </w:pPr>
            <w:r>
              <w:rPr>
                <w:rFonts w:ascii="Arial" w:cs="Arial" w:eastAsia="Arial" w:hAnsi="Arial"/>
                <w:sz w:val="14"/>
                <w:szCs w:val="14"/>
                <w:b w:val="1"/>
                <w:bCs w:val="1"/>
                <w:color w:val="auto"/>
              </w:rPr>
              <w:t>Exercise of</w:t>
            </w:r>
          </w:p>
        </w:tc>
        <w:tc>
          <w:tcPr>
            <w:tcW w:w="1660" w:type="dxa"/>
            <w:vAlign w:val="bottom"/>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Exercise Price of</w:t>
            </w:r>
          </w:p>
        </w:tc>
        <w:tc>
          <w:tcPr>
            <w:tcW w:w="180" w:type="dxa"/>
            <w:vAlign w:val="bottom"/>
            <w:shd w:val="clear" w:color="auto" w:fill="F3F3F4"/>
          </w:tcPr>
          <w:p>
            <w:pPr>
              <w:spacing w:after="0"/>
              <w:rPr>
                <w:sz w:val="14"/>
                <w:szCs w:val="14"/>
                <w:color w:val="auto"/>
              </w:rPr>
            </w:pPr>
          </w:p>
        </w:tc>
        <w:tc>
          <w:tcPr>
            <w:tcW w:w="2240" w:type="dxa"/>
            <w:vAlign w:val="bottom"/>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Compensation Plans</w:t>
            </w:r>
          </w:p>
        </w:tc>
        <w:tc>
          <w:tcPr>
            <w:tcW w:w="240" w:type="dxa"/>
            <w:vAlign w:val="bottom"/>
            <w:shd w:val="clear" w:color="auto" w:fill="F3F3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F3F3F4"/>
          </w:tcPr>
          <w:p>
            <w:pPr>
              <w:spacing w:after="0"/>
              <w:rPr>
                <w:sz w:val="14"/>
                <w:szCs w:val="14"/>
                <w:color w:val="auto"/>
              </w:rPr>
            </w:pPr>
          </w:p>
        </w:tc>
        <w:tc>
          <w:tcPr>
            <w:tcW w:w="1840" w:type="dxa"/>
            <w:vAlign w:val="bottom"/>
            <w:shd w:val="clear" w:color="auto" w:fill="F3F3F4"/>
          </w:tcPr>
          <w:p>
            <w:pPr>
              <w:jc w:val="right"/>
              <w:ind w:right="68"/>
              <w:spacing w:after="0"/>
              <w:rPr>
                <w:sz w:val="20"/>
                <w:szCs w:val="20"/>
                <w:color w:val="auto"/>
              </w:rPr>
            </w:pPr>
            <w:r>
              <w:rPr>
                <w:rFonts w:ascii="Arial" w:cs="Arial" w:eastAsia="Arial" w:hAnsi="Arial"/>
                <w:sz w:val="14"/>
                <w:szCs w:val="14"/>
                <w:b w:val="1"/>
                <w:bCs w:val="1"/>
                <w:color w:val="auto"/>
              </w:rPr>
              <w:t>Outstanding Options,</w:t>
            </w:r>
          </w:p>
        </w:tc>
        <w:tc>
          <w:tcPr>
            <w:tcW w:w="1660" w:type="dxa"/>
            <w:vAlign w:val="bottom"/>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Outstanding Options,</w:t>
            </w:r>
          </w:p>
        </w:tc>
        <w:tc>
          <w:tcPr>
            <w:tcW w:w="180" w:type="dxa"/>
            <w:vAlign w:val="bottom"/>
            <w:shd w:val="clear" w:color="auto" w:fill="F3F3F4"/>
          </w:tcPr>
          <w:p>
            <w:pPr>
              <w:spacing w:after="0"/>
              <w:rPr>
                <w:sz w:val="14"/>
                <w:szCs w:val="14"/>
                <w:color w:val="auto"/>
              </w:rPr>
            </w:pPr>
          </w:p>
        </w:tc>
        <w:tc>
          <w:tcPr>
            <w:tcW w:w="2240" w:type="dxa"/>
            <w:vAlign w:val="bottom"/>
            <w:shd w:val="clear" w:color="auto" w:fill="F3F3F4"/>
          </w:tcPr>
          <w:p>
            <w:pPr>
              <w:jc w:val="right"/>
              <w:ind w:right="8"/>
              <w:spacing w:after="0"/>
              <w:rPr>
                <w:sz w:val="20"/>
                <w:szCs w:val="20"/>
                <w:color w:val="auto"/>
              </w:rPr>
            </w:pPr>
            <w:r>
              <w:rPr>
                <w:rFonts w:ascii="Arial" w:cs="Arial" w:eastAsia="Arial" w:hAnsi="Arial"/>
                <w:sz w:val="14"/>
                <w:szCs w:val="14"/>
                <w:b w:val="1"/>
                <w:bCs w:val="1"/>
                <w:color w:val="auto"/>
              </w:rPr>
              <w:t>(Excluding Securities Reflected</w:t>
            </w:r>
          </w:p>
        </w:tc>
        <w:tc>
          <w:tcPr>
            <w:tcW w:w="240" w:type="dxa"/>
            <w:vAlign w:val="bottom"/>
            <w:shd w:val="clear" w:color="auto" w:fill="F3F3F4"/>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F3F3F4"/>
          </w:tcPr>
          <w:p>
            <w:pPr>
              <w:spacing w:after="0"/>
              <w:rPr>
                <w:sz w:val="14"/>
                <w:szCs w:val="14"/>
                <w:color w:val="auto"/>
              </w:rPr>
            </w:pPr>
          </w:p>
        </w:tc>
        <w:tc>
          <w:tcPr>
            <w:tcW w:w="1840" w:type="dxa"/>
            <w:vAlign w:val="bottom"/>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Warrants, and Rights</w:t>
            </w:r>
          </w:p>
        </w:tc>
        <w:tc>
          <w:tcPr>
            <w:tcW w:w="1660" w:type="dxa"/>
            <w:vAlign w:val="bottom"/>
            <w:shd w:val="clear" w:color="auto" w:fill="F3F3F4"/>
          </w:tcPr>
          <w:p>
            <w:pPr>
              <w:jc w:val="right"/>
              <w:spacing w:after="0"/>
              <w:rPr>
                <w:sz w:val="20"/>
                <w:szCs w:val="20"/>
                <w:color w:val="auto"/>
              </w:rPr>
            </w:pPr>
            <w:r>
              <w:rPr>
                <w:rFonts w:ascii="Arial" w:cs="Arial" w:eastAsia="Arial" w:hAnsi="Arial"/>
                <w:sz w:val="14"/>
                <w:szCs w:val="14"/>
                <w:b w:val="1"/>
                <w:bCs w:val="1"/>
                <w:color w:val="auto"/>
              </w:rPr>
              <w:t>Warrants, and Rights</w:t>
            </w:r>
          </w:p>
        </w:tc>
        <w:tc>
          <w:tcPr>
            <w:tcW w:w="180" w:type="dxa"/>
            <w:vAlign w:val="bottom"/>
            <w:shd w:val="clear" w:color="auto" w:fill="F3F3F4"/>
          </w:tcPr>
          <w:p>
            <w:pPr>
              <w:spacing w:after="0"/>
              <w:rPr>
                <w:sz w:val="14"/>
                <w:szCs w:val="14"/>
                <w:color w:val="auto"/>
              </w:rPr>
            </w:pPr>
          </w:p>
        </w:tc>
        <w:tc>
          <w:tcPr>
            <w:tcW w:w="2240" w:type="dxa"/>
            <w:vAlign w:val="bottom"/>
            <w:shd w:val="clear" w:color="auto" w:fill="F3F3F4"/>
          </w:tcPr>
          <w:p>
            <w:pPr>
              <w:jc w:val="right"/>
              <w:spacing w:after="0"/>
              <w:rPr>
                <w:sz w:val="20"/>
                <w:szCs w:val="20"/>
                <w:color w:val="auto"/>
              </w:rPr>
            </w:pPr>
            <w:r>
              <w:rPr>
                <w:rFonts w:ascii="Arial" w:cs="Arial" w:eastAsia="Arial" w:hAnsi="Arial"/>
                <w:sz w:val="14"/>
                <w:szCs w:val="14"/>
                <w:b w:val="1"/>
                <w:bCs w:val="1"/>
                <w:color w:val="auto"/>
              </w:rPr>
              <w:t>in First Column)</w:t>
            </w:r>
          </w:p>
        </w:tc>
        <w:tc>
          <w:tcPr>
            <w:tcW w:w="240" w:type="dxa"/>
            <w:vAlign w:val="bottom"/>
            <w:shd w:val="clear" w:color="auto" w:fill="F3F3F4"/>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56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tcBorders>
              <w:bottom w:val="single" w:sz="8" w:color="auto"/>
            </w:tcBorders>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F3F3F4"/>
          </w:tcPr>
          <w:p>
            <w:pPr>
              <w:spacing w:after="0"/>
              <w:rPr>
                <w:sz w:val="17"/>
                <w:szCs w:val="17"/>
                <w:color w:val="auto"/>
              </w:rPr>
            </w:pPr>
          </w:p>
        </w:tc>
        <w:tc>
          <w:tcPr>
            <w:tcW w:w="224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shd w:val="clear" w:color="auto" w:fill="F3F3F4"/>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560" w:type="dxa"/>
            <w:vAlign w:val="bottom"/>
          </w:tcPr>
          <w:p>
            <w:pPr>
              <w:spacing w:after="0" w:line="157" w:lineRule="exact"/>
              <w:rPr>
                <w:sz w:val="20"/>
                <w:szCs w:val="20"/>
                <w:color w:val="auto"/>
              </w:rPr>
            </w:pPr>
            <w:r>
              <w:rPr>
                <w:rFonts w:ascii="Arial" w:cs="Arial" w:eastAsia="Arial" w:hAnsi="Arial"/>
                <w:sz w:val="14"/>
                <w:szCs w:val="14"/>
                <w:color w:val="auto"/>
              </w:rPr>
              <w:t>Equity compensation plans approved by security</w:t>
            </w:r>
          </w:p>
        </w:tc>
        <w:tc>
          <w:tcPr>
            <w:tcW w:w="18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 w:type="dxa"/>
            <w:vAlign w:val="bottom"/>
            <w:vMerge w:val="restart"/>
          </w:tcPr>
          <w:p>
            <w:pPr>
              <w:jc w:val="right"/>
              <w:ind w:right="6"/>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tcPr>
          <w:p>
            <w:pPr>
              <w:spacing w:after="0" w:line="216" w:lineRule="exact"/>
              <w:rPr>
                <w:sz w:val="20"/>
                <w:szCs w:val="20"/>
                <w:color w:val="auto"/>
              </w:rPr>
            </w:pPr>
            <w:r>
              <w:rPr>
                <w:rFonts w:ascii="Arial" w:cs="Arial" w:eastAsia="Arial" w:hAnsi="Arial"/>
                <w:sz w:val="14"/>
                <w:szCs w:val="14"/>
                <w:color w:val="auto"/>
              </w:rPr>
              <w:t>holders</w:t>
            </w:r>
            <w:r>
              <w:rPr>
                <w:rFonts w:ascii="Arial" w:cs="Arial" w:eastAsia="Arial" w:hAnsi="Arial"/>
                <w:sz w:val="19"/>
                <w:szCs w:val="19"/>
                <w:color w:val="auto"/>
                <w:vertAlign w:val="superscript"/>
              </w:rPr>
              <w:t>(1)</w:t>
            </w: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4,451,927</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5,180,719</w:t>
            </w:r>
          </w:p>
        </w:tc>
        <w:tc>
          <w:tcPr>
            <w:tcW w:w="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line="155" w:lineRule="exact"/>
              <w:rPr>
                <w:sz w:val="20"/>
                <w:szCs w:val="20"/>
                <w:color w:val="auto"/>
              </w:rPr>
            </w:pPr>
            <w:r>
              <w:rPr>
                <w:rFonts w:ascii="Arial" w:cs="Arial" w:eastAsia="Arial" w:hAnsi="Arial"/>
                <w:sz w:val="14"/>
                <w:szCs w:val="14"/>
                <w:color w:val="auto"/>
              </w:rPr>
              <w:t>Equity compensation plans not approved by security</w:t>
            </w:r>
          </w:p>
        </w:tc>
        <w:tc>
          <w:tcPr>
            <w:tcW w:w="18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tcPr>
          <w:p>
            <w:pPr>
              <w:spacing w:after="0" w:line="216" w:lineRule="exact"/>
              <w:rPr>
                <w:sz w:val="20"/>
                <w:szCs w:val="20"/>
                <w:color w:val="auto"/>
              </w:rPr>
            </w:pPr>
            <w:r>
              <w:rPr>
                <w:rFonts w:ascii="Arial" w:cs="Arial" w:eastAsia="Arial" w:hAnsi="Arial"/>
                <w:sz w:val="14"/>
                <w:szCs w:val="14"/>
                <w:color w:val="auto"/>
              </w:rPr>
              <w:t>holders</w:t>
            </w:r>
            <w:r>
              <w:rPr>
                <w:rFonts w:ascii="Arial" w:cs="Arial" w:eastAsia="Arial" w:hAnsi="Arial"/>
                <w:sz w:val="19"/>
                <w:szCs w:val="19"/>
                <w:color w:val="auto"/>
                <w:vertAlign w:val="superscript"/>
              </w:rPr>
              <w:t>(2)</w:t>
            </w: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75,778</w:t>
            </w:r>
          </w:p>
        </w:tc>
        <w:tc>
          <w:tcPr>
            <w:tcW w:w="1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541,956</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6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4"/>
                <w:szCs w:val="14"/>
                <w:b w:val="1"/>
                <w:bCs w:val="1"/>
                <w:color w:val="auto"/>
              </w:rPr>
              <w:t>TOTAL</w:t>
            </w:r>
          </w:p>
        </w:tc>
        <w:tc>
          <w:tcPr>
            <w:tcW w:w="1840" w:type="dxa"/>
            <w:vAlign w:val="bottom"/>
            <w:tcBorders>
              <w:bottom w:val="single" w:sz="8" w:color="auto"/>
            </w:tcBorders>
            <w:shd w:val="clear" w:color="auto" w:fill="F3F3F4"/>
          </w:tcPr>
          <w:p>
            <w:pPr>
              <w:jc w:val="right"/>
              <w:ind w:right="28"/>
              <w:spacing w:after="0"/>
              <w:rPr>
                <w:sz w:val="20"/>
                <w:szCs w:val="20"/>
                <w:color w:val="auto"/>
              </w:rPr>
            </w:pPr>
            <w:r>
              <w:rPr>
                <w:rFonts w:ascii="Arial" w:cs="Arial" w:eastAsia="Arial" w:hAnsi="Arial"/>
                <w:sz w:val="14"/>
                <w:szCs w:val="14"/>
                <w:b w:val="1"/>
                <w:bCs w:val="1"/>
                <w:color w:val="auto"/>
              </w:rPr>
              <w:t>4,527,705</w:t>
            </w:r>
          </w:p>
        </w:tc>
        <w:tc>
          <w:tcPr>
            <w:tcW w:w="166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4"/>
                <w:szCs w:val="14"/>
                <w:b w:val="1"/>
                <w:bCs w:val="1"/>
                <w:color w:val="auto"/>
              </w:rPr>
              <w:t>35.17</w:t>
            </w:r>
          </w:p>
        </w:tc>
        <w:tc>
          <w:tcPr>
            <w:tcW w:w="18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0"/>
                <w:szCs w:val="10"/>
                <w:color w:val="auto"/>
              </w:rPr>
              <w:t>(3)</w:t>
            </w:r>
          </w:p>
        </w:tc>
        <w:tc>
          <w:tcPr>
            <w:tcW w:w="224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4"/>
                <w:szCs w:val="14"/>
                <w:b w:val="1"/>
                <w:bCs w:val="1"/>
                <w:color w:val="auto"/>
              </w:rPr>
              <w:t>5,722,675</w:t>
            </w:r>
          </w:p>
        </w:tc>
        <w:tc>
          <w:tcPr>
            <w:tcW w:w="240" w:type="dxa"/>
            <w:vAlign w:val="bottom"/>
            <w:tcBorders>
              <w:bottom w:val="single" w:sz="8" w:color="auto"/>
            </w:tcBorders>
            <w:shd w:val="clear" w:color="auto" w:fill="F3F3F4"/>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40" w:hanging="236"/>
        <w:spacing w:after="0"/>
        <w:tabs>
          <w:tab w:leader="none" w:pos="240" w:val="left"/>
        </w:tabs>
        <w:numPr>
          <w:ilvl w:val="0"/>
          <w:numId w:val="130"/>
        </w:numPr>
        <w:rPr>
          <w:rFonts w:ascii="Arial" w:cs="Arial" w:eastAsia="Arial" w:hAnsi="Arial"/>
          <w:sz w:val="14"/>
          <w:szCs w:val="14"/>
          <w:color w:val="404040"/>
        </w:rPr>
      </w:pPr>
      <w:r>
        <w:rPr>
          <w:rFonts w:ascii="Arial" w:cs="Arial" w:eastAsia="Arial" w:hAnsi="Arial"/>
          <w:sz w:val="14"/>
          <w:szCs w:val="14"/>
          <w:color w:val="404040"/>
        </w:rPr>
        <w:t>Includes the Company’s 2011 Omnibus Equity Compensation Plan and 2016 Omnibus Compensation Plan.</w:t>
      </w:r>
    </w:p>
    <w:p>
      <w:pPr>
        <w:spacing w:after="0" w:line="15" w:lineRule="exact"/>
        <w:rPr>
          <w:rFonts w:ascii="Arial" w:cs="Arial" w:eastAsia="Arial" w:hAnsi="Arial"/>
          <w:sz w:val="14"/>
          <w:szCs w:val="14"/>
          <w:color w:val="404040"/>
        </w:rPr>
      </w:pPr>
    </w:p>
    <w:p>
      <w:pPr>
        <w:ind w:left="240" w:right="360" w:hanging="236"/>
        <w:spacing w:after="0" w:line="241" w:lineRule="auto"/>
        <w:tabs>
          <w:tab w:leader="none" w:pos="240" w:val="left"/>
        </w:tabs>
        <w:numPr>
          <w:ilvl w:val="0"/>
          <w:numId w:val="130"/>
        </w:numPr>
        <w:rPr>
          <w:rFonts w:ascii="Arial" w:cs="Arial" w:eastAsia="Arial" w:hAnsi="Arial"/>
          <w:sz w:val="14"/>
          <w:szCs w:val="14"/>
          <w:color w:val="404040"/>
        </w:rPr>
      </w:pPr>
      <w:r>
        <w:rPr>
          <w:rFonts w:ascii="Arial" w:cs="Arial" w:eastAsia="Arial" w:hAnsi="Arial"/>
          <w:sz w:val="14"/>
          <w:szCs w:val="14"/>
          <w:color w:val="404040"/>
        </w:rPr>
        <w:t>Includes the Directors’ Compensation Plan and Deferred Delivery Plan. The Company’s Deferred Delivery Plan allows officers and certain key employees to defer income from RSUs granted under the 2016 Omnibus Compensation Plan in the form of deferred units. Each deferred unit is equivalent to one share of APA common stock. Distributions from the plan are made, at the election of the participant, beginning five years from deferral or upon termination of employment.</w:t>
      </w:r>
    </w:p>
    <w:p>
      <w:pPr>
        <w:spacing w:after="0" w:line="1" w:lineRule="exact"/>
        <w:rPr>
          <w:rFonts w:ascii="Arial" w:cs="Arial" w:eastAsia="Arial" w:hAnsi="Arial"/>
          <w:sz w:val="14"/>
          <w:szCs w:val="14"/>
          <w:color w:val="404040"/>
        </w:rPr>
      </w:pPr>
    </w:p>
    <w:p>
      <w:pPr>
        <w:ind w:left="240" w:hanging="236"/>
        <w:spacing w:after="0"/>
        <w:tabs>
          <w:tab w:leader="none" w:pos="240" w:val="left"/>
        </w:tabs>
        <w:numPr>
          <w:ilvl w:val="0"/>
          <w:numId w:val="130"/>
        </w:numPr>
        <w:rPr>
          <w:rFonts w:ascii="Arial" w:cs="Arial" w:eastAsia="Arial" w:hAnsi="Arial"/>
          <w:sz w:val="14"/>
          <w:szCs w:val="14"/>
          <w:color w:val="404040"/>
        </w:rPr>
      </w:pPr>
      <w:r>
        <w:rPr>
          <w:rFonts w:ascii="Arial" w:cs="Arial" w:eastAsia="Arial" w:hAnsi="Arial"/>
          <w:sz w:val="14"/>
          <w:szCs w:val="14"/>
          <w:color w:val="404040"/>
        </w:rPr>
        <w:t>Weighted-average exercise price of outstanding stock options, excluding RSUs, performance-based stock units, and deferred stock units.</w:t>
      </w:r>
    </w:p>
    <w:p>
      <w:pPr>
        <w:spacing w:after="0" w:line="1" w:lineRule="exact"/>
        <w:rPr>
          <w:rFonts w:ascii="Arial" w:cs="Arial" w:eastAsia="Arial" w:hAnsi="Arial"/>
          <w:sz w:val="14"/>
          <w:szCs w:val="14"/>
          <w:color w:val="404040"/>
        </w:rPr>
      </w:pPr>
    </w:p>
    <w:p>
      <w:pPr>
        <w:ind w:left="240" w:hanging="236"/>
        <w:spacing w:after="0"/>
        <w:tabs>
          <w:tab w:leader="none" w:pos="240" w:val="left"/>
        </w:tabs>
        <w:numPr>
          <w:ilvl w:val="0"/>
          <w:numId w:val="130"/>
        </w:numPr>
        <w:rPr>
          <w:rFonts w:ascii="Arial" w:cs="Arial" w:eastAsia="Arial" w:hAnsi="Arial"/>
          <w:sz w:val="14"/>
          <w:szCs w:val="14"/>
          <w:color w:val="404040"/>
        </w:rPr>
      </w:pPr>
      <w:r>
        <w:rPr>
          <w:rFonts w:ascii="Arial" w:cs="Arial" w:eastAsia="Arial" w:hAnsi="Arial"/>
          <w:sz w:val="14"/>
          <w:szCs w:val="14"/>
          <w:color w:val="404040"/>
        </w:rPr>
        <w:t>Available for grant under the 2016 Omnibus Compensation Plan, as of December 31, 2025.</w:t>
      </w:r>
    </w:p>
    <w:p>
      <w:pPr>
        <w:spacing w:after="0" w:line="17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Delinquent Section 16(a) Reports</w:t>
      </w:r>
    </w:p>
    <w:p>
      <w:pPr>
        <w:spacing w:after="0" w:line="24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Section 16(a) of the Exchange Act requires the Company’s directors, executive officers, and persons who beneficially own more than ten percent of the Company’s common stock to file reports of ownership and changes in ownership with the SEC. Based on information furnished to the Company and contained in reports provided pursuant to Section 16(a), as well as written representations that no other</w:t>
      </w:r>
    </w:p>
    <w:p>
      <w:pPr>
        <w:spacing w:after="0" w:line="279"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52</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26" w:right="1099" w:bottom="1440" w:gutter="0" w:footer="0" w:header="0"/>
        </w:sectPr>
      </w:pPr>
    </w:p>
    <w:bookmarkStart w:id="58" w:name="page59"/>
    <w:bookmarkEnd w:id="58"/>
    <w:p>
      <w:pPr>
        <w:ind w:left="660" w:right="840"/>
        <w:spacing w:after="0" w:line="286" w:lineRule="auto"/>
        <w:rPr>
          <w:sz w:val="20"/>
          <w:szCs w:val="20"/>
          <w:color w:val="auto"/>
        </w:rPr>
      </w:pPr>
      <w:r>
        <w:rPr>
          <w:rFonts w:ascii="Arial" w:cs="Arial" w:eastAsia="Arial" w:hAnsi="Arial"/>
          <w:sz w:val="16"/>
          <w:szCs w:val="16"/>
          <w:color w:val="auto"/>
        </w:rPr>
        <w:t>reports were required for 2025, the Company’s directors and officers timely filed all reports required by Section 16(a), except that one late report was filed for Robert P. Rayphole due to delays in obtaining SEC filing codes.</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How to Register for and Access the Virtual Meeting</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Registration Website: www.proxydocs.com/APA</w:t>
      </w:r>
    </w:p>
    <w:p>
      <w:pPr>
        <w:spacing w:after="0" w:line="113" w:lineRule="exact"/>
        <w:rPr>
          <w:sz w:val="20"/>
          <w:szCs w:val="20"/>
          <w:color w:val="auto"/>
        </w:rPr>
      </w:pPr>
    </w:p>
    <w:p>
      <w:pPr>
        <w:ind w:left="660" w:right="720"/>
        <w:spacing w:after="0" w:line="256" w:lineRule="auto"/>
        <w:rPr>
          <w:sz w:val="20"/>
          <w:szCs w:val="20"/>
          <w:color w:val="auto"/>
        </w:rPr>
      </w:pPr>
      <w:r>
        <w:rPr>
          <w:rFonts w:ascii="Arial" w:cs="Arial" w:eastAsia="Arial" w:hAnsi="Arial"/>
          <w:sz w:val="16"/>
          <w:szCs w:val="16"/>
          <w:color w:val="auto"/>
        </w:rPr>
        <w:t>If you plan to attend the annual meeting virtually, you are required to register in advance at the registration website above. Once registered, you will receive an email, at the address provided during registration, prior to the start of the meeting, which will contain a unique link to access the virtual meeting. Further instructions and contact information for technical support will be provided in the email. An audio recording of the webcast of the annual meeting will be available to the public on the Company’s website at www.apacorp.com as soon as practicable after completion of the meeting and will remain available for at least 30 days thereafter.</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Shareholders of Record and Beneficial Owners</w:t>
      </w:r>
    </w:p>
    <w:p>
      <w:pPr>
        <w:spacing w:after="0" w:line="124" w:lineRule="exact"/>
        <w:rPr>
          <w:sz w:val="20"/>
          <w:szCs w:val="20"/>
          <w:color w:val="auto"/>
        </w:rPr>
      </w:pPr>
    </w:p>
    <w:p>
      <w:pPr>
        <w:ind w:left="660" w:right="700"/>
        <w:spacing w:after="0" w:line="254" w:lineRule="auto"/>
        <w:rPr>
          <w:sz w:val="20"/>
          <w:szCs w:val="20"/>
          <w:color w:val="auto"/>
        </w:rPr>
      </w:pPr>
      <w:r>
        <w:rPr>
          <w:rFonts w:ascii="Arial" w:cs="Arial" w:eastAsia="Arial" w:hAnsi="Arial"/>
          <w:sz w:val="16"/>
          <w:szCs w:val="16"/>
          <w:color w:val="auto"/>
        </w:rPr>
        <w:t>Each holder of record of the Company’s common stock as of the record date and each shareholder who holds shares through an intermediary, such as a bank, broker, or other nominee (in “street name”), as of the record date may virtually attend and vote at the annual meeting by registering in advance using the instructions above. Such shareholders will be required to provide their unique control number, which may be found on the proxy card, notice of internet availability of proxy materials, or, for beneficial owners, other materials provided by their intermediary. To vote at the annual meeting during the polling period, shareholders who registered with their unique control number will be provided instructions to cast their ballot online.</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Attending as a Guest</w:t>
      </w:r>
    </w:p>
    <w:p>
      <w:pPr>
        <w:spacing w:after="0" w:line="124" w:lineRule="exact"/>
        <w:rPr>
          <w:sz w:val="20"/>
          <w:szCs w:val="20"/>
          <w:color w:val="auto"/>
        </w:rPr>
      </w:pPr>
    </w:p>
    <w:p>
      <w:pPr>
        <w:ind w:left="660" w:right="1320"/>
        <w:spacing w:after="0" w:line="286" w:lineRule="auto"/>
        <w:rPr>
          <w:sz w:val="20"/>
          <w:szCs w:val="20"/>
          <w:color w:val="auto"/>
        </w:rPr>
      </w:pPr>
      <w:r>
        <w:rPr>
          <w:rFonts w:ascii="Arial" w:cs="Arial" w:eastAsia="Arial" w:hAnsi="Arial"/>
          <w:sz w:val="16"/>
          <w:szCs w:val="16"/>
          <w:color w:val="auto"/>
        </w:rPr>
        <w:t>Shareholders without a valid control number or any other interested individuals may also attend the annual meeting virtually by registering in advance using the instructions above and selecting guest registration.</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Asking Questions</w:t>
      </w:r>
    </w:p>
    <w:p>
      <w:pPr>
        <w:spacing w:after="0" w:line="124" w:lineRule="exact"/>
        <w:rPr>
          <w:sz w:val="20"/>
          <w:szCs w:val="20"/>
          <w:color w:val="auto"/>
        </w:rPr>
      </w:pPr>
    </w:p>
    <w:p>
      <w:pPr>
        <w:ind w:left="660" w:right="860"/>
        <w:spacing w:after="0" w:line="259" w:lineRule="auto"/>
        <w:rPr>
          <w:sz w:val="20"/>
          <w:szCs w:val="20"/>
          <w:color w:val="auto"/>
        </w:rPr>
      </w:pPr>
      <w:r>
        <w:rPr>
          <w:rFonts w:ascii="Arial" w:cs="Arial" w:eastAsia="Arial" w:hAnsi="Arial"/>
          <w:sz w:val="16"/>
          <w:szCs w:val="16"/>
          <w:color w:val="auto"/>
        </w:rPr>
        <w:t>Shareholders may submit questions in advance of the annual meeting by emailing AnnualMeeting@apacorp.com no later than 5:00 p.m. (Houston time) on May 19, 2026. Any questions that are inappropriate, not pertinent to the meeting, or otherwise fail to meet the rules of conduct for the meeting will be excluded. Any substantially similar questions will be grouped together to provide a single response. Pre-submitted questions meeting these requirements may be answered during the meeting as time permits.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Voting</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Overview</w:t>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00" w:type="dxa"/>
            <w:vAlign w:val="bottom"/>
            <w:tcBorders>
              <w:top w:val="single" w:sz="8" w:color="auto"/>
            </w:tcBorders>
            <w:shd w:val="clear" w:color="auto" w:fill="F3F3F4"/>
          </w:tcPr>
          <w:p>
            <w:pPr>
              <w:spacing w:after="0"/>
              <w:rPr>
                <w:sz w:val="20"/>
                <w:szCs w:val="20"/>
                <w:color w:val="auto"/>
              </w:rPr>
            </w:pPr>
          </w:p>
        </w:tc>
        <w:tc>
          <w:tcPr>
            <w:tcW w:w="5800" w:type="dxa"/>
            <w:vAlign w:val="bottom"/>
            <w:tcBorders>
              <w:top w:val="single" w:sz="8" w:color="auto"/>
            </w:tcBorders>
            <w:shd w:val="clear" w:color="auto" w:fill="F3F3F4"/>
          </w:tcPr>
          <w:p>
            <w:pPr>
              <w:spacing w:after="0"/>
              <w:rPr>
                <w:sz w:val="20"/>
                <w:szCs w:val="20"/>
                <w:color w:val="auto"/>
              </w:rPr>
            </w:pPr>
          </w:p>
        </w:tc>
        <w:tc>
          <w:tcPr>
            <w:tcW w:w="760" w:type="dxa"/>
            <w:vAlign w:val="bottom"/>
            <w:tcBorders>
              <w:top w:val="single" w:sz="8" w:color="auto"/>
            </w:tcBorders>
            <w:shd w:val="clear" w:color="auto" w:fill="F3F3F4"/>
          </w:tcPr>
          <w:p>
            <w:pPr>
              <w:jc w:val="center"/>
              <w:ind w:left="25"/>
              <w:spacing w:after="0"/>
              <w:rPr>
                <w:sz w:val="20"/>
                <w:szCs w:val="20"/>
                <w:color w:val="auto"/>
              </w:rPr>
            </w:pPr>
            <w:r>
              <w:rPr>
                <w:rFonts w:ascii="Arial" w:cs="Arial" w:eastAsia="Arial" w:hAnsi="Arial"/>
                <w:sz w:val="14"/>
                <w:szCs w:val="14"/>
                <w:b w:val="1"/>
                <w:bCs w:val="1"/>
                <w:color w:val="auto"/>
              </w:rPr>
              <w:t>Routine</w:t>
            </w:r>
          </w:p>
        </w:tc>
        <w:tc>
          <w:tcPr>
            <w:tcW w:w="2860" w:type="dxa"/>
            <w:vAlign w:val="bottom"/>
            <w:tcBorders>
              <w:top w:val="single" w:sz="8" w:color="auto"/>
            </w:tcBorders>
            <w:shd w:val="clear" w:color="auto" w:fill="F3F3F4"/>
          </w:tcPr>
          <w:p>
            <w:pPr>
              <w:spacing w:after="0"/>
              <w:rPr>
                <w:sz w:val="20"/>
                <w:szCs w:val="20"/>
                <w:color w:val="auto"/>
              </w:rPr>
            </w:pPr>
          </w:p>
        </w:tc>
      </w:tr>
      <w:tr>
        <w:trPr>
          <w:trHeight w:val="244"/>
        </w:trPr>
        <w:tc>
          <w:tcPr>
            <w:tcW w:w="6100" w:type="dxa"/>
            <w:vAlign w:val="bottom"/>
            <w:tcBorders>
              <w:bottom w:val="single" w:sz="8" w:color="F3F3F4"/>
            </w:tcBorders>
            <w:gridSpan w:val="2"/>
            <w:shd w:val="clear" w:color="auto" w:fill="F3F3F4"/>
          </w:tcPr>
          <w:p>
            <w:pPr>
              <w:ind w:left="60"/>
              <w:spacing w:after="0"/>
              <w:rPr>
                <w:sz w:val="20"/>
                <w:szCs w:val="20"/>
                <w:color w:val="auto"/>
              </w:rPr>
            </w:pPr>
            <w:r>
              <w:rPr>
                <w:rFonts w:ascii="Arial" w:cs="Arial" w:eastAsia="Arial" w:hAnsi="Arial"/>
                <w:sz w:val="14"/>
                <w:szCs w:val="14"/>
                <w:b w:val="1"/>
                <w:bCs w:val="1"/>
                <w:color w:val="auto"/>
              </w:rPr>
              <w:t>Proposal</w:t>
            </w:r>
          </w:p>
        </w:tc>
        <w:tc>
          <w:tcPr>
            <w:tcW w:w="760" w:type="dxa"/>
            <w:vAlign w:val="bottom"/>
            <w:tcBorders>
              <w:bottom w:val="single" w:sz="8" w:color="F3F3F4"/>
            </w:tcBorders>
            <w:shd w:val="clear" w:color="auto" w:fill="F3F3F4"/>
          </w:tcPr>
          <w:p>
            <w:pPr>
              <w:jc w:val="center"/>
              <w:ind w:left="25"/>
              <w:spacing w:after="0"/>
              <w:rPr>
                <w:sz w:val="20"/>
                <w:szCs w:val="20"/>
                <w:color w:val="auto"/>
              </w:rPr>
            </w:pPr>
            <w:r>
              <w:rPr>
                <w:rFonts w:ascii="Arial" w:cs="Arial" w:eastAsia="Arial" w:hAnsi="Arial"/>
                <w:sz w:val="14"/>
                <w:szCs w:val="14"/>
                <w:b w:val="1"/>
                <w:bCs w:val="1"/>
                <w:color w:val="auto"/>
                <w:w w:val="99"/>
              </w:rPr>
              <w:t>Matter</w:t>
            </w:r>
          </w:p>
        </w:tc>
        <w:tc>
          <w:tcPr>
            <w:tcW w:w="2860" w:type="dxa"/>
            <w:vAlign w:val="bottom"/>
            <w:tcBorders>
              <w:bottom w:val="single" w:sz="8" w:color="F3F3F4"/>
            </w:tcBorders>
            <w:shd w:val="clear" w:color="auto" w:fill="F3F3F4"/>
          </w:tcPr>
          <w:p>
            <w:pPr>
              <w:ind w:left="60"/>
              <w:spacing w:after="0"/>
              <w:rPr>
                <w:sz w:val="20"/>
                <w:szCs w:val="20"/>
                <w:color w:val="auto"/>
              </w:rPr>
            </w:pPr>
            <w:r>
              <w:rPr>
                <w:rFonts w:ascii="Arial" w:cs="Arial" w:eastAsia="Arial" w:hAnsi="Arial"/>
                <w:sz w:val="14"/>
                <w:szCs w:val="14"/>
                <w:b w:val="1"/>
                <w:bCs w:val="1"/>
                <w:color w:val="auto"/>
              </w:rPr>
              <w:t>Default Proxy Vote</w:t>
            </w:r>
          </w:p>
        </w:tc>
      </w:tr>
      <w:tr>
        <w:trPr>
          <w:trHeight w:val="183"/>
        </w:trPr>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w:t>
            </w:r>
          </w:p>
        </w:tc>
        <w:tc>
          <w:tcPr>
            <w:tcW w:w="5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Election of the ten directors named in this proxy statement</w:t>
            </w:r>
          </w:p>
        </w:tc>
        <w:tc>
          <w:tcPr>
            <w:tcW w:w="760" w:type="dxa"/>
            <w:vAlign w:val="bottom"/>
            <w:tcBorders>
              <w:top w:val="single" w:sz="8" w:color="auto"/>
              <w:bottom w:val="single" w:sz="8" w:color="auto"/>
            </w:tcBorders>
          </w:tcPr>
          <w:p>
            <w:pPr>
              <w:spacing w:after="0"/>
              <w:rPr>
                <w:sz w:val="15"/>
                <w:szCs w:val="15"/>
                <w:color w:val="auto"/>
              </w:rPr>
            </w:pPr>
          </w:p>
        </w:tc>
        <w:tc>
          <w:tcPr>
            <w:tcW w:w="2860" w:type="dxa"/>
            <w:vAlign w:val="bottom"/>
            <w:tcBorders>
              <w:top w:val="single" w:sz="8" w:color="auto"/>
              <w:bottom w:val="single" w:sz="8" w:color="auto"/>
            </w:tcBorders>
          </w:tcPr>
          <w:p>
            <w:pPr>
              <w:ind w:left="140"/>
              <w:spacing w:after="0" w:line="183" w:lineRule="exact"/>
              <w:rPr>
                <w:sz w:val="20"/>
                <w:szCs w:val="20"/>
                <w:color w:val="auto"/>
              </w:rPr>
            </w:pPr>
            <w:r>
              <w:rPr>
                <w:rFonts w:ascii="MS PGothic" w:cs="MS PGothic" w:eastAsia="MS PGothic" w:hAnsi="MS PGothic"/>
                <w:sz w:val="16"/>
                <w:szCs w:val="16"/>
                <w:color w:val="D9AB28"/>
              </w:rPr>
              <w:t>✔</w:t>
            </w:r>
            <w:r>
              <w:rPr>
                <w:rFonts w:ascii="Arial" w:cs="Arial" w:eastAsia="Arial" w:hAnsi="Arial"/>
                <w:sz w:val="14"/>
                <w:szCs w:val="14"/>
                <w:b w:val="1"/>
                <w:bCs w:val="1"/>
                <w:color w:val="auto"/>
              </w:rPr>
              <w:t xml:space="preserve"> FOR </w:t>
            </w:r>
            <w:r>
              <w:rPr>
                <w:rFonts w:ascii="Arial" w:cs="Arial" w:eastAsia="Arial" w:hAnsi="Arial"/>
                <w:sz w:val="14"/>
                <w:szCs w:val="14"/>
                <w:color w:val="auto"/>
              </w:rPr>
              <w:t>each nominee</w:t>
            </w:r>
          </w:p>
        </w:tc>
      </w:tr>
      <w:tr>
        <w:trPr>
          <w:trHeight w:val="183"/>
        </w:trPr>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Ratification of appointment of EY as the Company’s independent auditor</w:t>
            </w:r>
          </w:p>
        </w:tc>
        <w:tc>
          <w:tcPr>
            <w:tcW w:w="760" w:type="dxa"/>
            <w:vAlign w:val="bottom"/>
            <w:tcBorders>
              <w:bottom w:val="single" w:sz="8" w:color="auto"/>
            </w:tcBorders>
          </w:tcPr>
          <w:p>
            <w:pPr>
              <w:jc w:val="center"/>
              <w:ind w:left="25"/>
              <w:spacing w:after="0" w:line="161" w:lineRule="exact"/>
              <w:rPr>
                <w:sz w:val="20"/>
                <w:szCs w:val="20"/>
                <w:color w:val="auto"/>
              </w:rPr>
            </w:pPr>
            <w:r>
              <w:rPr>
                <w:rFonts w:ascii="MS PGothic" w:cs="MS PGothic" w:eastAsia="MS PGothic" w:hAnsi="MS PGothic"/>
                <w:sz w:val="16"/>
                <w:szCs w:val="16"/>
                <w:color w:val="D9AB28"/>
                <w:w w:val="87"/>
              </w:rPr>
              <w:t>✔</w:t>
            </w:r>
          </w:p>
        </w:tc>
        <w:tc>
          <w:tcPr>
            <w:tcW w:w="2860" w:type="dxa"/>
            <w:vAlign w:val="bottom"/>
            <w:tcBorders>
              <w:bottom w:val="single" w:sz="8" w:color="auto"/>
            </w:tcBorders>
          </w:tcPr>
          <w:p>
            <w:pPr>
              <w:ind w:left="140"/>
              <w:spacing w:after="0" w:line="183" w:lineRule="exact"/>
              <w:rPr>
                <w:sz w:val="20"/>
                <w:szCs w:val="20"/>
                <w:color w:val="auto"/>
              </w:rPr>
            </w:pPr>
            <w:r>
              <w:rPr>
                <w:rFonts w:ascii="MS PGothic" w:cs="MS PGothic" w:eastAsia="MS PGothic" w:hAnsi="MS PGothic"/>
                <w:sz w:val="16"/>
                <w:szCs w:val="16"/>
                <w:color w:val="D9AB28"/>
              </w:rPr>
              <w:t>✔</w:t>
            </w:r>
            <w:r>
              <w:rPr>
                <w:rFonts w:ascii="Arial" w:cs="Arial" w:eastAsia="Arial" w:hAnsi="Arial"/>
                <w:sz w:val="14"/>
                <w:szCs w:val="14"/>
                <w:b w:val="1"/>
                <w:bCs w:val="1"/>
                <w:color w:val="auto"/>
              </w:rPr>
              <w:t xml:space="preserve"> FOR</w:t>
            </w:r>
          </w:p>
        </w:tc>
      </w:tr>
      <w:tr>
        <w:trPr>
          <w:trHeight w:val="183"/>
        </w:trPr>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Advisory vote to approve NEO compensation</w:t>
            </w:r>
          </w:p>
        </w:tc>
        <w:tc>
          <w:tcPr>
            <w:tcW w:w="7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ind w:left="140"/>
              <w:spacing w:after="0" w:line="183" w:lineRule="exact"/>
              <w:rPr>
                <w:sz w:val="20"/>
                <w:szCs w:val="20"/>
                <w:color w:val="auto"/>
              </w:rPr>
            </w:pPr>
            <w:r>
              <w:rPr>
                <w:rFonts w:ascii="MS PGothic" w:cs="MS PGothic" w:eastAsia="MS PGothic" w:hAnsi="MS PGothic"/>
                <w:sz w:val="16"/>
                <w:szCs w:val="16"/>
                <w:color w:val="D9AB28"/>
              </w:rPr>
              <w:t>✔</w:t>
            </w:r>
            <w:r>
              <w:rPr>
                <w:rFonts w:ascii="Arial" w:cs="Arial" w:eastAsia="Arial" w:hAnsi="Arial"/>
                <w:sz w:val="14"/>
                <w:szCs w:val="14"/>
                <w:b w:val="1"/>
                <w:bCs w:val="1"/>
                <w:color w:val="auto"/>
              </w:rPr>
              <w:t xml:space="preserve"> FOR</w:t>
            </w:r>
          </w:p>
        </w:tc>
      </w:tr>
      <w:tr>
        <w:trPr>
          <w:trHeight w:val="183"/>
        </w:trPr>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w:t>
            </w:r>
          </w:p>
        </w:tc>
        <w:tc>
          <w:tcPr>
            <w:tcW w:w="58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Approval of the Amendment to the 2016 Plan</w:t>
            </w:r>
          </w:p>
        </w:tc>
        <w:tc>
          <w:tcPr>
            <w:tcW w:w="7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ind w:left="140"/>
              <w:spacing w:after="0" w:line="183" w:lineRule="exact"/>
              <w:rPr>
                <w:sz w:val="20"/>
                <w:szCs w:val="20"/>
                <w:color w:val="auto"/>
              </w:rPr>
            </w:pPr>
            <w:r>
              <w:rPr>
                <w:rFonts w:ascii="MS PGothic" w:cs="MS PGothic" w:eastAsia="MS PGothic" w:hAnsi="MS PGothic"/>
                <w:sz w:val="16"/>
                <w:szCs w:val="16"/>
                <w:color w:val="D9AB28"/>
              </w:rPr>
              <w:t>✔</w:t>
            </w:r>
            <w:r>
              <w:rPr>
                <w:rFonts w:ascii="Arial" w:cs="Arial" w:eastAsia="Arial" w:hAnsi="Arial"/>
                <w:sz w:val="14"/>
                <w:szCs w:val="14"/>
                <w:b w:val="1"/>
                <w:bCs w:val="1"/>
                <w:color w:val="auto"/>
              </w:rPr>
              <w:t xml:space="preserve"> FOR</w:t>
            </w:r>
          </w:p>
        </w:tc>
      </w:tr>
      <w:tr>
        <w:trPr>
          <w:trHeight w:val="146"/>
        </w:trPr>
        <w:tc>
          <w:tcPr>
            <w:tcW w:w="300" w:type="dxa"/>
            <w:vAlign w:val="bottom"/>
          </w:tcPr>
          <w:p>
            <w:pPr>
              <w:spacing w:after="0"/>
              <w:rPr>
                <w:sz w:val="12"/>
                <w:szCs w:val="12"/>
                <w:color w:val="auto"/>
              </w:rPr>
            </w:pPr>
          </w:p>
        </w:tc>
        <w:tc>
          <w:tcPr>
            <w:tcW w:w="5800" w:type="dxa"/>
            <w:vAlign w:val="bottom"/>
          </w:tcPr>
          <w:p>
            <w:pPr>
              <w:ind w:left="100"/>
              <w:spacing w:after="0" w:line="147" w:lineRule="exact"/>
              <w:rPr>
                <w:sz w:val="20"/>
                <w:szCs w:val="20"/>
                <w:color w:val="auto"/>
              </w:rPr>
            </w:pPr>
            <w:r>
              <w:rPr>
                <w:rFonts w:ascii="Arial" w:cs="Arial" w:eastAsia="Arial" w:hAnsi="Arial"/>
                <w:sz w:val="14"/>
                <w:szCs w:val="14"/>
                <w:color w:val="auto"/>
              </w:rPr>
              <w:t>Any other business that properly comes before the meeting or any adjournment thereof</w:t>
            </w:r>
          </w:p>
        </w:tc>
        <w:tc>
          <w:tcPr>
            <w:tcW w:w="760" w:type="dxa"/>
            <w:vAlign w:val="bottom"/>
          </w:tcPr>
          <w:p>
            <w:pPr>
              <w:spacing w:after="0"/>
              <w:rPr>
                <w:sz w:val="12"/>
                <w:szCs w:val="12"/>
                <w:color w:val="auto"/>
              </w:rPr>
            </w:pPr>
          </w:p>
        </w:tc>
        <w:tc>
          <w:tcPr>
            <w:tcW w:w="2860" w:type="dxa"/>
            <w:vAlign w:val="bottom"/>
          </w:tcPr>
          <w:p>
            <w:pPr>
              <w:ind w:left="60"/>
              <w:spacing w:after="0" w:line="147" w:lineRule="exact"/>
              <w:rPr>
                <w:sz w:val="20"/>
                <w:szCs w:val="20"/>
                <w:color w:val="auto"/>
              </w:rPr>
            </w:pPr>
            <w:r>
              <w:rPr>
                <w:rFonts w:ascii="Arial" w:cs="Arial" w:eastAsia="Arial" w:hAnsi="Arial"/>
                <w:sz w:val="14"/>
                <w:szCs w:val="14"/>
                <w:color w:val="auto"/>
              </w:rPr>
              <w:t>In accordance with the judgment of the</w:t>
            </w:r>
          </w:p>
        </w:tc>
      </w:tr>
      <w:tr>
        <w:trPr>
          <w:trHeight w:val="171"/>
        </w:trPr>
        <w:tc>
          <w:tcPr>
            <w:tcW w:w="300" w:type="dxa"/>
            <w:vAlign w:val="bottom"/>
            <w:tcBorders>
              <w:bottom w:val="single" w:sz="8" w:color="auto"/>
            </w:tcBorders>
          </w:tcPr>
          <w:p>
            <w:pPr>
              <w:spacing w:after="0"/>
              <w:rPr>
                <w:sz w:val="14"/>
                <w:szCs w:val="14"/>
                <w:color w:val="auto"/>
              </w:rPr>
            </w:pPr>
          </w:p>
        </w:tc>
        <w:tc>
          <w:tcPr>
            <w:tcW w:w="58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persons voting the proxy</w:t>
            </w: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proposal will pass if a majority of votes are cast in favor of such proposal, and abstentions and broker non-votes have no impact.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Representatives of BetaNXT will tabulate the votes and act as inspectors of the election.</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25"/>
          <w:szCs w:val="25"/>
          <w:b w:val="1"/>
          <w:bCs w:val="1"/>
          <w:i w:val="1"/>
          <w:iCs w:val="1"/>
          <w:color w:val="auto"/>
        </w:rPr>
        <w:t>Who Can Vote</w:t>
      </w:r>
    </w:p>
    <w:p>
      <w:pPr>
        <w:spacing w:after="0" w:line="124" w:lineRule="exact"/>
        <w:rPr>
          <w:sz w:val="20"/>
          <w:szCs w:val="20"/>
          <w:color w:val="auto"/>
        </w:rPr>
      </w:pPr>
    </w:p>
    <w:p>
      <w:pPr>
        <w:ind w:left="660" w:right="800"/>
        <w:spacing w:after="0" w:line="259" w:lineRule="auto"/>
        <w:rPr>
          <w:sz w:val="20"/>
          <w:szCs w:val="20"/>
          <w:color w:val="auto"/>
        </w:rPr>
      </w:pPr>
      <w:r>
        <w:rPr>
          <w:rFonts w:ascii="Arial" w:cs="Arial" w:eastAsia="Arial" w:hAnsi="Arial"/>
          <w:sz w:val="16"/>
          <w:szCs w:val="16"/>
          <w:color w:val="auto"/>
        </w:rPr>
        <w:t>Only shareholders of record holding shares of APA common stock at the close of business on March 23, 2026, are entitled to receive notice of the annual meeting and to vote their APA shares held on that date. For ten days before the meeting, a complete list of shareholders entitled to vote at the meeting will be available during normal business hours for examination by any APA shareholder at the Company’s principal executive offices for purposes relating to the annual meeting.</w:t>
      </w:r>
    </w:p>
    <w:p>
      <w:pPr>
        <w:spacing w:after="0" w:line="70" w:lineRule="exact"/>
        <w:rPr>
          <w:sz w:val="20"/>
          <w:szCs w:val="20"/>
          <w:color w:val="auto"/>
        </w:rPr>
      </w:pPr>
    </w:p>
    <w:p>
      <w:pPr>
        <w:ind w:left="660" w:right="740"/>
        <w:spacing w:after="0" w:line="286" w:lineRule="auto"/>
        <w:rPr>
          <w:sz w:val="20"/>
          <w:szCs w:val="20"/>
          <w:color w:val="auto"/>
        </w:rPr>
      </w:pPr>
      <w:r>
        <w:rPr>
          <w:rFonts w:ascii="Arial" w:cs="Arial" w:eastAsia="Arial" w:hAnsi="Arial"/>
          <w:sz w:val="16"/>
          <w:szCs w:val="16"/>
          <w:color w:val="auto"/>
        </w:rPr>
        <w:t>As of March 23, 2026, there were 353,400,414 shares of APA common stock issued and outstanding. APA shareholders are entitled to one vote per share and are not allowed to cumulate votes in the election of directors.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53</w:t>
            </w:r>
          </w:p>
        </w:tc>
      </w:tr>
      <w:tr>
        <w:trPr>
          <w:trHeight w:val="879"/>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32" w:right="439" w:bottom="1440" w:gutter="0" w:footer="0" w:header="0"/>
        </w:sectPr>
      </w:pPr>
    </w:p>
    <w:bookmarkStart w:id="59" w:name="page60"/>
    <w:bookmarkEnd w:id="59"/>
    <w:p>
      <w:pPr>
        <w:spacing w:after="0"/>
        <w:rPr>
          <w:sz w:val="20"/>
          <w:szCs w:val="20"/>
          <w:color w:val="auto"/>
        </w:rPr>
      </w:pPr>
      <w:r>
        <w:rPr>
          <w:rFonts w:ascii="Arial" w:cs="Arial" w:eastAsia="Arial" w:hAnsi="Arial"/>
          <w:sz w:val="25"/>
          <w:szCs w:val="25"/>
          <w:b w:val="1"/>
          <w:bCs w:val="1"/>
          <w:i w:val="1"/>
          <w:iCs w:val="1"/>
          <w:color w:val="auto"/>
        </w:rPr>
        <w:t>Shareholders of Record</w:t>
      </w:r>
    </w:p>
    <w:p>
      <w:pPr>
        <w:spacing w:after="0" w:line="12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If you hold all or any portion of your shares of APA common stock in your own name (as a “shareholder of record”), then you may instruct the Company on how to vote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wp:posOffset>
            </wp:positionV>
            <wp:extent cx="6172200" cy="2146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72200" cy="214630"/>
                    </a:xfrm>
                    <a:prstGeom prst="rect">
                      <a:avLst/>
                    </a:prstGeom>
                    <a:noFill/>
                  </pic:spPr>
                </pic:pic>
              </a:graphicData>
            </a:graphic>
          </wp:anchor>
        </w:drawing>
      </w:r>
    </w:p>
    <w:p>
      <w:pPr>
        <w:spacing w:after="0" w:line="105" w:lineRule="exact"/>
        <w:rPr>
          <w:sz w:val="20"/>
          <w:szCs w:val="20"/>
          <w:color w:val="auto"/>
        </w:rPr>
      </w:pPr>
    </w:p>
    <w:p>
      <w:pPr>
        <w:ind w:left="3600"/>
        <w:spacing w:after="0"/>
        <w:rPr>
          <w:sz w:val="20"/>
          <w:szCs w:val="20"/>
          <w:color w:val="auto"/>
        </w:rPr>
      </w:pPr>
      <w:r>
        <w:rPr>
          <w:rFonts w:ascii="Arial" w:cs="Arial" w:eastAsia="Arial" w:hAnsi="Arial"/>
          <w:sz w:val="15"/>
          <w:szCs w:val="15"/>
          <w:b w:val="1"/>
          <w:bCs w:val="1"/>
          <w:i w:val="1"/>
          <w:iCs w:val="1"/>
          <w:color w:val="auto"/>
        </w:rPr>
        <w:t>If You Requested to Receive Printed Proxy Materials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48"/>
        </w:trPr>
        <w:tc>
          <w:tcPr>
            <w:tcW w:w="2100" w:type="dxa"/>
            <w:vAlign w:val="bottom"/>
            <w:tcBorders>
              <w:bottom w:val="single" w:sz="8" w:color="F3F3F4"/>
            </w:tcBorders>
            <w:shd w:val="clear" w:color="auto" w:fill="F3F3F4"/>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r>
      <w:tr>
        <w:trPr>
          <w:trHeight w:val="298"/>
        </w:trPr>
        <w:tc>
          <w:tcPr>
            <w:tcW w:w="2100" w:type="dxa"/>
            <w:vAlign w:val="bottom"/>
            <w:tcBorders>
              <w:bottom w:val="single" w:sz="8" w:color="F3F3F4"/>
            </w:tcBorders>
            <w:shd w:val="clear" w:color="auto" w:fill="F3F3F4"/>
          </w:tcPr>
          <w:p>
            <w:pPr>
              <w:ind w:left="760"/>
              <w:spacing w:after="0"/>
              <w:rPr>
                <w:sz w:val="20"/>
                <w:szCs w:val="20"/>
                <w:color w:val="auto"/>
              </w:rPr>
            </w:pPr>
            <w:r>
              <w:rPr>
                <w:rFonts w:ascii="Arial" w:cs="Arial" w:eastAsia="Arial" w:hAnsi="Arial"/>
                <w:sz w:val="15"/>
                <w:szCs w:val="15"/>
                <w:b w:val="1"/>
                <w:bCs w:val="1"/>
                <w:color w:val="auto"/>
              </w:rPr>
              <w:t>Internet</w:t>
            </w:r>
          </w:p>
        </w:tc>
        <w:tc>
          <w:tcPr>
            <w:tcW w:w="2780" w:type="dxa"/>
            <w:vAlign w:val="bottom"/>
            <w:tcBorders>
              <w:bottom w:val="single" w:sz="8" w:color="F3F3F4"/>
            </w:tcBorders>
            <w:shd w:val="clear" w:color="auto" w:fill="F3F3F4"/>
          </w:tcPr>
          <w:p>
            <w:pPr>
              <w:ind w:left="880"/>
              <w:spacing w:after="0"/>
              <w:rPr>
                <w:sz w:val="20"/>
                <w:szCs w:val="20"/>
                <w:color w:val="auto"/>
              </w:rPr>
            </w:pPr>
            <w:r>
              <w:rPr>
                <w:rFonts w:ascii="Arial" w:cs="Arial" w:eastAsia="Arial" w:hAnsi="Arial"/>
                <w:sz w:val="15"/>
                <w:szCs w:val="15"/>
                <w:b w:val="1"/>
                <w:bCs w:val="1"/>
                <w:color w:val="auto"/>
              </w:rPr>
              <w:t>Mobile Device</w:t>
            </w:r>
          </w:p>
        </w:tc>
        <w:tc>
          <w:tcPr>
            <w:tcW w:w="2620" w:type="dxa"/>
            <w:vAlign w:val="bottom"/>
            <w:tcBorders>
              <w:bottom w:val="single" w:sz="8" w:color="F3F3F4"/>
            </w:tcBorders>
            <w:shd w:val="clear" w:color="auto" w:fill="F3F3F4"/>
          </w:tcPr>
          <w:p>
            <w:pPr>
              <w:ind w:left="880"/>
              <w:spacing w:after="0"/>
              <w:rPr>
                <w:sz w:val="20"/>
                <w:szCs w:val="20"/>
                <w:color w:val="auto"/>
              </w:rPr>
            </w:pPr>
            <w:r>
              <w:rPr>
                <w:rFonts w:ascii="Arial" w:cs="Arial" w:eastAsia="Arial" w:hAnsi="Arial"/>
                <w:sz w:val="15"/>
                <w:szCs w:val="15"/>
                <w:b w:val="1"/>
                <w:bCs w:val="1"/>
                <w:color w:val="auto"/>
              </w:rPr>
              <w:t>Telephone</w:t>
            </w:r>
          </w:p>
        </w:tc>
        <w:tc>
          <w:tcPr>
            <w:tcW w:w="2220" w:type="dxa"/>
            <w:vAlign w:val="bottom"/>
            <w:tcBorders>
              <w:bottom w:val="single" w:sz="8" w:color="F3F3F4"/>
            </w:tcBorders>
            <w:shd w:val="clear" w:color="auto" w:fill="F3F3F4"/>
          </w:tcPr>
          <w:p>
            <w:pPr>
              <w:ind w:left="980"/>
              <w:spacing w:after="0"/>
              <w:rPr>
                <w:sz w:val="20"/>
                <w:szCs w:val="20"/>
                <w:color w:val="auto"/>
              </w:rPr>
            </w:pPr>
            <w:r>
              <w:rPr>
                <w:rFonts w:ascii="Arial" w:cs="Arial" w:eastAsia="Arial" w:hAnsi="Arial"/>
                <w:sz w:val="15"/>
                <w:szCs w:val="15"/>
                <w:b w:val="1"/>
                <w:bCs w:val="1"/>
                <w:color w:val="auto"/>
              </w:rPr>
              <w:t>Mail</w:t>
            </w:r>
          </w:p>
        </w:tc>
      </w:tr>
      <w:tr>
        <w:trPr>
          <w:trHeight w:val="20"/>
        </w:trPr>
        <w:tc>
          <w:tcPr>
            <w:tcW w:w="210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720"/>
          </w:cols>
          <w:pgMar w:left="1080" w:top="1226" w:right="1099" w:bottom="1440" w:gutter="0" w:footer="0" w:header="0"/>
        </w:sectPr>
      </w:pPr>
    </w:p>
    <w:p>
      <w:pPr>
        <w:ind w:left="140"/>
        <w:spacing w:after="0" w:line="237" w:lineRule="auto"/>
        <w:rPr>
          <w:sz w:val="20"/>
          <w:szCs w:val="20"/>
          <w:color w:val="auto"/>
        </w:rPr>
      </w:pPr>
      <w:r>
        <w:rPr>
          <w:rFonts w:ascii="Arial" w:cs="Arial" w:eastAsia="Arial" w:hAnsi="Arial"/>
          <w:sz w:val="15"/>
          <w:szCs w:val="15"/>
          <w:color w:val="auto"/>
        </w:rPr>
        <w:t>Follow the instructions provided in the Notice of Internet Availability of Proxy Materials</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Arial" w:cs="Arial" w:eastAsia="Arial" w:hAnsi="Arial"/>
          <w:sz w:val="15"/>
          <w:szCs w:val="15"/>
          <w:color w:val="auto"/>
        </w:rPr>
        <w:t>Scan the QR code on the enclosed proxy card with your mobile device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5"/>
          <w:szCs w:val="15"/>
          <w:color w:val="auto"/>
        </w:rPr>
        <w:t>Call the toll-free telephone number listed on the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193040</wp:posOffset>
            </wp:positionV>
            <wp:extent cx="61722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00"/>
        <w:spacing w:after="0" w:line="237" w:lineRule="auto"/>
        <w:rPr>
          <w:sz w:val="20"/>
          <w:szCs w:val="20"/>
          <w:color w:val="auto"/>
        </w:rPr>
      </w:pPr>
      <w:r>
        <w:rPr>
          <w:rFonts w:ascii="Arial" w:cs="Arial" w:eastAsia="Arial" w:hAnsi="Arial"/>
          <w:sz w:val="15"/>
          <w:szCs w:val="15"/>
          <w:color w:val="auto"/>
        </w:rPr>
        <w:t>Mark, sign, date, and return the enclosed proxy card in the postage-paid envelope provided</w:t>
      </w:r>
    </w:p>
    <w:p>
      <w:pPr>
        <w:spacing w:after="0" w:line="101" w:lineRule="exact"/>
        <w:rPr>
          <w:sz w:val="20"/>
          <w:szCs w:val="20"/>
          <w:color w:val="auto"/>
        </w:rPr>
      </w:pPr>
    </w:p>
    <w:p>
      <w:pPr>
        <w:sectPr>
          <w:pgSz w:w="11900" w:h="16838" w:orient="portrait"/>
          <w:cols w:equalWidth="0" w:num="4">
            <w:col w:w="1780" w:space="440"/>
            <w:col w:w="2020" w:space="600"/>
            <w:col w:w="2340" w:space="380"/>
            <w:col w:w="2160"/>
          </w:cols>
          <w:pgMar w:left="1080" w:top="1226" w:right="1099" w:bottom="1440" w:gutter="0" w:footer="0" w:header="0"/>
          <w:type w:val="continuous"/>
        </w:sectPr>
      </w:pPr>
    </w:p>
    <w:p>
      <w:pPr>
        <w:spacing w:after="0" w:line="286" w:lineRule="auto"/>
        <w:rPr>
          <w:sz w:val="20"/>
          <w:szCs w:val="20"/>
          <w:color w:val="auto"/>
        </w:rPr>
      </w:pPr>
      <w:r>
        <w:rPr>
          <w:rFonts w:ascii="Arial" w:cs="Arial" w:eastAsia="Arial" w:hAnsi="Arial"/>
          <w:sz w:val="16"/>
          <w:szCs w:val="16"/>
          <w:color w:val="auto"/>
        </w:rPr>
        <w:t>When voting by internet, mobile device, or telephone, the voting systems will verify that you are a shareholder using a company number for APA and a unique control number for you.</w:t>
      </w:r>
    </w:p>
    <w:p>
      <w:pPr>
        <w:spacing w:after="0" w:line="41"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Beneficial Owners</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your shares of APA common stock are held by a broker, bank, or other nominee (in “street name”), then you will receive instructions from them on how to vote your shares. If your shares are held by a broker and you do not give the broker specific instructions on how to vote your shares, your broker may vote your shares at its discretion on “routine” matters to be acted upon at the annual meeting. However, your shares will not be voted on any of the non-routine matters. An absence of voting instructions on any non-routine matters will result in a “broker non-vote.”</w:t>
      </w: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Default Proxy Votes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Whichever method you use to transmit your instructions, your shares of APA common stock will be voted as you direct. If you designate the proxies named on the proxy card to vote on your behalf, but do not specify how to vote your shares, they will be voted as shown in the table above. If you vote in advance, you may still virtually attend and vote at the annual meeting, with such vote at the meeting revoking all previous votes and proxies.</w:t>
      </w:r>
    </w:p>
    <w:p>
      <w:pPr>
        <w:spacing w:after="0" w:line="63"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401(k) Savings Plan Shares</w:t>
      </w:r>
    </w:p>
    <w:p>
      <w:pPr>
        <w:spacing w:after="0" w:line="124"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If you are an employee or former employee of the Company or its subsidiaries participating in the Apache Corporation 401(k) Savings Plan and have shares of APA common stock credited to your plan account as of the record date, you have the right to direct the plan trustee, Fidelity Management Trust Company, regarding how to vote such shares in accordance with your instructions. If you do not send instructions (in the manner described above) or if your proxy card is not received by May 18, 2026, then the shares credited to your account will be voted by the trustee in the same proportion as it votes shares for which it did receive timely instructions.</w:t>
      </w: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Revoking a Proxy</w:t>
      </w:r>
    </w:p>
    <w:p>
      <w:pPr>
        <w:spacing w:after="0" w:line="124"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You may revoke a proxy before it is voted by submitting a new proxy with a later date by internet, mobile device, telephone, or mail (if applicable), by voting at the virtual meeting as described in this proxy statement, or by filing a written revocation with APA’s Corporate Secretary. Virtually attending the annual meeting alone will not automatically revoke your proxy.</w:t>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Quorum</w:t>
      </w:r>
    </w:p>
    <w:p>
      <w:pPr>
        <w:spacing w:after="0" w:line="124"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The presence at the annual meeting, virtually or by proxy, of the holders of a majority of the shares of APA common stock outstanding on the record date will constitute a quorum, permitting the business of the meeting to be conducted.</w:t>
      </w:r>
    </w:p>
    <w:p>
      <w:pPr>
        <w:spacing w:after="0" w:line="2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Non-GAAP Financial Measures</w:t>
      </w:r>
    </w:p>
    <w:p>
      <w:pPr>
        <w:spacing w:after="0" w:line="240"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APA’s financial information includes information prepared in conformity with generally accepted accounting principles (GAAP) as well as non-GAAP financial information. It is management’s intent to provide non-GAAP financial information to enhance understanding of our consolidated financial information as prepared in accordance with GAAP. This non-GAAP information should be considered by the reader in addition to, but not instead of, the financial statements prepared in accordance with GAAP, which can be found in the Company's Annual Reports on Form 10-K. Each non-GAAP financial measure is presented along with the corresponding GAAP measure so as not to imply that more emphasis should be placed on the non-GAAP measure.</w:t>
      </w:r>
    </w:p>
    <w:p>
      <w:pPr>
        <w:spacing w:after="0" w:line="290"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54</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26" w:right="1099" w:bottom="1440" w:gutter="0" w:footer="0" w:header="0"/>
          <w:type w:val="continuous"/>
        </w:sectPr>
      </w:pPr>
    </w:p>
    <w:bookmarkStart w:id="60" w:name="page61"/>
    <w:bookmarkEnd w:id="60"/>
    <w:p>
      <w:pPr>
        <w:spacing w:after="0" w:line="97"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Reconciliation of Debt to Net Debt</w:t>
      </w:r>
    </w:p>
    <w:p>
      <w:pPr>
        <w:spacing w:after="0" w:line="12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Net debt, or outstanding debt obligations less cash and cash equivalents, is a non-GAAP financial measure. Management uses net debt as a measure of the Company’s outstanding debt obligations that would not be readily satisfied by its cash and cash equivalents on hand.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Borders>
              <w:top w:val="single" w:sz="8" w:color="auto"/>
            </w:tcBorders>
            <w:shd w:val="clear" w:color="auto" w:fill="F3F3F4"/>
          </w:tcPr>
          <w:p>
            <w:pPr>
              <w:spacing w:after="0"/>
              <w:rPr>
                <w:sz w:val="18"/>
                <w:szCs w:val="18"/>
                <w:color w:val="auto"/>
              </w:rPr>
            </w:pPr>
          </w:p>
        </w:tc>
        <w:tc>
          <w:tcPr>
            <w:tcW w:w="3880" w:type="dxa"/>
            <w:vAlign w:val="bottom"/>
            <w:tcBorders>
              <w:top w:val="single" w:sz="8" w:color="auto"/>
            </w:tcBorders>
            <w:shd w:val="clear" w:color="auto" w:fill="F3F3F4"/>
          </w:tcPr>
          <w:p>
            <w:pPr>
              <w:jc w:val="right"/>
              <w:ind w:right="199"/>
              <w:spacing w:after="0"/>
              <w:rPr>
                <w:sz w:val="20"/>
                <w:szCs w:val="20"/>
                <w:color w:val="auto"/>
              </w:rPr>
            </w:pPr>
            <w:r>
              <w:rPr>
                <w:rFonts w:ascii="Arial" w:cs="Arial" w:eastAsia="Arial" w:hAnsi="Arial"/>
                <w:sz w:val="16"/>
                <w:szCs w:val="16"/>
                <w:b w:val="1"/>
                <w:bCs w:val="1"/>
                <w:color w:val="auto"/>
              </w:rPr>
              <w:t>December 31, 2025</w:t>
            </w:r>
          </w:p>
        </w:tc>
        <w:tc>
          <w:tcPr>
            <w:tcW w:w="1740" w:type="dxa"/>
            <w:vAlign w:val="bottom"/>
            <w:tcBorders>
              <w:top w:val="single" w:sz="8" w:color="auto"/>
            </w:tcBorders>
            <w:shd w:val="clear" w:color="auto" w:fill="F3F3F4"/>
          </w:tcPr>
          <w:p>
            <w:pPr>
              <w:jc w:val="right"/>
              <w:ind w:right="79"/>
              <w:spacing w:after="0"/>
              <w:rPr>
                <w:sz w:val="20"/>
                <w:szCs w:val="20"/>
                <w:color w:val="auto"/>
              </w:rPr>
            </w:pPr>
            <w:r>
              <w:rPr>
                <w:rFonts w:ascii="Arial" w:cs="Arial" w:eastAsia="Arial" w:hAnsi="Arial"/>
                <w:sz w:val="16"/>
                <w:szCs w:val="16"/>
                <w:b w:val="1"/>
                <w:bCs w:val="1"/>
                <w:color w:val="auto"/>
              </w:rPr>
              <w:t>December 31, 2024</w:t>
            </w:r>
          </w:p>
        </w:tc>
      </w:tr>
      <w:tr>
        <w:trPr>
          <w:trHeight w:val="224"/>
        </w:trPr>
        <w:tc>
          <w:tcPr>
            <w:tcW w:w="4100" w:type="dxa"/>
            <w:vAlign w:val="bottom"/>
            <w:tcBorders>
              <w:bottom w:val="single" w:sz="8" w:color="auto"/>
            </w:tcBorders>
            <w:shd w:val="clear" w:color="auto" w:fill="F3F3F4"/>
          </w:tcPr>
          <w:p>
            <w:pPr>
              <w:spacing w:after="0"/>
              <w:rPr>
                <w:sz w:val="19"/>
                <w:szCs w:val="19"/>
                <w:color w:val="auto"/>
              </w:rPr>
            </w:pPr>
          </w:p>
        </w:tc>
        <w:tc>
          <w:tcPr>
            <w:tcW w:w="3880" w:type="dxa"/>
            <w:vAlign w:val="bottom"/>
            <w:tcBorders>
              <w:bottom w:val="single" w:sz="8" w:color="auto"/>
            </w:tcBorders>
            <w:shd w:val="clear" w:color="auto" w:fill="F3F3F4"/>
          </w:tcPr>
          <w:p>
            <w:pPr>
              <w:jc w:val="right"/>
              <w:ind w:right="459"/>
              <w:spacing w:after="0"/>
              <w:rPr>
                <w:sz w:val="20"/>
                <w:szCs w:val="20"/>
                <w:color w:val="auto"/>
              </w:rPr>
            </w:pPr>
            <w:r>
              <w:rPr>
                <w:rFonts w:ascii="Arial" w:cs="Arial" w:eastAsia="Arial" w:hAnsi="Arial"/>
                <w:sz w:val="16"/>
                <w:szCs w:val="16"/>
                <w:color w:val="auto"/>
              </w:rPr>
              <w:t>($ in millions)</w:t>
            </w:r>
          </w:p>
        </w:tc>
        <w:tc>
          <w:tcPr>
            <w:tcW w:w="1740" w:type="dxa"/>
            <w:vAlign w:val="bottom"/>
            <w:tcBorders>
              <w:bottom w:val="single" w:sz="8" w:color="auto"/>
            </w:tcBorders>
            <w:shd w:val="clear" w:color="auto" w:fill="F3F3F4"/>
          </w:tcPr>
          <w:p>
            <w:pPr>
              <w:jc w:val="right"/>
              <w:ind w:right="319"/>
              <w:spacing w:after="0"/>
              <w:rPr>
                <w:sz w:val="20"/>
                <w:szCs w:val="20"/>
                <w:color w:val="auto"/>
              </w:rPr>
            </w:pPr>
            <w:r>
              <w:rPr>
                <w:rFonts w:ascii="Arial" w:cs="Arial" w:eastAsia="Arial" w:hAnsi="Arial"/>
                <w:sz w:val="16"/>
                <w:szCs w:val="16"/>
                <w:color w:val="auto"/>
              </w:rPr>
              <w:t>($ in millions)</w:t>
            </w:r>
          </w:p>
        </w:tc>
      </w:tr>
      <w:tr>
        <w:trPr>
          <w:trHeight w:val="215"/>
        </w:trPr>
        <w:tc>
          <w:tcPr>
            <w:tcW w:w="4100" w:type="dxa"/>
            <w:vAlign w:val="bottom"/>
          </w:tcPr>
          <w:p>
            <w:pPr>
              <w:spacing w:after="0"/>
              <w:rPr>
                <w:sz w:val="20"/>
                <w:szCs w:val="20"/>
                <w:color w:val="auto"/>
              </w:rPr>
            </w:pPr>
            <w:r>
              <w:rPr>
                <w:rFonts w:ascii="Arial" w:cs="Arial" w:eastAsia="Arial" w:hAnsi="Arial"/>
                <w:sz w:val="16"/>
                <w:szCs w:val="16"/>
                <w:color w:val="auto"/>
              </w:rPr>
              <w:t>Current debt</w:t>
            </w:r>
          </w:p>
        </w:tc>
        <w:tc>
          <w:tcPr>
            <w:tcW w:w="3880" w:type="dxa"/>
            <w:vAlign w:val="bottom"/>
          </w:tcPr>
          <w:p>
            <w:pPr>
              <w:jc w:val="right"/>
              <w:ind w:right="59"/>
              <w:spacing w:after="0"/>
              <w:rPr>
                <w:sz w:val="20"/>
                <w:szCs w:val="20"/>
                <w:color w:val="auto"/>
              </w:rPr>
            </w:pPr>
            <w:r>
              <w:rPr>
                <w:rFonts w:ascii="Arial" w:cs="Arial" w:eastAsia="Arial" w:hAnsi="Arial"/>
                <w:sz w:val="16"/>
                <w:szCs w:val="16"/>
                <w:color w:val="auto"/>
              </w:rPr>
              <w:t>213</w:t>
            </w:r>
          </w:p>
        </w:tc>
        <w:tc>
          <w:tcPr>
            <w:tcW w:w="17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38"/>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Long-term debt</w:t>
            </w:r>
          </w:p>
        </w:tc>
        <w:tc>
          <w:tcPr>
            <w:tcW w:w="3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4,280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5,991</w:t>
            </w:r>
          </w:p>
        </w:tc>
      </w:tr>
      <w:tr>
        <w:trPr>
          <w:trHeight w:val="229"/>
        </w:trPr>
        <w:tc>
          <w:tcPr>
            <w:tcW w:w="4100" w:type="dxa"/>
            <w:vAlign w:val="bottom"/>
            <w:shd w:val="clear" w:color="auto" w:fill="F3F3F4"/>
          </w:tcPr>
          <w:p>
            <w:pPr>
              <w:spacing w:after="0"/>
              <w:rPr>
                <w:sz w:val="20"/>
                <w:szCs w:val="20"/>
                <w:color w:val="auto"/>
              </w:rPr>
            </w:pPr>
            <w:r>
              <w:rPr>
                <w:rFonts w:ascii="Arial" w:cs="Arial" w:eastAsia="Arial" w:hAnsi="Arial"/>
                <w:sz w:val="16"/>
                <w:szCs w:val="16"/>
                <w:b w:val="1"/>
                <w:bCs w:val="1"/>
                <w:color w:val="auto"/>
              </w:rPr>
              <w:t>Total debt</w:t>
            </w:r>
          </w:p>
        </w:tc>
        <w:tc>
          <w:tcPr>
            <w:tcW w:w="3880" w:type="dxa"/>
            <w:vAlign w:val="bottom"/>
            <w:shd w:val="clear" w:color="auto" w:fill="F3F3F4"/>
          </w:tcPr>
          <w:p>
            <w:pPr>
              <w:jc w:val="right"/>
              <w:ind w:right="59"/>
              <w:spacing w:after="0"/>
              <w:rPr>
                <w:sz w:val="20"/>
                <w:szCs w:val="20"/>
                <w:color w:val="auto"/>
              </w:rPr>
            </w:pPr>
            <w:r>
              <w:rPr>
                <w:rFonts w:ascii="Arial" w:cs="Arial" w:eastAsia="Arial" w:hAnsi="Arial"/>
                <w:sz w:val="16"/>
                <w:szCs w:val="16"/>
                <w:b w:val="1"/>
                <w:bCs w:val="1"/>
                <w:color w:val="auto"/>
              </w:rPr>
              <w:t>4,493</w:t>
            </w:r>
          </w:p>
        </w:tc>
        <w:tc>
          <w:tcPr>
            <w:tcW w:w="1740" w:type="dxa"/>
            <w:vAlign w:val="bottom"/>
            <w:shd w:val="clear" w:color="auto" w:fill="F3F3F4"/>
          </w:tcPr>
          <w:p>
            <w:pPr>
              <w:jc w:val="right"/>
              <w:spacing w:after="0"/>
              <w:rPr>
                <w:sz w:val="20"/>
                <w:szCs w:val="20"/>
                <w:color w:val="auto"/>
              </w:rPr>
            </w:pPr>
            <w:r>
              <w:rPr>
                <w:rFonts w:ascii="Arial" w:cs="Arial" w:eastAsia="Arial" w:hAnsi="Arial"/>
                <w:sz w:val="16"/>
                <w:szCs w:val="16"/>
                <w:b w:val="1"/>
                <w:bCs w:val="1"/>
                <w:color w:val="auto"/>
              </w:rPr>
              <w:t>6,044</w:t>
            </w:r>
          </w:p>
        </w:tc>
      </w:tr>
      <w:tr>
        <w:trPr>
          <w:trHeight w:val="223"/>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w:t>
            </w:r>
          </w:p>
        </w:tc>
        <w:tc>
          <w:tcPr>
            <w:tcW w:w="3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516</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r>
      <w:tr>
        <w:trPr>
          <w:trHeight w:val="226"/>
        </w:trPr>
        <w:tc>
          <w:tcPr>
            <w:tcW w:w="4100" w:type="dxa"/>
            <w:vAlign w:val="bottom"/>
            <w:tcBorders>
              <w:bottom w:val="single" w:sz="8" w:color="auto"/>
            </w:tcBorders>
            <w:shd w:val="clear" w:color="auto" w:fill="F3F3F4"/>
          </w:tcPr>
          <w:p>
            <w:pPr>
              <w:spacing w:after="0"/>
              <w:rPr>
                <w:sz w:val="20"/>
                <w:szCs w:val="20"/>
                <w:color w:val="auto"/>
              </w:rPr>
            </w:pPr>
            <w:r>
              <w:rPr>
                <w:rFonts w:ascii="Arial" w:cs="Arial" w:eastAsia="Arial" w:hAnsi="Arial"/>
                <w:sz w:val="16"/>
                <w:szCs w:val="16"/>
                <w:b w:val="1"/>
                <w:bCs w:val="1"/>
                <w:color w:val="auto"/>
              </w:rPr>
              <w:t>Net Debt</w:t>
            </w:r>
          </w:p>
        </w:tc>
        <w:tc>
          <w:tcPr>
            <w:tcW w:w="3880" w:type="dxa"/>
            <w:vAlign w:val="bottom"/>
            <w:tcBorders>
              <w:bottom w:val="single" w:sz="8" w:color="auto"/>
            </w:tcBorders>
            <w:shd w:val="clear" w:color="auto" w:fill="F3F3F4"/>
          </w:tcPr>
          <w:p>
            <w:pPr>
              <w:jc w:val="right"/>
              <w:ind w:right="59"/>
              <w:spacing w:after="0"/>
              <w:rPr>
                <w:sz w:val="20"/>
                <w:szCs w:val="20"/>
                <w:color w:val="auto"/>
              </w:rPr>
            </w:pPr>
            <w:r>
              <w:rPr>
                <w:rFonts w:ascii="Arial" w:cs="Arial" w:eastAsia="Arial" w:hAnsi="Arial"/>
                <w:sz w:val="16"/>
                <w:szCs w:val="16"/>
                <w:b w:val="1"/>
                <w:bCs w:val="1"/>
                <w:color w:val="auto"/>
              </w:rPr>
              <w:t>3,977</w:t>
            </w:r>
          </w:p>
        </w:tc>
        <w:tc>
          <w:tcPr>
            <w:tcW w:w="174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6"/>
                <w:szCs w:val="16"/>
                <w:b w:val="1"/>
                <w:bCs w:val="1"/>
                <w:color w:val="auto"/>
              </w:rPr>
              <w:t>5,419</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Future Shareholder Proposals and Director Nominations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Shareholders are entitled to submit director nominations or proposals on matters appropriate for shareholder action at next year’s annual meeting consistent with the regulations of the SEC and the Company’s bylaws. Notices for the following should be mailed to the attention of the Company’s Corporate Secretary at 2000 W. Sam Houston Pkwy. S., Suite 200, Houston, Texas 77042 and must be received by the deadline specified below.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Borders>
              <w:top w:val="single" w:sz="8" w:color="auto"/>
            </w:tcBorders>
            <w:shd w:val="clear" w:color="auto" w:fill="F3F3F4"/>
          </w:tcPr>
          <w:p>
            <w:pPr>
              <w:ind w:left="380"/>
              <w:spacing w:after="0" w:line="169" w:lineRule="exact"/>
              <w:rPr>
                <w:sz w:val="20"/>
                <w:szCs w:val="20"/>
                <w:color w:val="auto"/>
              </w:rPr>
            </w:pPr>
            <w:r>
              <w:rPr>
                <w:rFonts w:ascii="Arial" w:cs="Arial" w:eastAsia="Arial" w:hAnsi="Arial"/>
                <w:sz w:val="15"/>
                <w:szCs w:val="15"/>
                <w:b w:val="1"/>
                <w:bCs w:val="1"/>
                <w:color w:val="auto"/>
              </w:rPr>
              <w:t>Proposals in Next Year’s</w:t>
            </w:r>
          </w:p>
        </w:tc>
        <w:tc>
          <w:tcPr>
            <w:tcW w:w="2980" w:type="dxa"/>
            <w:vAlign w:val="bottom"/>
            <w:tcBorders>
              <w:top w:val="single" w:sz="8" w:color="auto"/>
            </w:tcBorders>
            <w:shd w:val="clear" w:color="auto" w:fill="F3F3F4"/>
          </w:tcPr>
          <w:p>
            <w:pPr>
              <w:ind w:left="120"/>
              <w:spacing w:after="0" w:line="169" w:lineRule="exact"/>
              <w:rPr>
                <w:sz w:val="20"/>
                <w:szCs w:val="20"/>
                <w:color w:val="auto"/>
              </w:rPr>
            </w:pPr>
            <w:r>
              <w:rPr>
                <w:rFonts w:ascii="Arial" w:cs="Arial" w:eastAsia="Arial" w:hAnsi="Arial"/>
                <w:sz w:val="15"/>
                <w:szCs w:val="15"/>
                <w:b w:val="1"/>
                <w:bCs w:val="1"/>
                <w:color w:val="auto"/>
              </w:rPr>
              <w:t>Director Nominations in Next Year’s</w:t>
            </w:r>
          </w:p>
        </w:tc>
        <w:tc>
          <w:tcPr>
            <w:tcW w:w="1740" w:type="dxa"/>
            <w:vAlign w:val="bottom"/>
            <w:tcBorders>
              <w:top w:val="single" w:sz="8" w:color="auto"/>
            </w:tcBorders>
            <w:shd w:val="clear" w:color="auto" w:fill="F3F3F4"/>
          </w:tcPr>
          <w:p>
            <w:pPr>
              <w:ind w:left="260"/>
              <w:spacing w:after="0" w:line="169" w:lineRule="exact"/>
              <w:rPr>
                <w:sz w:val="20"/>
                <w:szCs w:val="20"/>
                <w:color w:val="auto"/>
              </w:rPr>
            </w:pPr>
            <w:r>
              <w:rPr>
                <w:rFonts w:ascii="Arial" w:cs="Arial" w:eastAsia="Arial" w:hAnsi="Arial"/>
                <w:sz w:val="15"/>
                <w:szCs w:val="15"/>
                <w:b w:val="1"/>
                <w:bCs w:val="1"/>
                <w:color w:val="auto"/>
              </w:rPr>
              <w:t>Director</w:t>
            </w:r>
          </w:p>
        </w:tc>
        <w:tc>
          <w:tcPr>
            <w:tcW w:w="2700" w:type="dxa"/>
            <w:vAlign w:val="bottom"/>
            <w:tcBorders>
              <w:top w:val="single" w:sz="8" w:color="auto"/>
            </w:tcBorders>
            <w:shd w:val="clear" w:color="auto" w:fill="F3F3F4"/>
          </w:tcPr>
          <w:p>
            <w:pPr>
              <w:ind w:left="160"/>
              <w:spacing w:after="0" w:line="169" w:lineRule="exact"/>
              <w:rPr>
                <w:sz w:val="20"/>
                <w:szCs w:val="20"/>
                <w:color w:val="auto"/>
              </w:rPr>
            </w:pPr>
            <w:r>
              <w:rPr>
                <w:rFonts w:ascii="Arial" w:cs="Arial" w:eastAsia="Arial" w:hAnsi="Arial"/>
                <w:sz w:val="15"/>
                <w:szCs w:val="15"/>
                <w:b w:val="1"/>
                <w:bCs w:val="1"/>
                <w:color w:val="auto"/>
              </w:rPr>
              <w:t>Other Proposals or Nominees for</w:t>
            </w:r>
          </w:p>
        </w:tc>
      </w:tr>
      <w:tr>
        <w:trPr>
          <w:trHeight w:val="154"/>
        </w:trPr>
        <w:tc>
          <w:tcPr>
            <w:tcW w:w="2300" w:type="dxa"/>
            <w:vAlign w:val="bottom"/>
            <w:shd w:val="clear" w:color="auto" w:fill="F3F3F4"/>
          </w:tcPr>
          <w:p>
            <w:pPr>
              <w:ind w:left="380"/>
              <w:spacing w:after="0" w:line="154" w:lineRule="exact"/>
              <w:rPr>
                <w:sz w:val="20"/>
                <w:szCs w:val="20"/>
                <w:color w:val="auto"/>
              </w:rPr>
            </w:pPr>
            <w:r>
              <w:rPr>
                <w:rFonts w:ascii="Arial" w:cs="Arial" w:eastAsia="Arial" w:hAnsi="Arial"/>
                <w:sz w:val="15"/>
                <w:szCs w:val="15"/>
                <w:b w:val="1"/>
                <w:bCs w:val="1"/>
                <w:color w:val="auto"/>
              </w:rPr>
              <w:t>Proxy Statement</w:t>
            </w:r>
          </w:p>
        </w:tc>
        <w:tc>
          <w:tcPr>
            <w:tcW w:w="2980" w:type="dxa"/>
            <w:vAlign w:val="bottom"/>
            <w:shd w:val="clear" w:color="auto" w:fill="F3F3F4"/>
          </w:tcPr>
          <w:p>
            <w:pPr>
              <w:ind w:left="120"/>
              <w:spacing w:after="0" w:line="154" w:lineRule="exact"/>
              <w:rPr>
                <w:sz w:val="20"/>
                <w:szCs w:val="20"/>
                <w:color w:val="auto"/>
              </w:rPr>
            </w:pPr>
            <w:r>
              <w:rPr>
                <w:rFonts w:ascii="Arial" w:cs="Arial" w:eastAsia="Arial" w:hAnsi="Arial"/>
                <w:sz w:val="15"/>
                <w:szCs w:val="15"/>
                <w:b w:val="1"/>
                <w:bCs w:val="1"/>
                <w:color w:val="auto"/>
              </w:rPr>
              <w:t>Proxy Statement (</w:t>
            </w:r>
            <w:r>
              <w:rPr>
                <w:rFonts w:ascii="Arial" w:cs="Arial" w:eastAsia="Arial" w:hAnsi="Arial"/>
                <w:sz w:val="15"/>
                <w:szCs w:val="15"/>
                <w:b w:val="1"/>
                <w:bCs w:val="1"/>
                <w:i w:val="1"/>
                <w:iCs w:val="1"/>
                <w:color w:val="auto"/>
              </w:rPr>
              <w:t>Proxy Access</w:t>
            </w:r>
            <w:r>
              <w:rPr>
                <w:rFonts w:ascii="Arial" w:cs="Arial" w:eastAsia="Arial" w:hAnsi="Arial"/>
                <w:sz w:val="15"/>
                <w:szCs w:val="15"/>
                <w:b w:val="1"/>
                <w:bCs w:val="1"/>
                <w:color w:val="auto"/>
              </w:rPr>
              <w:t>)</w:t>
            </w:r>
          </w:p>
        </w:tc>
        <w:tc>
          <w:tcPr>
            <w:tcW w:w="1740" w:type="dxa"/>
            <w:vAlign w:val="bottom"/>
            <w:shd w:val="clear" w:color="auto" w:fill="F3F3F4"/>
          </w:tcPr>
          <w:p>
            <w:pPr>
              <w:ind w:left="260"/>
              <w:spacing w:after="0" w:line="154" w:lineRule="exact"/>
              <w:rPr>
                <w:sz w:val="20"/>
                <w:szCs w:val="20"/>
                <w:color w:val="auto"/>
              </w:rPr>
            </w:pPr>
            <w:r>
              <w:rPr>
                <w:rFonts w:ascii="Arial" w:cs="Arial" w:eastAsia="Arial" w:hAnsi="Arial"/>
                <w:sz w:val="15"/>
                <w:szCs w:val="15"/>
                <w:b w:val="1"/>
                <w:bCs w:val="1"/>
                <w:color w:val="auto"/>
              </w:rPr>
              <w:t>Nominations on</w:t>
            </w:r>
          </w:p>
        </w:tc>
        <w:tc>
          <w:tcPr>
            <w:tcW w:w="2700" w:type="dxa"/>
            <w:vAlign w:val="bottom"/>
            <w:shd w:val="clear" w:color="auto" w:fill="F3F3F4"/>
          </w:tcPr>
          <w:p>
            <w:pPr>
              <w:ind w:left="160"/>
              <w:spacing w:after="0" w:line="154" w:lineRule="exact"/>
              <w:rPr>
                <w:sz w:val="20"/>
                <w:szCs w:val="20"/>
                <w:color w:val="auto"/>
              </w:rPr>
            </w:pPr>
            <w:r>
              <w:rPr>
                <w:rFonts w:ascii="Arial" w:cs="Arial" w:eastAsia="Arial" w:hAnsi="Arial"/>
                <w:sz w:val="15"/>
                <w:szCs w:val="15"/>
                <w:b w:val="1"/>
                <w:bCs w:val="1"/>
                <w:color w:val="auto"/>
              </w:rPr>
              <w:t>Presentation at Next Year’s</w:t>
            </w:r>
          </w:p>
        </w:tc>
      </w:tr>
      <w:tr>
        <w:trPr>
          <w:trHeight w:val="170"/>
        </w:trPr>
        <w:tc>
          <w:tcPr>
            <w:tcW w:w="2300" w:type="dxa"/>
            <w:vAlign w:val="bottom"/>
            <w:shd w:val="clear" w:color="auto" w:fill="F3F3F4"/>
          </w:tcPr>
          <w:p>
            <w:pPr>
              <w:spacing w:after="0"/>
              <w:rPr>
                <w:sz w:val="14"/>
                <w:szCs w:val="14"/>
                <w:color w:val="auto"/>
              </w:rPr>
            </w:pPr>
          </w:p>
        </w:tc>
        <w:tc>
          <w:tcPr>
            <w:tcW w:w="2980" w:type="dxa"/>
            <w:vAlign w:val="bottom"/>
            <w:shd w:val="clear" w:color="auto" w:fill="F3F3F4"/>
          </w:tcPr>
          <w:p>
            <w:pPr>
              <w:spacing w:after="0"/>
              <w:rPr>
                <w:sz w:val="14"/>
                <w:szCs w:val="14"/>
                <w:color w:val="auto"/>
              </w:rPr>
            </w:pPr>
          </w:p>
        </w:tc>
        <w:tc>
          <w:tcPr>
            <w:tcW w:w="1740" w:type="dxa"/>
            <w:vAlign w:val="bottom"/>
            <w:shd w:val="clear" w:color="auto" w:fill="F3F3F4"/>
          </w:tcPr>
          <w:p>
            <w:pPr>
              <w:ind w:left="260"/>
              <w:spacing w:after="0" w:line="169" w:lineRule="exact"/>
              <w:rPr>
                <w:sz w:val="20"/>
                <w:szCs w:val="20"/>
                <w:color w:val="auto"/>
              </w:rPr>
            </w:pPr>
            <w:r>
              <w:rPr>
                <w:rFonts w:ascii="Arial" w:cs="Arial" w:eastAsia="Arial" w:hAnsi="Arial"/>
                <w:sz w:val="15"/>
                <w:szCs w:val="15"/>
                <w:b w:val="1"/>
                <w:bCs w:val="1"/>
                <w:color w:val="auto"/>
              </w:rPr>
              <w:t>Next Year’s Proxy</w:t>
            </w:r>
          </w:p>
        </w:tc>
        <w:tc>
          <w:tcPr>
            <w:tcW w:w="2700" w:type="dxa"/>
            <w:vAlign w:val="bottom"/>
            <w:shd w:val="clear" w:color="auto" w:fill="F3F3F4"/>
          </w:tcPr>
          <w:p>
            <w:pPr>
              <w:ind w:left="160"/>
              <w:spacing w:after="0" w:line="170" w:lineRule="exact"/>
              <w:rPr>
                <w:sz w:val="20"/>
                <w:szCs w:val="20"/>
                <w:color w:val="auto"/>
              </w:rPr>
            </w:pPr>
            <w:r>
              <w:rPr>
                <w:rFonts w:ascii="Arial" w:cs="Arial" w:eastAsia="Arial" w:hAnsi="Arial"/>
                <w:sz w:val="15"/>
                <w:szCs w:val="15"/>
                <w:b w:val="1"/>
                <w:bCs w:val="1"/>
                <w:color w:val="auto"/>
              </w:rPr>
              <w:t>Meeting</w:t>
            </w:r>
            <w:r>
              <w:rPr>
                <w:rFonts w:ascii="Arial" w:cs="Arial" w:eastAsia="Arial" w:hAnsi="Arial"/>
                <w:sz w:val="19"/>
                <w:szCs w:val="19"/>
                <w:b w:val="1"/>
                <w:bCs w:val="1"/>
                <w:color w:val="auto"/>
                <w:vertAlign w:val="superscript"/>
              </w:rPr>
              <w:t>(1)</w:t>
            </w:r>
          </w:p>
        </w:tc>
      </w:tr>
      <w:tr>
        <w:trPr>
          <w:trHeight w:val="162"/>
        </w:trPr>
        <w:tc>
          <w:tcPr>
            <w:tcW w:w="2300" w:type="dxa"/>
            <w:vAlign w:val="bottom"/>
            <w:shd w:val="clear" w:color="auto" w:fill="F3F3F4"/>
          </w:tcPr>
          <w:p>
            <w:pPr>
              <w:spacing w:after="0"/>
              <w:rPr>
                <w:sz w:val="14"/>
                <w:szCs w:val="14"/>
                <w:color w:val="auto"/>
              </w:rPr>
            </w:pPr>
          </w:p>
        </w:tc>
        <w:tc>
          <w:tcPr>
            <w:tcW w:w="2980" w:type="dxa"/>
            <w:vAlign w:val="bottom"/>
            <w:shd w:val="clear" w:color="auto" w:fill="F3F3F4"/>
          </w:tcPr>
          <w:p>
            <w:pPr>
              <w:spacing w:after="0"/>
              <w:rPr>
                <w:sz w:val="14"/>
                <w:szCs w:val="14"/>
                <w:color w:val="auto"/>
              </w:rPr>
            </w:pPr>
          </w:p>
        </w:tc>
        <w:tc>
          <w:tcPr>
            <w:tcW w:w="1740" w:type="dxa"/>
            <w:vAlign w:val="bottom"/>
            <w:shd w:val="clear" w:color="auto" w:fill="F3F3F4"/>
          </w:tcPr>
          <w:p>
            <w:pPr>
              <w:ind w:left="260"/>
              <w:spacing w:after="0" w:line="162" w:lineRule="exact"/>
              <w:rPr>
                <w:sz w:val="20"/>
                <w:szCs w:val="20"/>
                <w:color w:val="auto"/>
              </w:rPr>
            </w:pPr>
            <w:r>
              <w:rPr>
                <w:rFonts w:ascii="Arial" w:cs="Arial" w:eastAsia="Arial" w:hAnsi="Arial"/>
                <w:sz w:val="15"/>
                <w:szCs w:val="15"/>
                <w:b w:val="1"/>
                <w:bCs w:val="1"/>
                <w:color w:val="auto"/>
              </w:rPr>
              <w:t>Card (</w:t>
            </w:r>
            <w:r>
              <w:rPr>
                <w:rFonts w:ascii="Arial" w:cs="Arial" w:eastAsia="Arial" w:hAnsi="Arial"/>
                <w:sz w:val="15"/>
                <w:szCs w:val="15"/>
                <w:b w:val="1"/>
                <w:bCs w:val="1"/>
                <w:i w:val="1"/>
                <w:iCs w:val="1"/>
                <w:color w:val="auto"/>
              </w:rPr>
              <w:t>Universal</w:t>
            </w:r>
          </w:p>
        </w:tc>
        <w:tc>
          <w:tcPr>
            <w:tcW w:w="2700" w:type="dxa"/>
            <w:vAlign w:val="bottom"/>
            <w:shd w:val="clear" w:color="auto" w:fill="F3F3F4"/>
          </w:tcPr>
          <w:p>
            <w:pPr>
              <w:spacing w:after="0"/>
              <w:rPr>
                <w:sz w:val="14"/>
                <w:szCs w:val="14"/>
                <w:color w:val="auto"/>
              </w:rPr>
            </w:pPr>
          </w:p>
        </w:tc>
      </w:tr>
      <w:tr>
        <w:trPr>
          <w:trHeight w:val="195"/>
        </w:trPr>
        <w:tc>
          <w:tcPr>
            <w:tcW w:w="2300" w:type="dxa"/>
            <w:vAlign w:val="bottom"/>
            <w:tcBorders>
              <w:bottom w:val="single" w:sz="8" w:color="auto"/>
            </w:tcBorders>
            <w:shd w:val="clear" w:color="auto" w:fill="F3F3F4"/>
          </w:tcPr>
          <w:p>
            <w:pPr>
              <w:spacing w:after="0"/>
              <w:rPr>
                <w:sz w:val="16"/>
                <w:szCs w:val="16"/>
                <w:color w:val="auto"/>
              </w:rPr>
            </w:pPr>
          </w:p>
        </w:tc>
        <w:tc>
          <w:tcPr>
            <w:tcW w:w="2980" w:type="dxa"/>
            <w:vAlign w:val="bottom"/>
            <w:tcBorders>
              <w:bottom w:val="single" w:sz="8" w:color="auto"/>
            </w:tcBorders>
            <w:shd w:val="clear" w:color="auto" w:fill="F3F3F4"/>
          </w:tcPr>
          <w:p>
            <w:pPr>
              <w:spacing w:after="0"/>
              <w:rPr>
                <w:sz w:val="16"/>
                <w:szCs w:val="16"/>
                <w:color w:val="auto"/>
              </w:rPr>
            </w:pPr>
          </w:p>
        </w:tc>
        <w:tc>
          <w:tcPr>
            <w:tcW w:w="1740" w:type="dxa"/>
            <w:vAlign w:val="bottom"/>
            <w:tcBorders>
              <w:bottom w:val="single" w:sz="8" w:color="auto"/>
            </w:tcBorders>
            <w:shd w:val="clear" w:color="auto" w:fill="F3F3F4"/>
          </w:tcPr>
          <w:p>
            <w:pPr>
              <w:ind w:left="260"/>
              <w:spacing w:after="0"/>
              <w:rPr>
                <w:sz w:val="20"/>
                <w:szCs w:val="20"/>
                <w:color w:val="auto"/>
              </w:rPr>
            </w:pPr>
            <w:r>
              <w:rPr>
                <w:rFonts w:ascii="Arial" w:cs="Arial" w:eastAsia="Arial" w:hAnsi="Arial"/>
                <w:sz w:val="15"/>
                <w:szCs w:val="15"/>
                <w:b w:val="1"/>
                <w:bCs w:val="1"/>
                <w:i w:val="1"/>
                <w:iCs w:val="1"/>
                <w:color w:val="auto"/>
              </w:rPr>
              <w:t>Proxy</w:t>
            </w:r>
            <w:r>
              <w:rPr>
                <w:rFonts w:ascii="Arial" w:cs="Arial" w:eastAsia="Arial" w:hAnsi="Arial"/>
                <w:sz w:val="15"/>
                <w:szCs w:val="15"/>
                <w:b w:val="1"/>
                <w:bCs w:val="1"/>
                <w:color w:val="auto"/>
              </w:rPr>
              <w:t>)</w:t>
            </w:r>
          </w:p>
        </w:tc>
        <w:tc>
          <w:tcPr>
            <w:tcW w:w="2700" w:type="dxa"/>
            <w:vAlign w:val="bottom"/>
            <w:tcBorders>
              <w:bottom w:val="single" w:sz="8" w:color="auto"/>
            </w:tcBorders>
            <w:shd w:val="clear" w:color="auto" w:fill="F3F3F4"/>
          </w:tcPr>
          <w:p>
            <w:pPr>
              <w:spacing w:after="0"/>
              <w:rPr>
                <w:sz w:val="16"/>
                <w:szCs w:val="16"/>
                <w:color w:val="auto"/>
              </w:rPr>
            </w:pPr>
          </w:p>
        </w:tc>
      </w:tr>
    </w:tbl>
    <w:p>
      <w:pPr>
        <w:spacing w:after="0" w:line="1" w:lineRule="exact"/>
        <w:rPr>
          <w:sz w:val="20"/>
          <w:szCs w:val="20"/>
          <w:color w:val="auto"/>
        </w:rPr>
      </w:pPr>
    </w:p>
    <w:p>
      <w:pPr>
        <w:sectPr>
          <w:pgSz w:w="11900" w:h="16935" w:orient="portrait"/>
          <w:cols w:equalWidth="0" w:num="1">
            <w:col w:w="9720"/>
          </w:cols>
          <w:pgMar w:left="1080" w:top="1226" w:right="1099" w:bottom="0" w:gutter="0" w:footer="0" w:header="0"/>
        </w:sectPr>
      </w:pPr>
    </w:p>
    <w:p>
      <w:pPr>
        <w:ind w:left="140" w:hanging="6"/>
        <w:spacing w:after="0" w:line="230" w:lineRule="auto"/>
        <w:tabs>
          <w:tab w:leader="none" w:pos="386" w:val="left"/>
        </w:tabs>
        <w:numPr>
          <w:ilvl w:val="0"/>
          <w:numId w:val="131"/>
        </w:numPr>
        <w:rPr>
          <w:rFonts w:ascii="Arial" w:cs="Arial" w:eastAsia="Arial" w:hAnsi="Arial"/>
          <w:sz w:val="15"/>
          <w:szCs w:val="15"/>
          <w:b w:val="1"/>
          <w:bCs w:val="1"/>
          <w:color w:val="auto"/>
        </w:rPr>
      </w:pPr>
      <w:r>
        <w:rPr>
          <w:rFonts w:ascii="Arial" w:cs="Arial" w:eastAsia="Arial" w:hAnsi="Arial"/>
          <w:sz w:val="15"/>
          <w:szCs w:val="15"/>
          <w:color w:val="auto"/>
        </w:rPr>
        <w:t xml:space="preserve">To submit a proposal (other </w:t>
      </w:r>
      <w:r>
        <w:rPr>
          <w:rFonts w:ascii="Arial" w:cs="Arial" w:eastAsia="Arial" w:hAnsi="Arial"/>
          <w:sz w:val="15"/>
          <w:szCs w:val="15"/>
          <w:b w:val="1"/>
          <w:bCs w:val="1"/>
          <w:color w:val="auto"/>
        </w:rPr>
        <w:t xml:space="preserve">e </w:t>
      </w:r>
      <w:r>
        <w:rPr>
          <w:rFonts w:ascii="Arial" w:cs="Arial" w:eastAsia="Arial" w:hAnsi="Arial"/>
          <w:sz w:val="15"/>
          <w:szCs w:val="15"/>
          <w:color w:val="auto"/>
        </w:rPr>
        <w:t>than director nominations)</w:t>
      </w:r>
      <w:r>
        <w:rPr>
          <w:rFonts w:ascii="Arial" w:cs="Arial" w:eastAsia="Arial" w:hAnsi="Arial"/>
          <w:sz w:val="15"/>
          <w:szCs w:val="15"/>
          <w:b w:val="1"/>
          <w:bCs w:val="1"/>
          <w:color w:val="auto"/>
        </w:rPr>
        <w:t xml:space="preserve"> s </w:t>
      </w:r>
      <w:r>
        <w:rPr>
          <w:rFonts w:ascii="Arial" w:cs="Arial" w:eastAsia="Arial" w:hAnsi="Arial"/>
          <w:sz w:val="15"/>
          <w:szCs w:val="15"/>
          <w:color w:val="auto"/>
        </w:rPr>
        <w:t>for inclusion in our proxy</w:t>
      </w:r>
    </w:p>
    <w:p>
      <w:pPr>
        <w:ind w:left="140" w:right="40"/>
        <w:spacing w:after="0" w:line="225"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 </w:t>
      </w:r>
      <w:r>
        <w:rPr>
          <w:rFonts w:ascii="Arial" w:cs="Arial" w:eastAsia="Arial" w:hAnsi="Arial"/>
          <w:sz w:val="15"/>
          <w:szCs w:val="15"/>
          <w:color w:val="auto"/>
        </w:rPr>
        <w:t>statement, the shareholder</w:t>
      </w:r>
      <w:r>
        <w:rPr>
          <w:rFonts w:ascii="Arial" w:cs="Arial" w:eastAsia="Arial" w:hAnsi="Arial"/>
          <w:sz w:val="15"/>
          <w:szCs w:val="15"/>
          <w:b w:val="1"/>
          <w:bCs w:val="1"/>
          <w:color w:val="auto"/>
        </w:rPr>
        <w:t xml:space="preserve"> ri </w:t>
      </w:r>
      <w:r>
        <w:rPr>
          <w:rFonts w:ascii="Arial" w:cs="Arial" w:eastAsia="Arial" w:hAnsi="Arial"/>
          <w:sz w:val="15"/>
          <w:szCs w:val="15"/>
          <w:color w:val="auto"/>
        </w:rPr>
        <w:t>and the proposal must</w:t>
      </w:r>
    </w:p>
    <w:p>
      <w:pPr>
        <w:ind w:left="140"/>
        <w:spacing w:after="0" w:line="225"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 </w:t>
      </w:r>
      <w:r>
        <w:rPr>
          <w:rFonts w:ascii="Arial" w:cs="Arial" w:eastAsia="Arial" w:hAnsi="Arial"/>
          <w:sz w:val="15"/>
          <w:szCs w:val="15"/>
          <w:color w:val="auto"/>
        </w:rPr>
        <w:t>comply with SEC Rule 14a-</w:t>
      </w:r>
      <w:r>
        <w:rPr>
          <w:rFonts w:ascii="Arial" w:cs="Arial" w:eastAsia="Arial" w:hAnsi="Arial"/>
          <w:sz w:val="15"/>
          <w:szCs w:val="15"/>
          <w:b w:val="1"/>
          <w:bCs w:val="1"/>
          <w:color w:val="auto"/>
        </w:rPr>
        <w:t xml:space="preserve">ti </w:t>
      </w:r>
      <w:r>
        <w:rPr>
          <w:rFonts w:ascii="Arial" w:cs="Arial" w:eastAsia="Arial" w:hAnsi="Arial"/>
          <w:sz w:val="15"/>
          <w:szCs w:val="15"/>
          <w:color w:val="auto"/>
        </w:rPr>
        <w:t>8</w:t>
      </w:r>
    </w:p>
    <w:p>
      <w:pPr>
        <w:jc w:val="both"/>
        <w:ind w:left="140" w:right="2020"/>
        <w:spacing w:after="0" w:line="286" w:lineRule="auto"/>
        <w:rPr>
          <w:rFonts w:ascii="Arial" w:cs="Arial" w:eastAsia="Arial" w:hAnsi="Arial"/>
          <w:sz w:val="15"/>
          <w:szCs w:val="15"/>
          <w:b w:val="1"/>
          <w:bCs w:val="1"/>
          <w:color w:val="auto"/>
        </w:rPr>
      </w:pPr>
      <w:r>
        <w:rPr>
          <w:rFonts w:ascii="Arial" w:cs="Arial" w:eastAsia="Arial" w:hAnsi="Arial"/>
          <w:sz w:val="13"/>
          <w:szCs w:val="13"/>
          <w:b w:val="1"/>
          <w:bCs w:val="1"/>
          <w:color w:val="auto"/>
        </w:rPr>
        <w:t>o n</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5"/>
          <w:szCs w:val="15"/>
          <w:color w:val="auto"/>
        </w:rPr>
        <w:t>A shareholder or group of up to 20 who have owned an aggregate of at least 3% of APA’s outstanding common stock continuously for at least 3 years may submit director nominations of up to 25% of the Board for inclusion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-1533525</wp:posOffset>
            </wp:positionH>
            <wp:positionV relativeFrom="paragraph">
              <wp:posOffset>304800</wp:posOffset>
            </wp:positionV>
            <wp:extent cx="61722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5"/>
          <w:szCs w:val="15"/>
          <w:color w:val="auto"/>
        </w:rPr>
        <w:t>To include additional director nominees on the proxy card and solicit proxies, the shareholder must comply with SEC Rule 14a-19</w:t>
      </w:r>
    </w:p>
    <w:p>
      <w:pPr>
        <w:spacing w:after="0" w:line="20" w:lineRule="exact"/>
        <w:rPr>
          <w:sz w:val="20"/>
          <w:szCs w:val="20"/>
          <w:color w:val="auto"/>
        </w:rPr>
      </w:pPr>
      <w:r>
        <w:rPr>
          <w:sz w:val="20"/>
          <w:szCs w:val="20"/>
          <w:color w:val="auto"/>
        </w:rPr>
        <w:br w:type="column"/>
      </w:r>
    </w:p>
    <w:p>
      <w:pPr>
        <w:ind w:right="180"/>
        <w:spacing w:after="0" w:line="233" w:lineRule="auto"/>
        <w:rPr>
          <w:sz w:val="20"/>
          <w:szCs w:val="20"/>
          <w:color w:val="auto"/>
        </w:rPr>
      </w:pPr>
      <w:r>
        <w:rPr>
          <w:rFonts w:ascii="Arial" w:cs="Arial" w:eastAsia="Arial" w:hAnsi="Arial"/>
          <w:sz w:val="15"/>
          <w:szCs w:val="15"/>
          <w:color w:val="auto"/>
        </w:rPr>
        <w:t>To present a shareholder proposal or director nomination directly at next year’s annual meeting instead of in the proxy, the submitting shareholder must comply with the applicable provisions of our bylaws</w:t>
      </w:r>
    </w:p>
    <w:p>
      <w:pPr>
        <w:spacing w:after="0" w:line="496" w:lineRule="exact"/>
        <w:rPr>
          <w:sz w:val="20"/>
          <w:szCs w:val="20"/>
          <w:color w:val="auto"/>
        </w:rPr>
      </w:pPr>
    </w:p>
    <w:p>
      <w:pPr>
        <w:sectPr>
          <w:pgSz w:w="11900" w:h="16935" w:orient="portrait"/>
          <w:cols w:equalWidth="0" w:num="4">
            <w:col w:w="2240" w:space="180"/>
            <w:col w:w="2980" w:space="140"/>
            <w:col w:w="1500" w:space="140"/>
            <w:col w:w="2540"/>
          </w:cols>
          <w:pgMar w:left="1080" w:top="1226" w:right="1099" w:bottom="0" w:gutter="0" w:footer="0" w:header="0"/>
          <w:type w:val="continuous"/>
        </w:sectPr>
      </w:pPr>
    </w:p>
    <w:p>
      <w:pPr>
        <w:ind w:left="140" w:hanging="6"/>
        <w:spacing w:after="0" w:line="231" w:lineRule="auto"/>
        <w:tabs>
          <w:tab w:leader="none" w:pos="386" w:val="left"/>
        </w:tabs>
        <w:numPr>
          <w:ilvl w:val="0"/>
          <w:numId w:val="132"/>
        </w:numPr>
        <w:rPr>
          <w:rFonts w:ascii="Arial" w:cs="Arial" w:eastAsia="Arial" w:hAnsi="Arial"/>
          <w:sz w:val="15"/>
          <w:szCs w:val="15"/>
          <w:b w:val="1"/>
          <w:bCs w:val="1"/>
          <w:color w:val="auto"/>
        </w:rPr>
      </w:pPr>
      <w:r>
        <w:rPr>
          <w:rFonts w:ascii="Arial" w:cs="Arial" w:eastAsia="Arial" w:hAnsi="Arial"/>
          <w:sz w:val="15"/>
          <w:szCs w:val="15"/>
          <w:color w:val="auto"/>
        </w:rPr>
        <w:t xml:space="preserve">On or before December 10, </w:t>
      </w:r>
      <w:r>
        <w:rPr>
          <w:rFonts w:ascii="Arial" w:cs="Arial" w:eastAsia="Arial" w:hAnsi="Arial"/>
          <w:sz w:val="15"/>
          <w:szCs w:val="15"/>
          <w:b w:val="1"/>
          <w:bCs w:val="1"/>
          <w:color w:val="auto"/>
        </w:rPr>
        <w:t xml:space="preserve">e </w:t>
      </w:r>
      <w:r>
        <w:rPr>
          <w:rFonts w:ascii="Arial" w:cs="Arial" w:eastAsia="Arial" w:hAnsi="Arial"/>
          <w:sz w:val="15"/>
          <w:szCs w:val="15"/>
          <w:color w:val="auto"/>
        </w:rPr>
        <w:t>2026</w:t>
      </w:r>
    </w:p>
    <w:p>
      <w:pPr>
        <w:jc w:val="both"/>
        <w:ind w:left="140" w:right="2020"/>
        <w:spacing w:after="0" w:line="260" w:lineRule="auto"/>
        <w:rPr>
          <w:rFonts w:ascii="Arial" w:cs="Arial" w:eastAsia="Arial" w:hAnsi="Arial"/>
          <w:sz w:val="15"/>
          <w:szCs w:val="15"/>
          <w:b w:val="1"/>
          <w:bCs w:val="1"/>
          <w:color w:val="auto"/>
        </w:rPr>
      </w:pPr>
      <w:r>
        <w:rPr>
          <w:rFonts w:ascii="Arial" w:cs="Arial" w:eastAsia="Arial" w:hAnsi="Arial"/>
          <w:sz w:val="13"/>
          <w:szCs w:val="13"/>
          <w:b w:val="1"/>
          <w:bCs w:val="1"/>
          <w:color w:val="auto"/>
        </w:rPr>
        <w:t>a d li n e f o r</w:t>
      </w:r>
    </w:p>
    <w:p>
      <w:pPr>
        <w:jc w:val="both"/>
        <w:ind w:left="140" w:right="2000"/>
        <w:spacing w:after="0" w:line="267" w:lineRule="auto"/>
        <w:rPr>
          <w:rFonts w:ascii="Arial" w:cs="Arial" w:eastAsia="Arial" w:hAnsi="Arial"/>
          <w:sz w:val="15"/>
          <w:szCs w:val="15"/>
          <w:b w:val="1"/>
          <w:bCs w:val="1"/>
          <w:color w:val="auto"/>
        </w:rPr>
      </w:pPr>
      <w:r>
        <w:rPr>
          <w:rFonts w:ascii="Arial" w:cs="Arial" w:eastAsia="Arial" w:hAnsi="Arial"/>
          <w:sz w:val="13"/>
          <w:szCs w:val="13"/>
          <w:b w:val="1"/>
          <w:bCs w:val="1"/>
          <w:color w:val="auto"/>
        </w:rPr>
        <w:t>R e c e i p t</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5"/>
          <w:szCs w:val="15"/>
          <w:color w:val="auto"/>
        </w:rPr>
        <w:t>Between the close of business on November 10, 2026, and the close of business on December 10, 2026</w:t>
      </w:r>
    </w:p>
    <w:p>
      <w:pPr>
        <w:spacing w:after="0" w:line="20" w:lineRule="exact"/>
        <w:rPr>
          <w:sz w:val="20"/>
          <w:szCs w:val="20"/>
          <w:color w:val="auto"/>
        </w:rPr>
      </w:pPr>
      <w:r>
        <w:rPr>
          <w:sz w:val="20"/>
          <w:szCs w:val="20"/>
          <w:color w:val="auto"/>
        </w:rPr>
        <w:br w:type="column"/>
      </w:r>
    </w:p>
    <w:p>
      <w:pPr>
        <w:jc w:val="both"/>
        <w:ind w:right="200"/>
        <w:spacing w:after="0"/>
        <w:rPr>
          <w:sz w:val="20"/>
          <w:szCs w:val="20"/>
          <w:color w:val="auto"/>
        </w:rPr>
      </w:pPr>
      <w:r>
        <w:rPr>
          <w:rFonts w:ascii="Arial" w:cs="Arial" w:eastAsia="Arial" w:hAnsi="Arial"/>
          <w:sz w:val="15"/>
          <w:szCs w:val="15"/>
          <w:color w:val="auto"/>
        </w:rPr>
        <w:t>Between the close of business on December 22, 2026, and the close of business on January 21, 2027</w:t>
      </w:r>
    </w:p>
    <w:p>
      <w:pPr>
        <w:spacing w:after="0" w:line="2275" w:lineRule="exact"/>
        <w:rPr>
          <w:sz w:val="20"/>
          <w:szCs w:val="20"/>
          <w:color w:val="auto"/>
        </w:rPr>
      </w:pPr>
    </w:p>
    <w:p>
      <w:pPr>
        <w:sectPr>
          <w:pgSz w:w="11900" w:h="16935" w:orient="portrait"/>
          <w:cols w:equalWidth="0" w:num="3">
            <w:col w:w="2240" w:space="180"/>
            <w:col w:w="4260" w:space="500"/>
            <w:col w:w="2540"/>
          </w:cols>
          <w:pgMar w:left="1080" w:top="1226" w:right="109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32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W</w:t>
            </w:r>
          </w:p>
        </w:tc>
        <w:tc>
          <w:tcPr>
            <w:tcW w:w="18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color w:val="auto"/>
              </w:rPr>
              <w:t>Information required by</w:t>
            </w:r>
          </w:p>
        </w:tc>
        <w:tc>
          <w:tcPr>
            <w:tcW w:w="3200" w:type="dxa"/>
            <w:vAlign w:val="bottom"/>
            <w:tcBorders>
              <w:top w:val="single" w:sz="8" w:color="auto"/>
            </w:tcBorders>
          </w:tcPr>
          <w:p>
            <w:pPr>
              <w:ind w:left="240"/>
              <w:spacing w:after="0" w:line="129" w:lineRule="exact"/>
              <w:rPr>
                <w:sz w:val="20"/>
                <w:szCs w:val="20"/>
                <w:color w:val="auto"/>
              </w:rPr>
            </w:pPr>
            <w:r>
              <w:rPr>
                <w:rFonts w:ascii="Arial" w:cs="Arial" w:eastAsia="Arial" w:hAnsi="Arial"/>
                <w:sz w:val="14"/>
                <w:szCs w:val="14"/>
                <w:color w:val="auto"/>
              </w:rPr>
              <w:t>Information required by Article IV, Section</w:t>
            </w:r>
          </w:p>
        </w:tc>
        <w:tc>
          <w:tcPr>
            <w:tcW w:w="168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color w:val="auto"/>
              </w:rPr>
              <w:t>Information required</w:t>
            </w:r>
          </w:p>
        </w:tc>
        <w:tc>
          <w:tcPr>
            <w:tcW w:w="266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color w:val="auto"/>
              </w:rPr>
              <w:t>Information required by Article IV,</w:t>
            </w:r>
          </w:p>
        </w:tc>
      </w:tr>
      <w:tr>
        <w:trPr>
          <w:trHeight w:val="170"/>
        </w:trPr>
        <w:tc>
          <w:tcPr>
            <w:tcW w:w="320" w:type="dxa"/>
            <w:vAlign w:val="bottom"/>
          </w:tcPr>
          <w:p>
            <w:pPr>
              <w:ind w:left="140"/>
              <w:spacing w:after="0" w:line="169" w:lineRule="exact"/>
              <w:rPr>
                <w:sz w:val="20"/>
                <w:szCs w:val="20"/>
                <w:color w:val="auto"/>
              </w:rPr>
            </w:pPr>
            <w:r>
              <w:rPr>
                <w:rFonts w:ascii="Arial" w:cs="Arial" w:eastAsia="Arial" w:hAnsi="Arial"/>
                <w:sz w:val="15"/>
                <w:szCs w:val="15"/>
                <w:b w:val="1"/>
                <w:bCs w:val="1"/>
                <w:color w:val="auto"/>
              </w:rPr>
              <w:t>h</w:t>
            </w:r>
          </w:p>
        </w:tc>
        <w:tc>
          <w:tcPr>
            <w:tcW w:w="1860" w:type="dxa"/>
            <w:vAlign w:val="bottom"/>
          </w:tcPr>
          <w:p>
            <w:pPr>
              <w:ind w:left="60"/>
              <w:spacing w:after="0" w:line="169" w:lineRule="exact"/>
              <w:rPr>
                <w:sz w:val="20"/>
                <w:szCs w:val="20"/>
                <w:color w:val="auto"/>
              </w:rPr>
            </w:pPr>
            <w:r>
              <w:rPr>
                <w:rFonts w:ascii="Arial" w:cs="Arial" w:eastAsia="Arial" w:hAnsi="Arial"/>
                <w:sz w:val="15"/>
                <w:szCs w:val="15"/>
                <w:color w:val="auto"/>
              </w:rPr>
              <w:t>SEC Rule 14a-8</w:t>
            </w:r>
          </w:p>
        </w:tc>
        <w:tc>
          <w:tcPr>
            <w:tcW w:w="3200" w:type="dxa"/>
            <w:vAlign w:val="bottom"/>
          </w:tcPr>
          <w:p>
            <w:pPr>
              <w:ind w:left="240"/>
              <w:spacing w:after="0" w:line="170" w:lineRule="exact"/>
              <w:rPr>
                <w:sz w:val="20"/>
                <w:szCs w:val="20"/>
                <w:color w:val="auto"/>
              </w:rPr>
            </w:pPr>
            <w:r>
              <w:rPr>
                <w:rFonts w:ascii="Arial" w:cs="Arial" w:eastAsia="Arial" w:hAnsi="Arial"/>
                <w:sz w:val="15"/>
                <w:szCs w:val="15"/>
                <w:color w:val="auto"/>
              </w:rPr>
              <w:t>14 of our bylaws</w:t>
            </w:r>
            <w:r>
              <w:rPr>
                <w:rFonts w:ascii="Arial" w:cs="Arial" w:eastAsia="Arial" w:hAnsi="Arial"/>
                <w:sz w:val="19"/>
                <w:szCs w:val="19"/>
                <w:color w:val="auto"/>
                <w:vertAlign w:val="superscript"/>
              </w:rPr>
              <w:t>(2)</w:t>
            </w:r>
          </w:p>
        </w:tc>
        <w:tc>
          <w:tcPr>
            <w:tcW w:w="1680" w:type="dxa"/>
            <w:vAlign w:val="bottom"/>
          </w:tcPr>
          <w:p>
            <w:pPr>
              <w:ind w:left="160"/>
              <w:spacing w:after="0" w:line="169" w:lineRule="exact"/>
              <w:rPr>
                <w:sz w:val="20"/>
                <w:szCs w:val="20"/>
                <w:color w:val="auto"/>
              </w:rPr>
            </w:pPr>
            <w:r>
              <w:rPr>
                <w:rFonts w:ascii="Arial" w:cs="Arial" w:eastAsia="Arial" w:hAnsi="Arial"/>
                <w:sz w:val="15"/>
                <w:szCs w:val="15"/>
                <w:color w:val="auto"/>
              </w:rPr>
              <w:t>by SEC Rule 14a-19</w:t>
            </w:r>
          </w:p>
        </w:tc>
        <w:tc>
          <w:tcPr>
            <w:tcW w:w="2660" w:type="dxa"/>
            <w:vAlign w:val="bottom"/>
          </w:tcPr>
          <w:p>
            <w:pPr>
              <w:ind w:left="120"/>
              <w:spacing w:after="0" w:line="169" w:lineRule="exact"/>
              <w:rPr>
                <w:sz w:val="20"/>
                <w:szCs w:val="20"/>
                <w:color w:val="auto"/>
              </w:rPr>
            </w:pPr>
            <w:r>
              <w:rPr>
                <w:rFonts w:ascii="Arial" w:cs="Arial" w:eastAsia="Arial" w:hAnsi="Arial"/>
                <w:sz w:val="15"/>
                <w:szCs w:val="15"/>
                <w:color w:val="auto"/>
              </w:rPr>
              <w:t>Section 13 or Article IV, Section 12,</w:t>
            </w:r>
          </w:p>
        </w:tc>
      </w:tr>
      <w:tr>
        <w:trPr>
          <w:trHeight w:val="178"/>
        </w:trPr>
        <w:tc>
          <w:tcPr>
            <w:tcW w:w="320" w:type="dxa"/>
            <w:vAlign w:val="bottom"/>
          </w:tcPr>
          <w:p>
            <w:pPr>
              <w:ind w:left="140"/>
              <w:spacing w:after="0"/>
              <w:rPr>
                <w:sz w:val="20"/>
                <w:szCs w:val="20"/>
                <w:color w:val="auto"/>
              </w:rPr>
            </w:pPr>
            <w:r>
              <w:rPr>
                <w:rFonts w:ascii="Arial" w:cs="Arial" w:eastAsia="Arial" w:hAnsi="Arial"/>
                <w:sz w:val="15"/>
                <w:szCs w:val="15"/>
                <w:b w:val="1"/>
                <w:bCs w:val="1"/>
                <w:color w:val="auto"/>
              </w:rPr>
              <w:t>a</w:t>
            </w:r>
          </w:p>
        </w:tc>
        <w:tc>
          <w:tcPr>
            <w:tcW w:w="18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660" w:type="dxa"/>
            <w:vAlign w:val="bottom"/>
          </w:tcPr>
          <w:p>
            <w:pPr>
              <w:ind w:left="120"/>
              <w:spacing w:after="0"/>
              <w:rPr>
                <w:sz w:val="20"/>
                <w:szCs w:val="20"/>
                <w:color w:val="auto"/>
              </w:rPr>
            </w:pPr>
            <w:r>
              <w:rPr>
                <w:rFonts w:ascii="Arial" w:cs="Arial" w:eastAsia="Arial" w:hAnsi="Arial"/>
                <w:sz w:val="15"/>
                <w:szCs w:val="15"/>
                <w:color w:val="auto"/>
              </w:rPr>
              <w:t>as applicable, of our bylaws</w:t>
            </w:r>
          </w:p>
        </w:tc>
      </w:tr>
    </w:tbl>
    <w:p>
      <w:pPr>
        <w:ind w:left="140"/>
        <w:spacing w:after="0" w:line="225" w:lineRule="auto"/>
        <w:rPr>
          <w:sz w:val="20"/>
          <w:szCs w:val="20"/>
          <w:color w:val="auto"/>
        </w:rPr>
      </w:pPr>
      <w:r>
        <w:rPr>
          <w:rFonts w:ascii="Arial" w:cs="Arial" w:eastAsia="Arial" w:hAnsi="Arial"/>
          <w:sz w:val="15"/>
          <w:szCs w:val="15"/>
          <w:b w:val="1"/>
          <w:bCs w:val="1"/>
          <w:color w:val="auto"/>
        </w:rPr>
        <w:t>t</w:t>
      </w:r>
    </w:p>
    <w:p>
      <w:pPr>
        <w:ind w:left="140"/>
        <w:spacing w:after="0" w:line="225" w:lineRule="auto"/>
        <w:rPr>
          <w:sz w:val="20"/>
          <w:szCs w:val="20"/>
          <w:color w:val="auto"/>
        </w:rPr>
      </w:pPr>
      <w:r>
        <w:rPr>
          <w:rFonts w:ascii="Arial" w:cs="Arial" w:eastAsia="Arial" w:hAnsi="Arial"/>
          <w:sz w:val="15"/>
          <w:szCs w:val="15"/>
          <w:b w:val="1"/>
          <w:bCs w:val="1"/>
          <w:color w:val="auto"/>
        </w:rPr>
        <w:t>t</w:t>
      </w:r>
    </w:p>
    <w:p>
      <w:pPr>
        <w:ind w:left="140"/>
        <w:spacing w:after="0" w:line="226" w:lineRule="auto"/>
        <w:rPr>
          <w:sz w:val="20"/>
          <w:szCs w:val="20"/>
          <w:color w:val="auto"/>
        </w:rPr>
      </w:pPr>
      <w:r>
        <w:rPr>
          <w:rFonts w:ascii="Arial" w:cs="Arial" w:eastAsia="Arial" w:hAnsi="Arial"/>
          <w:sz w:val="15"/>
          <w:szCs w:val="15"/>
          <w:b w:val="1"/>
          <w:bCs w:val="1"/>
          <w:color w:val="auto"/>
        </w:rPr>
        <w:t>o</w:t>
      </w:r>
    </w:p>
    <w:p>
      <w:pPr>
        <w:ind w:left="140"/>
        <w:spacing w:after="0" w:line="225" w:lineRule="auto"/>
        <w:rPr>
          <w:sz w:val="20"/>
          <w:szCs w:val="20"/>
          <w:color w:val="auto"/>
        </w:rPr>
      </w:pPr>
      <w:r>
        <w:rPr>
          <w:rFonts w:ascii="Arial" w:cs="Arial" w:eastAsia="Arial" w:hAnsi="Arial"/>
          <w:sz w:val="15"/>
          <w:szCs w:val="15"/>
          <w:b w:val="1"/>
          <w:bCs w:val="1"/>
          <w:color w:val="auto"/>
        </w:rPr>
        <w:t>I</w:t>
      </w:r>
    </w:p>
    <w:p>
      <w:pPr>
        <w:ind w:left="140"/>
        <w:spacing w:after="0" w:line="226" w:lineRule="auto"/>
        <w:rPr>
          <w:sz w:val="20"/>
          <w:szCs w:val="20"/>
          <w:color w:val="auto"/>
        </w:rPr>
      </w:pPr>
      <w:r>
        <w:rPr>
          <w:rFonts w:ascii="Arial" w:cs="Arial" w:eastAsia="Arial" w:hAnsi="Arial"/>
          <w:sz w:val="15"/>
          <w:szCs w:val="15"/>
          <w:b w:val="1"/>
          <w:bCs w:val="1"/>
          <w:color w:val="auto"/>
        </w:rPr>
        <w:t>n</w:t>
      </w:r>
    </w:p>
    <w:p>
      <w:pPr>
        <w:ind w:left="140"/>
        <w:spacing w:after="0" w:line="225" w:lineRule="auto"/>
        <w:rPr>
          <w:sz w:val="20"/>
          <w:szCs w:val="20"/>
          <w:color w:val="auto"/>
        </w:rPr>
      </w:pPr>
      <w:r>
        <w:rPr>
          <w:rFonts w:ascii="Arial" w:cs="Arial" w:eastAsia="Arial" w:hAnsi="Arial"/>
          <w:sz w:val="15"/>
          <w:szCs w:val="15"/>
          <w:b w:val="1"/>
          <w:bCs w:val="1"/>
          <w:color w:val="auto"/>
        </w:rPr>
        <w:t>c</w:t>
      </w:r>
    </w:p>
    <w:p>
      <w:pPr>
        <w:ind w:left="140"/>
        <w:spacing w:after="0" w:line="225" w:lineRule="auto"/>
        <w:rPr>
          <w:sz w:val="20"/>
          <w:szCs w:val="20"/>
          <w:color w:val="auto"/>
        </w:rPr>
      </w:pPr>
      <w:r>
        <w:rPr>
          <w:rFonts w:ascii="Arial" w:cs="Arial" w:eastAsia="Arial" w:hAnsi="Arial"/>
          <w:sz w:val="15"/>
          <w:szCs w:val="15"/>
          <w:b w:val="1"/>
          <w:bCs w:val="1"/>
          <w:color w:val="auto"/>
        </w:rPr>
        <w:t>l</w:t>
      </w:r>
    </w:p>
    <w:p>
      <w:pPr>
        <w:ind w:left="140"/>
        <w:spacing w:after="0" w:line="226" w:lineRule="auto"/>
        <w:rPr>
          <w:sz w:val="20"/>
          <w:szCs w:val="20"/>
          <w:color w:val="auto"/>
        </w:rPr>
      </w:pPr>
      <w:r>
        <w:rPr>
          <w:rFonts w:ascii="Arial" w:cs="Arial" w:eastAsia="Arial" w:hAnsi="Arial"/>
          <w:sz w:val="15"/>
          <w:szCs w:val="15"/>
          <w:b w:val="1"/>
          <w:bCs w:val="1"/>
          <w:color w:val="auto"/>
        </w:rPr>
        <w:t>u</w:t>
      </w:r>
    </w:p>
    <w:p>
      <w:pPr>
        <w:ind w:left="140"/>
        <w:spacing w:after="0" w:line="225" w:lineRule="auto"/>
        <w:rPr>
          <w:sz w:val="20"/>
          <w:szCs w:val="20"/>
          <w:color w:val="auto"/>
        </w:rPr>
      </w:pPr>
      <w:r>
        <w:rPr>
          <w:rFonts w:ascii="Arial" w:cs="Arial" w:eastAsia="Arial" w:hAnsi="Arial"/>
          <w:sz w:val="15"/>
          <w:szCs w:val="15"/>
          <w:b w:val="1"/>
          <w:bCs w:val="1"/>
          <w:color w:val="auto"/>
        </w:rPr>
        <w:t>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61722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1" w:lineRule="exact"/>
        <w:rPr>
          <w:sz w:val="20"/>
          <w:szCs w:val="20"/>
          <w:color w:val="auto"/>
        </w:rPr>
      </w:pPr>
    </w:p>
    <w:p>
      <w:pPr>
        <w:ind w:left="240" w:right="40" w:hanging="236"/>
        <w:spacing w:after="0" w:line="256" w:lineRule="auto"/>
        <w:tabs>
          <w:tab w:leader="none" w:pos="240" w:val="left"/>
        </w:tabs>
        <w:numPr>
          <w:ilvl w:val="0"/>
          <w:numId w:val="133"/>
        </w:numPr>
        <w:rPr>
          <w:rFonts w:ascii="Arial" w:cs="Arial" w:eastAsia="Arial" w:hAnsi="Arial"/>
          <w:sz w:val="14"/>
          <w:szCs w:val="14"/>
          <w:color w:val="404040"/>
        </w:rPr>
      </w:pPr>
      <w:r>
        <w:rPr>
          <w:rFonts w:ascii="Arial" w:cs="Arial" w:eastAsia="Arial" w:hAnsi="Arial"/>
          <w:sz w:val="14"/>
          <w:szCs w:val="14"/>
          <w:color w:val="404040"/>
        </w:rPr>
        <w:t>If any shareholder proposal, including any director nomination, is properly presented directly at next year’s annual meeting, proxies will be voted on such proposals in accordance with the judgment of the management representatives who shall have been granted the authority to vote such proxies; provided, however, that with respect to any director nominee included on the Company’s proxy card pursuant to the Universal Proxy rules, proxies will be voted in accordance with the shareholder’s voting instruction, if any.</w:t>
      </w:r>
    </w:p>
    <w:p>
      <w:pPr>
        <w:spacing w:after="0" w:line="15" w:lineRule="exact"/>
        <w:rPr>
          <w:rFonts w:ascii="Arial" w:cs="Arial" w:eastAsia="Arial" w:hAnsi="Arial"/>
          <w:sz w:val="14"/>
          <w:szCs w:val="14"/>
          <w:color w:val="404040"/>
        </w:rPr>
      </w:pPr>
    </w:p>
    <w:p>
      <w:pPr>
        <w:ind w:left="240" w:right="380" w:hanging="236"/>
        <w:spacing w:after="0" w:line="285" w:lineRule="auto"/>
        <w:tabs>
          <w:tab w:leader="none" w:pos="240" w:val="left"/>
        </w:tabs>
        <w:numPr>
          <w:ilvl w:val="0"/>
          <w:numId w:val="133"/>
        </w:numPr>
        <w:rPr>
          <w:rFonts w:ascii="Arial" w:cs="Arial" w:eastAsia="Arial" w:hAnsi="Arial"/>
          <w:sz w:val="14"/>
          <w:szCs w:val="14"/>
          <w:color w:val="404040"/>
        </w:rPr>
      </w:pPr>
      <w:r>
        <w:rPr>
          <w:rFonts w:ascii="Arial" w:cs="Arial" w:eastAsia="Arial" w:hAnsi="Arial"/>
          <w:sz w:val="14"/>
          <w:szCs w:val="14"/>
          <w:color w:val="404040"/>
        </w:rPr>
        <w:t>Our bylaws are filed as an exhibit to our most recent Annual Report on Form 10-K, or a printed copy of our bylaws is available free of charge by writing to the Company’s Corporate Secretary at the address above.</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Accessing Our Annual Report and Other SEC Filings</w:t>
      </w:r>
    </w:p>
    <w:p>
      <w:pPr>
        <w:spacing w:after="0" w:line="12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Company’s Annual Report on Form 10-K and our other reports filed with the SEC are available on our website, www.apacorp.com, and on the SEC’s website, www.sec.gov.</w:t>
      </w:r>
    </w:p>
    <w:p>
      <w:pPr>
        <w:spacing w:after="0" w:line="41"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Reducing the Environmental Impact of Our Proxy Materials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Electronic Delivery of Our Materials</w:t>
      </w:r>
    </w:p>
    <w:p>
      <w:pPr>
        <w:spacing w:after="0" w:line="11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You can request to receive our proxy materials electronically rather than receiving printed copies. Electronic delivery of these materials helps reduce the environmental impact associated with printing and mailing them. You can sign up for electronic delivery by indicating that you agree to receive or access proxy materials electronically when casting your vote using the instructions provided on your proxy</w:t>
      </w:r>
    </w:p>
    <w:p>
      <w:pPr>
        <w:sectPr>
          <w:pgSz w:w="11900" w:h="16935" w:orient="portrait"/>
          <w:cols w:equalWidth="0" w:num="1">
            <w:col w:w="9720"/>
          </w:cols>
          <w:pgMar w:left="1080" w:top="1226" w:right="1099" w:bottom="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23"/>
        </w:trPr>
        <w:tc>
          <w:tcPr>
            <w:tcW w:w="10040" w:type="dxa"/>
            <w:vAlign w:val="bottom"/>
          </w:tcPr>
          <w:p>
            <w:pPr>
              <w:ind w:left="8280"/>
              <w:spacing w:after="0"/>
              <w:rPr>
                <w:sz w:val="20"/>
                <w:szCs w:val="20"/>
                <w:color w:val="auto"/>
              </w:rPr>
            </w:pPr>
            <w:r>
              <w:rPr>
                <w:rFonts w:ascii="Arial" w:cs="Arial" w:eastAsia="Arial" w:hAnsi="Arial"/>
                <w:sz w:val="16"/>
                <w:szCs w:val="16"/>
                <w:color w:val="auto"/>
              </w:rPr>
              <w:t>2026 Proxy Statement</w:t>
            </w:r>
          </w:p>
        </w:tc>
        <w:tc>
          <w:tcPr>
            <w:tcW w:w="1000" w:type="dxa"/>
            <w:vAlign w:val="bottom"/>
          </w:tcPr>
          <w:p>
            <w:pPr>
              <w:jc w:val="right"/>
              <w:ind w:right="579"/>
              <w:spacing w:after="0"/>
              <w:rPr>
                <w:sz w:val="20"/>
                <w:szCs w:val="20"/>
                <w:color w:val="auto"/>
              </w:rPr>
            </w:pPr>
            <w:r>
              <w:rPr>
                <w:rFonts w:ascii="Arial" w:cs="Arial" w:eastAsia="Arial" w:hAnsi="Arial"/>
                <w:sz w:val="16"/>
                <w:szCs w:val="16"/>
                <w:b w:val="1"/>
                <w:bCs w:val="1"/>
                <w:color w:val="auto"/>
              </w:rPr>
              <w:t>55</w:t>
            </w:r>
          </w:p>
        </w:tc>
      </w:tr>
      <w:tr>
        <w:trPr>
          <w:trHeight w:val="865"/>
        </w:trPr>
        <w:tc>
          <w:tcPr>
            <w:tcW w:w="10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368" w:right="439" w:bottom="1440" w:gutter="0" w:footer="0" w:header="0"/>
        </w:sectPr>
      </w:pPr>
    </w:p>
    <w:bookmarkStart w:id="62" w:name="page63"/>
    <w:bookmarkEnd w:id="62"/>
    <w:p>
      <w:pPr>
        <w:ind w:right="280"/>
        <w:spacing w:after="0" w:line="286" w:lineRule="auto"/>
        <w:rPr>
          <w:sz w:val="20"/>
          <w:szCs w:val="20"/>
          <w:color w:val="auto"/>
        </w:rPr>
      </w:pPr>
      <w:r>
        <w:rPr>
          <w:rFonts w:ascii="Arial" w:cs="Arial" w:eastAsia="Arial" w:hAnsi="Arial"/>
          <w:sz w:val="16"/>
          <w:szCs w:val="16"/>
          <w:color w:val="auto"/>
        </w:rPr>
        <w:t>card. If your shares are held in “street name,” then you may contact your broker, bank, or other nominee holding your shares for information on how to receive our proxy materials electronically. Doing so will help us make progress on our sustainability initiatives.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Shareholders with the Same Last Name and Address</w:t>
      </w:r>
    </w:p>
    <w:p>
      <w:pPr>
        <w:spacing w:after="0" w:line="11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SEC rules permit companies and intermediaries (such as brokers) to implement a delivery procedure known as “householding.” Under this procedure, multiple APA shareholders who reside at the same address may receive a single set of proxy materials, unless one or more of the shareholders has provided contrary instructions. This procedure saves natural resources and reduces printing costs and postage fees. We encourage you to utilize this householding delivery procedure if you choose to receive printed materials.</w:t>
      </w:r>
    </w:p>
    <w:p>
      <w:pPr>
        <w:spacing w:after="0" w:line="70"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If, however, you would like to opt out of householding for future mailings (or opt in to householding, if you previously opted out), you may notify the applicable contacts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4880" w:type="dxa"/>
            <w:vAlign w:val="bottom"/>
            <w:tcBorders>
              <w:top w:val="single" w:sz="8" w:color="auto"/>
              <w:bottom w:val="single" w:sz="8" w:color="F3F3F4"/>
            </w:tcBorders>
            <w:gridSpan w:val="2"/>
            <w:shd w:val="clear" w:color="auto" w:fill="F3F3F4"/>
          </w:tcPr>
          <w:p>
            <w:pPr>
              <w:ind w:left="60"/>
              <w:spacing w:after="0"/>
              <w:rPr>
                <w:sz w:val="20"/>
                <w:szCs w:val="20"/>
                <w:color w:val="auto"/>
              </w:rPr>
            </w:pPr>
            <w:r>
              <w:rPr>
                <w:rFonts w:ascii="Arial" w:cs="Arial" w:eastAsia="Arial" w:hAnsi="Arial"/>
                <w:sz w:val="16"/>
                <w:szCs w:val="16"/>
                <w:b w:val="1"/>
                <w:bCs w:val="1"/>
                <w:color w:val="auto"/>
              </w:rPr>
              <w:t>If Your Shares Are Held in “Street Name”</w:t>
            </w:r>
          </w:p>
        </w:tc>
        <w:tc>
          <w:tcPr>
            <w:tcW w:w="4840" w:type="dxa"/>
            <w:vAlign w:val="bottom"/>
            <w:tcBorders>
              <w:top w:val="single" w:sz="8" w:color="auto"/>
              <w:bottom w:val="single" w:sz="8" w:color="F3F3F4"/>
            </w:tcBorders>
            <w:shd w:val="clear" w:color="auto" w:fill="F3F3F4"/>
          </w:tcPr>
          <w:p>
            <w:pPr>
              <w:ind w:left="180"/>
              <w:spacing w:after="0"/>
              <w:rPr>
                <w:sz w:val="20"/>
                <w:szCs w:val="20"/>
                <w:color w:val="auto"/>
              </w:rPr>
            </w:pPr>
            <w:r>
              <w:rPr>
                <w:rFonts w:ascii="Arial" w:cs="Arial" w:eastAsia="Arial" w:hAnsi="Arial"/>
                <w:sz w:val="16"/>
                <w:szCs w:val="16"/>
                <w:b w:val="1"/>
                <w:bCs w:val="1"/>
                <w:color w:val="auto"/>
              </w:rPr>
              <w:t>If You Are a Shareholder of Record (Not in a Brokerage)</w:t>
            </w:r>
          </w:p>
        </w:tc>
      </w:tr>
      <w:tr>
        <w:trPr>
          <w:trHeight w:val="236"/>
        </w:trPr>
        <w:tc>
          <w:tcPr>
            <w:tcW w:w="214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Broadridge</w:t>
            </w:r>
          </w:p>
        </w:tc>
        <w:tc>
          <w:tcPr>
            <w:tcW w:w="2740" w:type="dxa"/>
            <w:vAlign w:val="bottom"/>
            <w:tcBorders>
              <w:top w:val="single" w:sz="8" w:color="auto"/>
            </w:tcBorders>
          </w:tcPr>
          <w:p>
            <w:pPr>
              <w:ind w:left="200"/>
              <w:spacing w:after="0"/>
              <w:rPr>
                <w:sz w:val="20"/>
                <w:szCs w:val="20"/>
                <w:color w:val="auto"/>
              </w:rPr>
            </w:pPr>
            <w:r>
              <w:rPr>
                <w:rFonts w:ascii="Arial" w:cs="Arial" w:eastAsia="Arial" w:hAnsi="Arial"/>
                <w:sz w:val="16"/>
                <w:szCs w:val="16"/>
                <w:i w:val="1"/>
                <w:iCs w:val="1"/>
                <w:color w:val="auto"/>
              </w:rPr>
              <w:t xml:space="preserve">or  </w:t>
            </w:r>
            <w:r>
              <w:rPr>
                <w:rFonts w:ascii="Arial" w:cs="Arial" w:eastAsia="Arial" w:hAnsi="Arial"/>
                <w:sz w:val="16"/>
                <w:szCs w:val="16"/>
                <w:color w:val="auto"/>
              </w:rPr>
              <w:t>contact your broker, bank, or</w:t>
            </w:r>
          </w:p>
        </w:tc>
        <w:tc>
          <w:tcPr>
            <w:tcW w:w="484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EQ Shareowner Services</w:t>
            </w:r>
          </w:p>
        </w:tc>
      </w:tr>
      <w:tr>
        <w:trPr>
          <w:trHeight w:val="189"/>
        </w:trPr>
        <w:tc>
          <w:tcPr>
            <w:tcW w:w="2140" w:type="dxa"/>
            <w:vAlign w:val="bottom"/>
          </w:tcPr>
          <w:p>
            <w:pPr>
              <w:ind w:left="60"/>
              <w:spacing w:after="0"/>
              <w:rPr>
                <w:sz w:val="20"/>
                <w:szCs w:val="20"/>
                <w:color w:val="auto"/>
              </w:rPr>
            </w:pPr>
            <w:r>
              <w:rPr>
                <w:rFonts w:ascii="Arial" w:cs="Arial" w:eastAsia="Arial" w:hAnsi="Arial"/>
                <w:sz w:val="16"/>
                <w:szCs w:val="16"/>
                <w:color w:val="auto"/>
              </w:rPr>
              <w:t>Householding Department</w:t>
            </w:r>
          </w:p>
        </w:tc>
        <w:tc>
          <w:tcPr>
            <w:tcW w:w="2740" w:type="dxa"/>
            <w:vAlign w:val="bottom"/>
          </w:tcPr>
          <w:p>
            <w:pPr>
              <w:ind w:left="520"/>
              <w:spacing w:after="0"/>
              <w:rPr>
                <w:sz w:val="20"/>
                <w:szCs w:val="20"/>
                <w:color w:val="auto"/>
              </w:rPr>
            </w:pPr>
            <w:r>
              <w:rPr>
                <w:rFonts w:ascii="Arial" w:cs="Arial" w:eastAsia="Arial" w:hAnsi="Arial"/>
                <w:sz w:val="16"/>
                <w:szCs w:val="16"/>
                <w:color w:val="auto"/>
              </w:rPr>
              <w:t>other nominee</w:t>
            </w:r>
          </w:p>
        </w:tc>
        <w:tc>
          <w:tcPr>
            <w:tcW w:w="4840" w:type="dxa"/>
            <w:vAlign w:val="bottom"/>
          </w:tcPr>
          <w:p>
            <w:pPr>
              <w:ind w:left="180"/>
              <w:spacing w:after="0"/>
              <w:rPr>
                <w:sz w:val="20"/>
                <w:szCs w:val="20"/>
                <w:color w:val="auto"/>
              </w:rPr>
            </w:pPr>
            <w:r>
              <w:rPr>
                <w:rFonts w:ascii="Arial" w:cs="Arial" w:eastAsia="Arial" w:hAnsi="Arial"/>
                <w:sz w:val="16"/>
                <w:szCs w:val="16"/>
                <w:color w:val="auto"/>
              </w:rPr>
              <w:t>Attn: Householding/APA Corporation</w:t>
            </w:r>
          </w:p>
        </w:tc>
      </w:tr>
      <w:tr>
        <w:trPr>
          <w:trHeight w:val="189"/>
        </w:trPr>
        <w:tc>
          <w:tcPr>
            <w:tcW w:w="2140" w:type="dxa"/>
            <w:vAlign w:val="bottom"/>
          </w:tcPr>
          <w:p>
            <w:pPr>
              <w:ind w:left="60"/>
              <w:spacing w:after="0"/>
              <w:rPr>
                <w:sz w:val="20"/>
                <w:szCs w:val="20"/>
                <w:color w:val="auto"/>
              </w:rPr>
            </w:pPr>
            <w:r>
              <w:rPr>
                <w:rFonts w:ascii="Arial" w:cs="Arial" w:eastAsia="Arial" w:hAnsi="Arial"/>
                <w:sz w:val="16"/>
                <w:szCs w:val="16"/>
                <w:color w:val="auto"/>
              </w:rPr>
              <w:t>51 Mercedes Way</w:t>
            </w:r>
          </w:p>
        </w:tc>
        <w:tc>
          <w:tcPr>
            <w:tcW w:w="2740" w:type="dxa"/>
            <w:vAlign w:val="bottom"/>
          </w:tcPr>
          <w:p>
            <w:pPr>
              <w:spacing w:after="0"/>
              <w:rPr>
                <w:sz w:val="16"/>
                <w:szCs w:val="16"/>
                <w:color w:val="auto"/>
              </w:rPr>
            </w:pPr>
          </w:p>
        </w:tc>
        <w:tc>
          <w:tcPr>
            <w:tcW w:w="4840" w:type="dxa"/>
            <w:vAlign w:val="bottom"/>
          </w:tcPr>
          <w:p>
            <w:pPr>
              <w:ind w:left="180"/>
              <w:spacing w:after="0"/>
              <w:rPr>
                <w:sz w:val="20"/>
                <w:szCs w:val="20"/>
                <w:color w:val="auto"/>
              </w:rPr>
            </w:pPr>
            <w:r>
              <w:rPr>
                <w:rFonts w:ascii="Arial" w:cs="Arial" w:eastAsia="Arial" w:hAnsi="Arial"/>
                <w:sz w:val="16"/>
                <w:szCs w:val="16"/>
                <w:color w:val="auto"/>
              </w:rPr>
              <w:t>P.O. Box 64874</w:t>
            </w:r>
          </w:p>
        </w:tc>
      </w:tr>
      <w:tr>
        <w:trPr>
          <w:trHeight w:val="189"/>
        </w:trPr>
        <w:tc>
          <w:tcPr>
            <w:tcW w:w="2140" w:type="dxa"/>
            <w:vAlign w:val="bottom"/>
          </w:tcPr>
          <w:p>
            <w:pPr>
              <w:ind w:left="60"/>
              <w:spacing w:after="0"/>
              <w:rPr>
                <w:sz w:val="20"/>
                <w:szCs w:val="20"/>
                <w:color w:val="auto"/>
              </w:rPr>
            </w:pPr>
            <w:r>
              <w:rPr>
                <w:rFonts w:ascii="Arial" w:cs="Arial" w:eastAsia="Arial" w:hAnsi="Arial"/>
                <w:sz w:val="16"/>
                <w:szCs w:val="16"/>
                <w:color w:val="auto"/>
              </w:rPr>
              <w:t>Edgewood, NY 11717</w:t>
            </w:r>
          </w:p>
        </w:tc>
        <w:tc>
          <w:tcPr>
            <w:tcW w:w="2740" w:type="dxa"/>
            <w:vAlign w:val="bottom"/>
          </w:tcPr>
          <w:p>
            <w:pPr>
              <w:spacing w:after="0"/>
              <w:rPr>
                <w:sz w:val="16"/>
                <w:szCs w:val="16"/>
                <w:color w:val="auto"/>
              </w:rPr>
            </w:pPr>
          </w:p>
        </w:tc>
        <w:tc>
          <w:tcPr>
            <w:tcW w:w="4840" w:type="dxa"/>
            <w:vAlign w:val="bottom"/>
          </w:tcPr>
          <w:p>
            <w:pPr>
              <w:ind w:left="180"/>
              <w:spacing w:after="0"/>
              <w:rPr>
                <w:sz w:val="20"/>
                <w:szCs w:val="20"/>
                <w:color w:val="auto"/>
              </w:rPr>
            </w:pPr>
            <w:r>
              <w:rPr>
                <w:rFonts w:ascii="Arial" w:cs="Arial" w:eastAsia="Arial" w:hAnsi="Arial"/>
                <w:sz w:val="16"/>
                <w:szCs w:val="16"/>
                <w:color w:val="auto"/>
              </w:rPr>
              <w:t>St. Paul, MN 55164-0874</w:t>
            </w:r>
          </w:p>
        </w:tc>
      </w:tr>
      <w:tr>
        <w:trPr>
          <w:trHeight w:val="215"/>
        </w:trPr>
        <w:tc>
          <w:tcPr>
            <w:tcW w:w="2140" w:type="dxa"/>
            <w:vAlign w:val="bottom"/>
          </w:tcPr>
          <w:p>
            <w:pPr>
              <w:ind w:left="60"/>
              <w:spacing w:after="0"/>
              <w:rPr>
                <w:sz w:val="20"/>
                <w:szCs w:val="20"/>
                <w:color w:val="auto"/>
              </w:rPr>
            </w:pPr>
            <w:r>
              <w:rPr>
                <w:rFonts w:ascii="Arial" w:cs="Arial" w:eastAsia="Arial" w:hAnsi="Arial"/>
                <w:sz w:val="16"/>
                <w:szCs w:val="16"/>
                <w:color w:val="auto"/>
              </w:rPr>
              <w:t>1-800-542-1061</w:t>
            </w:r>
          </w:p>
        </w:tc>
        <w:tc>
          <w:tcPr>
            <w:tcW w:w="274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56"/>
        </w:trPr>
        <w:tc>
          <w:tcPr>
            <w:tcW w:w="214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4840" w:type="dxa"/>
            <w:vAlign w:val="bottom"/>
            <w:tcBorders>
              <w:bottom w:val="single" w:sz="8" w:color="auto"/>
            </w:tcBorders>
          </w:tcPr>
          <w:p>
            <w:pPr>
              <w:spacing w:after="0"/>
              <w:rPr>
                <w:sz w:val="4"/>
                <w:szCs w:val="4"/>
                <w:color w:val="auto"/>
              </w:rPr>
            </w:pPr>
          </w:p>
        </w:tc>
      </w:tr>
    </w:tbl>
    <w:p>
      <w:pPr>
        <w:spacing w:after="0" w:line="9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If you received only a single set of proxy materials because of the householding delivery procedure and would like a separate copy of the materials, you may contact the Company’s Corporate Secretary by phone at 713-296-6000 or by mail at our principal executive offices, and the Company will undertake to deliver promptly such separate copy.</w:t>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Solicitation of Proxies</w:t>
      </w:r>
    </w:p>
    <w:p>
      <w:pPr>
        <w:spacing w:after="0" w:line="12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other electronic means by directors, officers, and regular employees of the Company. These persons will receive no special compensation for any solicitation activities. The Company has requested banking institutions, brokerage firms, custodians, trustees, nominees, and fiduciaries to forward solicitation materials to the beneficial owners of shares of the Company’s common stock for whom they are record holder, and the Company will, upon request, reimburse reasonable forwarding expenses. The Company has retained Innisfree M&amp;A Incorporated to assist in soliciting proxies from brokers, bank nominees, and other institutional holders for a fee not to exceed $25,000 plus expenses. All costs of the solicitation will be borne by the Company, and the Company will indemnify the proxy solicitor and its affiliates against certain third-party claims, losses, liabilities, and expenses arising out of or relating to the services provided.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order of the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190500</wp:posOffset>
            </wp:positionV>
            <wp:extent cx="2143125" cy="9944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4312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Kimberly O. Warnica</w:t>
      </w:r>
    </w:p>
    <w:p>
      <w:pPr>
        <w:spacing w:after="0" w:line="21"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Executive Vice President, Chief Legal Officer,</w:t>
      </w:r>
    </w:p>
    <w:p>
      <w:pPr>
        <w:spacing w:after="0" w:line="5"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and Corporate Secretary</w:t>
      </w:r>
    </w:p>
    <w:p>
      <w:pPr>
        <w:spacing w:after="0" w:line="394"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6"/>
          <w:szCs w:val="16"/>
          <w:b w:val="1"/>
          <w:bCs w:val="1"/>
          <w:color w:val="auto"/>
        </w:rPr>
        <w:t>56</w:t>
      </w:r>
      <w:r>
        <w:rPr>
          <w:sz w:val="20"/>
          <w:szCs w:val="20"/>
          <w:color w:val="auto"/>
        </w:rPr>
        <w:tab/>
      </w:r>
      <w:r>
        <w:rPr>
          <w:rFonts w:ascii="Arial" w:cs="Arial" w:eastAsia="Arial" w:hAnsi="Arial"/>
          <w:sz w:val="16"/>
          <w:szCs w:val="16"/>
          <w:b w:val="1"/>
          <w:bCs w:val="1"/>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565150</wp:posOffset>
            </wp:positionV>
            <wp:extent cx="703770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32" w:right="1099" w:bottom="1440" w:gutter="0" w:footer="0" w:header="0"/>
        </w:sectPr>
      </w:pPr>
    </w:p>
    <w:bookmarkStart w:id="63" w:name="page64"/>
    <w:bookmarkEnd w:id="63"/>
    <w:p>
      <w:pPr>
        <w:ind w:left="660"/>
        <w:spacing w:after="0"/>
        <w:rPr>
          <w:sz w:val="20"/>
          <w:szCs w:val="20"/>
          <w:color w:val="auto"/>
        </w:rPr>
      </w:pPr>
      <w:r>
        <w:rPr>
          <w:rFonts w:ascii="Arial" w:cs="Arial" w:eastAsia="Arial" w:hAnsi="Arial"/>
          <w:sz w:val="32"/>
          <w:szCs w:val="32"/>
          <w:b w:val="1"/>
          <w:bCs w:val="1"/>
          <w:color w:val="auto"/>
        </w:rPr>
        <w:t>Exhibit A</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Third Amendment to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APA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2016 Omnibus Compensation Plan</w:t>
      </w:r>
    </w:p>
    <w:p>
      <w:pPr>
        <w:spacing w:after="0" w:line="124" w:lineRule="exact"/>
        <w:rPr>
          <w:sz w:val="20"/>
          <w:szCs w:val="20"/>
          <w:color w:val="auto"/>
        </w:rPr>
      </w:pPr>
    </w:p>
    <w:p>
      <w:pPr>
        <w:ind w:left="660" w:right="940"/>
        <w:spacing w:after="0" w:line="29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APA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sponsors and maintains the 2016 Omnibus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Plan, originally effective May 12, 2016, and as amended prior to the date hereof (the “</w:t>
      </w:r>
      <w:r>
        <w:rPr>
          <w:rFonts w:ascii="Arial" w:cs="Arial" w:eastAsia="Arial" w:hAnsi="Arial"/>
          <w:sz w:val="16"/>
          <w:szCs w:val="16"/>
          <w:b w:val="1"/>
          <w:bCs w:val="1"/>
          <w:color w:val="auto"/>
        </w:rPr>
        <w:t>Plan</w:t>
      </w:r>
      <w:r>
        <w:rPr>
          <w:rFonts w:ascii="Arial" w:cs="Arial" w:eastAsia="Arial" w:hAnsi="Arial"/>
          <w:sz w:val="16"/>
          <w:szCs w:val="16"/>
          <w:color w:val="auto"/>
        </w:rPr>
        <w:t>”);</w:t>
      </w:r>
    </w:p>
    <w:p>
      <w:pPr>
        <w:spacing w:after="0" w:line="73" w:lineRule="exact"/>
        <w:rPr>
          <w:sz w:val="20"/>
          <w:szCs w:val="20"/>
          <w:color w:val="auto"/>
        </w:rPr>
      </w:pPr>
    </w:p>
    <w:p>
      <w:pPr>
        <w:ind w:left="660" w:right="1020"/>
        <w:spacing w:after="0" w:line="26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pursuant to Section 17 of the Plan, has the right to amend the Plan, subject to such amendments being</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by the Board of Directors or the Management Development and Compensation Committee of the Company and by the stockholders of the Company if required to satisfy applicable statutory or regulatory requirements; and</w:t>
      </w:r>
    </w:p>
    <w:p>
      <w:pPr>
        <w:spacing w:after="0" w:line="104" w:lineRule="exact"/>
        <w:rPr>
          <w:sz w:val="20"/>
          <w:szCs w:val="20"/>
          <w:color w:val="auto"/>
        </w:rPr>
      </w:pPr>
    </w:p>
    <w:p>
      <w:pPr>
        <w:ind w:left="660" w:right="860"/>
        <w:spacing w:after="0" w:line="28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extend the term of the Plan and increase the number of shares of Stock authorized for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w:t>
      </w:r>
    </w:p>
    <w:p>
      <w:pPr>
        <w:spacing w:after="0" w:line="75" w:lineRule="exact"/>
        <w:rPr>
          <w:sz w:val="20"/>
          <w:szCs w:val="20"/>
          <w:color w:val="auto"/>
        </w:rPr>
      </w:pPr>
    </w:p>
    <w:p>
      <w:pPr>
        <w:ind w:left="660" w:right="960"/>
        <w:spacing w:after="0" w:line="286"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the Plan is amended as follows, effective as of the date set forth below, subject to approval by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w:t>
      </w:r>
    </w:p>
    <w:p>
      <w:pPr>
        <w:spacing w:after="0" w:line="88" w:lineRule="exact"/>
        <w:rPr>
          <w:sz w:val="20"/>
          <w:szCs w:val="20"/>
          <w:color w:val="auto"/>
        </w:rPr>
      </w:pPr>
    </w:p>
    <w:p>
      <w:pPr>
        <w:ind w:left="1020" w:hanging="356"/>
        <w:spacing w:after="0"/>
        <w:tabs>
          <w:tab w:leader="none" w:pos="10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Section 4.1 of the Plan is hereby amended and restated in its entirety to provide as follows:</w:t>
      </w:r>
    </w:p>
    <w:p>
      <w:pPr>
        <w:spacing w:after="0" w:line="113" w:lineRule="exact"/>
        <w:rPr>
          <w:sz w:val="20"/>
          <w:szCs w:val="20"/>
          <w:color w:val="auto"/>
        </w:rPr>
      </w:pPr>
    </w:p>
    <w:p>
      <w:pPr>
        <w:ind w:left="1340" w:right="660" w:hanging="485"/>
        <w:spacing w:after="0" w:line="249" w:lineRule="auto"/>
        <w:tabs>
          <w:tab w:leader="none" w:pos="1320"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6"/>
          <w:szCs w:val="16"/>
          <w:i w:val="1"/>
          <w:iCs w:val="1"/>
          <w:u w:val="single" w:color="auto"/>
          <w:color w:val="auto"/>
        </w:rPr>
        <w:t>Number of Shares</w:t>
      </w:r>
      <w:r>
        <w:rPr>
          <w:rFonts w:ascii="Arial" w:cs="Arial" w:eastAsia="Arial" w:hAnsi="Arial"/>
          <w:sz w:val="16"/>
          <w:szCs w:val="16"/>
          <w:color w:val="auto"/>
        </w:rPr>
        <w:t>. Subject to adjustments pursuant to Section 4.4 hereof, as of the Effective Date, up to (a) 25,500,000</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shares of Stock are authorized for issuance under the Plan, plus (b) the number of shares of Stock subject to outstanding awards, as of the Effective Date, under the Prior Plan that on or after the Effective Date cease for any reason to be subject to such awards (other than shares tendered, surrendered, or withheld in connection with the exercise or settlement of such awards or the related tax withholding obligations), and subject to such restrictions or other provisions as the Committee may from time to time deem necessary. Subject to adjustments pursuant to Section 4.4 hereof, effective as of the date of this Third Amendment to the Plan, an additional 24,160,000 shares of Stock are authorized for issuance under the Plan. Notwithstanding the foregoing, the number of aggregate shares of Stock available for issuance under the Plan at any given time shall be reduced by (i) 1.0 share for each share of Stock granted in the form of Stock Options or Stock Appreciation Rights or (ii) 2.39 shares for each share of Stock granted in the form of any Award that is not a Stock Option or Stock Appreciation Right. During the duration of the Plan, no Eligible Person may be granted Options which in the aggregate cover in excess of 5 percent of the total shares of Stock authorized under the Plan. No Award may be granted under the Plan on or after May 21, 2036. The foregoing to the contrary notwithstanding, within the aggregate limit described in the first and second sentences of this Section 4.1, up to 49,660,000 shares of Stock may be issued pursuant to ISOs granted under the Plan.</w:t>
      </w:r>
    </w:p>
    <w:p>
      <w:pPr>
        <w:spacing w:after="0" w:line="311" w:lineRule="exact"/>
        <w:rPr>
          <w:sz w:val="20"/>
          <w:szCs w:val="20"/>
          <w:color w:val="auto"/>
        </w:rPr>
      </w:pPr>
    </w:p>
    <w:p>
      <w:pPr>
        <w:ind w:left="1020" w:hanging="356"/>
        <w:spacing w:after="0"/>
        <w:tabs>
          <w:tab w:leader="none" w:pos="10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Section 19 of the Plan is hereby amended and restated in its entirety to provide as follows:</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Section 19</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Duration of the Plan</w:t>
      </w:r>
    </w:p>
    <w:p>
      <w:pPr>
        <w:spacing w:after="0" w:line="124" w:lineRule="exact"/>
        <w:rPr>
          <w:sz w:val="20"/>
          <w:szCs w:val="20"/>
          <w:color w:val="auto"/>
        </w:rPr>
      </w:pPr>
    </w:p>
    <w:p>
      <w:pPr>
        <w:ind w:left="980" w:right="720"/>
        <w:spacing w:after="0" w:line="286" w:lineRule="auto"/>
        <w:rPr>
          <w:sz w:val="20"/>
          <w:szCs w:val="20"/>
          <w:color w:val="auto"/>
        </w:rPr>
      </w:pPr>
      <w:r>
        <w:rPr>
          <w:rFonts w:ascii="Arial" w:cs="Arial" w:eastAsia="Arial" w:hAnsi="Arial"/>
          <w:sz w:val="16"/>
          <w:szCs w:val="16"/>
          <w:color w:val="auto"/>
        </w:rPr>
        <w:t>The Plan shall terminate on May 21, 2036. No grants shall be awarded after such termination; however, the terms of the Plan shall continue to apply to all Awards outstanding when the Plan terminates.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ind w:left="660"/>
              <w:spacing w:after="0"/>
              <w:rPr>
                <w:sz w:val="20"/>
                <w:szCs w:val="20"/>
                <w:color w:val="auto"/>
              </w:rPr>
            </w:pPr>
            <w:r>
              <w:rPr>
                <w:rFonts w:ascii="Arial" w:cs="Arial" w:eastAsia="Arial" w:hAnsi="Arial"/>
                <w:sz w:val="16"/>
                <w:szCs w:val="16"/>
                <w:color w:val="auto"/>
              </w:rPr>
              <w:t>Date: _________________________</w:t>
            </w:r>
          </w:p>
        </w:tc>
        <w:tc>
          <w:tcPr>
            <w:tcW w:w="6600" w:type="dxa"/>
            <w:vAlign w:val="bottom"/>
          </w:tcPr>
          <w:p>
            <w:pPr>
              <w:spacing w:after="0"/>
              <w:rPr>
                <w:sz w:val="18"/>
                <w:szCs w:val="18"/>
                <w:color w:val="auto"/>
              </w:rPr>
            </w:pPr>
          </w:p>
        </w:tc>
      </w:tr>
      <w:tr>
        <w:trPr>
          <w:trHeight w:val="345"/>
        </w:trPr>
        <w:tc>
          <w:tcPr>
            <w:tcW w:w="4440" w:type="dxa"/>
            <w:vAlign w:val="bottom"/>
          </w:tcPr>
          <w:p>
            <w:pPr>
              <w:ind w:left="660"/>
              <w:spacing w:after="0"/>
              <w:rPr>
                <w:sz w:val="20"/>
                <w:szCs w:val="20"/>
                <w:color w:val="auto"/>
              </w:rPr>
            </w:pPr>
            <w:r>
              <w:rPr>
                <w:rFonts w:ascii="Arial" w:cs="Arial" w:eastAsia="Arial" w:hAnsi="Arial"/>
                <w:sz w:val="16"/>
                <w:szCs w:val="16"/>
                <w:color w:val="auto"/>
              </w:rPr>
              <w:t>Attest:</w:t>
            </w:r>
          </w:p>
        </w:tc>
        <w:tc>
          <w:tcPr>
            <w:tcW w:w="6600" w:type="dxa"/>
            <w:vAlign w:val="bottom"/>
          </w:tcPr>
          <w:p>
            <w:pPr>
              <w:ind w:left="1080"/>
              <w:spacing w:after="0"/>
              <w:rPr>
                <w:sz w:val="20"/>
                <w:szCs w:val="20"/>
                <w:color w:val="auto"/>
              </w:rPr>
            </w:pPr>
            <w:r>
              <w:rPr>
                <w:rFonts w:ascii="Arial" w:cs="Arial" w:eastAsia="Arial" w:hAnsi="Arial"/>
                <w:sz w:val="16"/>
                <w:szCs w:val="16"/>
                <w:b w:val="1"/>
                <w:bCs w:val="1"/>
                <w:color w:val="auto"/>
              </w:rPr>
              <w:t>APA CORPORATION</w:t>
            </w:r>
          </w:p>
        </w:tc>
      </w:tr>
      <w:tr>
        <w:trPr>
          <w:trHeight w:val="722"/>
        </w:trPr>
        <w:tc>
          <w:tcPr>
            <w:tcW w:w="4440" w:type="dxa"/>
            <w:vAlign w:val="bottom"/>
          </w:tcPr>
          <w:p>
            <w:pPr>
              <w:ind w:left="660"/>
              <w:spacing w:after="0"/>
              <w:rPr>
                <w:sz w:val="20"/>
                <w:szCs w:val="20"/>
                <w:color w:val="auto"/>
              </w:rPr>
            </w:pPr>
            <w:r>
              <w:rPr>
                <w:rFonts w:ascii="Arial" w:cs="Arial" w:eastAsia="Arial" w:hAnsi="Arial"/>
                <w:sz w:val="16"/>
                <w:szCs w:val="16"/>
                <w:color w:val="auto"/>
              </w:rPr>
              <w:t>______________________________</w:t>
            </w:r>
          </w:p>
        </w:tc>
        <w:tc>
          <w:tcPr>
            <w:tcW w:w="6600" w:type="dxa"/>
            <w:vAlign w:val="bottom"/>
          </w:tcPr>
          <w:p>
            <w:pPr>
              <w:ind w:left="1080"/>
              <w:spacing w:after="0"/>
              <w:rPr>
                <w:sz w:val="20"/>
                <w:szCs w:val="20"/>
                <w:color w:val="auto"/>
              </w:rPr>
            </w:pPr>
            <w:r>
              <w:rPr>
                <w:rFonts w:ascii="Arial" w:cs="Arial" w:eastAsia="Arial" w:hAnsi="Arial"/>
                <w:sz w:val="16"/>
                <w:szCs w:val="16"/>
                <w:color w:val="auto"/>
              </w:rPr>
              <w:t>By: ______________________________</w:t>
            </w:r>
          </w:p>
        </w:tc>
      </w:tr>
      <w:tr>
        <w:trPr>
          <w:trHeight w:val="189"/>
        </w:trPr>
        <w:tc>
          <w:tcPr>
            <w:tcW w:w="4440" w:type="dxa"/>
            <w:vAlign w:val="bottom"/>
          </w:tcPr>
          <w:p>
            <w:pPr>
              <w:ind w:left="660"/>
              <w:spacing w:after="0"/>
              <w:rPr>
                <w:sz w:val="20"/>
                <w:szCs w:val="20"/>
                <w:color w:val="auto"/>
              </w:rPr>
            </w:pPr>
            <w:r>
              <w:rPr>
                <w:rFonts w:ascii="Arial" w:cs="Arial" w:eastAsia="Arial" w:hAnsi="Arial"/>
                <w:sz w:val="16"/>
                <w:szCs w:val="16"/>
                <w:color w:val="auto"/>
              </w:rPr>
              <w:t>Name</w:t>
            </w:r>
          </w:p>
        </w:tc>
        <w:tc>
          <w:tcPr>
            <w:tcW w:w="6600" w:type="dxa"/>
            <w:vAlign w:val="bottom"/>
          </w:tcPr>
          <w:p>
            <w:pPr>
              <w:ind w:left="1080"/>
              <w:spacing w:after="0"/>
              <w:rPr>
                <w:sz w:val="20"/>
                <w:szCs w:val="20"/>
                <w:color w:val="auto"/>
              </w:rPr>
            </w:pPr>
            <w:r>
              <w:rPr>
                <w:rFonts w:ascii="Arial" w:cs="Arial" w:eastAsia="Arial" w:hAnsi="Arial"/>
                <w:sz w:val="16"/>
                <w:szCs w:val="16"/>
                <w:color w:val="auto"/>
              </w:rPr>
              <w:t>Name</w:t>
            </w:r>
          </w:p>
        </w:tc>
      </w:tr>
      <w:tr>
        <w:trPr>
          <w:trHeight w:val="215"/>
        </w:trPr>
        <w:tc>
          <w:tcPr>
            <w:tcW w:w="4440" w:type="dxa"/>
            <w:vAlign w:val="bottom"/>
          </w:tcPr>
          <w:p>
            <w:pPr>
              <w:ind w:left="660"/>
              <w:spacing w:after="0"/>
              <w:rPr>
                <w:sz w:val="20"/>
                <w:szCs w:val="20"/>
                <w:color w:val="auto"/>
              </w:rPr>
            </w:pPr>
            <w:r>
              <w:rPr>
                <w:rFonts w:ascii="Arial" w:cs="Arial" w:eastAsia="Arial" w:hAnsi="Arial"/>
                <w:sz w:val="16"/>
                <w:szCs w:val="16"/>
                <w:color w:val="auto"/>
              </w:rPr>
              <w:t>Title</w:t>
            </w:r>
          </w:p>
        </w:tc>
        <w:tc>
          <w:tcPr>
            <w:tcW w:w="6600" w:type="dxa"/>
            <w:vAlign w:val="bottom"/>
          </w:tcPr>
          <w:p>
            <w:pPr>
              <w:ind w:left="1080"/>
              <w:spacing w:after="0"/>
              <w:rPr>
                <w:sz w:val="20"/>
                <w:szCs w:val="20"/>
                <w:color w:val="auto"/>
              </w:rPr>
            </w:pPr>
            <w:r>
              <w:rPr>
                <w:rFonts w:ascii="Arial" w:cs="Arial" w:eastAsia="Arial" w:hAnsi="Arial"/>
                <w:sz w:val="16"/>
                <w:szCs w:val="16"/>
                <w:color w:val="auto"/>
              </w:rPr>
              <w:t>Title</w:t>
            </w:r>
          </w:p>
        </w:tc>
      </w:tr>
      <w:tr>
        <w:trPr>
          <w:trHeight w:val="643"/>
        </w:trPr>
        <w:tc>
          <w:tcPr>
            <w:tcW w:w="4440" w:type="dxa"/>
            <w:vAlign w:val="bottom"/>
          </w:tcPr>
          <w:p>
            <w:pPr>
              <w:spacing w:after="0"/>
              <w:rPr>
                <w:sz w:val="24"/>
                <w:szCs w:val="24"/>
                <w:color w:val="auto"/>
              </w:rPr>
            </w:pPr>
          </w:p>
        </w:tc>
        <w:tc>
          <w:tcPr>
            <w:tcW w:w="6600" w:type="dxa"/>
            <w:vAlign w:val="bottom"/>
          </w:tcPr>
          <w:p>
            <w:pPr>
              <w:ind w:left="3840"/>
              <w:spacing w:after="0"/>
              <w:rPr>
                <w:sz w:val="20"/>
                <w:szCs w:val="20"/>
                <w:color w:val="auto"/>
              </w:rPr>
            </w:pPr>
            <w:r>
              <w:rPr>
                <w:rFonts w:ascii="Arial" w:cs="Arial" w:eastAsia="Arial" w:hAnsi="Arial"/>
                <w:sz w:val="16"/>
                <w:szCs w:val="16"/>
                <w:color w:val="auto"/>
              </w:rPr>
              <w:t>2026 Proxy Statement</w:t>
            </w:r>
            <w:r>
              <w:rPr>
                <w:rFonts w:ascii="Arial" w:cs="Arial" w:eastAsia="Arial" w:hAnsi="Arial"/>
                <w:sz w:val="16"/>
                <w:szCs w:val="16"/>
                <w:b w:val="1"/>
                <w:bCs w:val="1"/>
                <w:color w:val="auto"/>
              </w:rPr>
              <w:t>57</w:t>
            </w:r>
          </w:p>
        </w:tc>
      </w:tr>
      <w:tr>
        <w:trPr>
          <w:trHeight w:val="878"/>
        </w:trPr>
        <w:tc>
          <w:tcPr>
            <w:tcW w:w="444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22" w:right="4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063740" cy="9052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706374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FFFFFF"/>
        </w:rPr>
        <w:t>2000 W. Sam Houston Pkwy. S., Ste. 200</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FFFF"/>
        </w:rPr>
        <w:t>Houston, Texas 77042</w:t>
      </w:r>
    </w:p>
    <w:p>
      <w:pPr>
        <w:spacing w:after="0" w:line="225" w:lineRule="auto"/>
        <w:rPr>
          <w:sz w:val="20"/>
          <w:szCs w:val="20"/>
          <w:color w:val="auto"/>
        </w:rPr>
      </w:pPr>
      <w:r>
        <w:rPr>
          <w:rFonts w:ascii="Arial" w:cs="Arial" w:eastAsia="Arial" w:hAnsi="Arial"/>
          <w:sz w:val="20"/>
          <w:szCs w:val="20"/>
          <w:color w:val="FFFFFF"/>
        </w:rPr>
        <w:t>713-296-6000</w:t>
      </w:r>
    </w:p>
    <w:p>
      <w:pPr>
        <w:spacing w:after="0"/>
        <w:rPr>
          <w:sz w:val="20"/>
          <w:szCs w:val="20"/>
          <w:color w:val="auto"/>
        </w:rPr>
      </w:pPr>
      <w:r>
        <w:rPr>
          <w:rFonts w:ascii="Arial" w:cs="Arial" w:eastAsia="Arial" w:hAnsi="Arial"/>
          <w:sz w:val="20"/>
          <w:szCs w:val="20"/>
          <w:b w:val="1"/>
          <w:bCs w:val="1"/>
          <w:color w:val="FFFFFF"/>
        </w:rPr>
        <w:t>apacorp.com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589280</wp:posOffset>
            </wp:positionV>
            <wp:extent cx="703770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740410</wp:posOffset>
            </wp:positionV>
            <wp:extent cx="7037705" cy="82169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037705" cy="8216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740410</wp:posOffset>
            </wp:positionV>
            <wp:extent cx="7037705" cy="82169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037705" cy="8216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1"/>
      <w:numFmt w:val="decimal"/>
      <w:start w:val="48"/>
    </w:lvl>
  </w:abstractNum>
  <w:abstractNum w:abstractNumId="4">
    <w:nsid w:val="5F5E7FD0"/>
    <w:multiLevelType w:val="hybridMultilevel"/>
    <w:lvl w:ilvl="0">
      <w:lvlJc w:val="left"/>
      <w:lvlText w:val="%1"/>
      <w:numFmt w:val="decimal"/>
      <w:start w:val="49"/>
    </w:lvl>
  </w:abstractNum>
  <w:abstractNum w:abstractNumId="5">
    <w:nsid w:val="98A3148"/>
    <w:multiLevelType w:val="hybridMultilevel"/>
    <w:lvl w:ilvl="0">
      <w:lvlJc w:val="left"/>
      <w:lvlText w:val="%1"/>
      <w:numFmt w:val="decimal"/>
      <w:start w:val="49"/>
    </w:lvl>
  </w:abstractNum>
  <w:abstractNum w:abstractNumId="6">
    <w:nsid w:val="799D0247"/>
    <w:multiLevelType w:val="hybridMultilevel"/>
    <w:lvl w:ilvl="0">
      <w:lvlJc w:val="left"/>
      <w:lvlText w:val="%1"/>
      <w:numFmt w:val="decimal"/>
      <w:start w:val="49"/>
    </w:lvl>
  </w:abstractNum>
  <w:abstractNum w:abstractNumId="7">
    <w:nsid w:val="6B94764"/>
    <w:multiLevelType w:val="hybridMultilevel"/>
    <w:lvl w:ilvl="0">
      <w:lvlJc w:val="left"/>
      <w:lvlText w:val="%1"/>
      <w:numFmt w:val="decimal"/>
      <w:start w:val="50"/>
    </w:lvl>
  </w:abstractNum>
  <w:abstractNum w:abstractNumId="8">
    <w:nsid w:val="42C296BD"/>
    <w:multiLevelType w:val="hybridMultilevel"/>
    <w:lvl w:ilvl="0">
      <w:lvlJc w:val="left"/>
      <w:lvlText w:val="%1"/>
      <w:numFmt w:val="decimal"/>
      <w:start w:val="50"/>
    </w:lvl>
  </w:abstractNum>
  <w:abstractNum w:abstractNumId="9">
    <w:nsid w:val="168E121F"/>
    <w:multiLevelType w:val="hybridMultilevel"/>
    <w:lvl w:ilvl="0">
      <w:lvlJc w:val="left"/>
      <w:lvlText w:val="4"/>
      <w:numFmt w:val="bullet"/>
      <w:start w:val="1"/>
    </w:lvl>
  </w:abstractNum>
  <w:abstractNum w:abstractNumId="10">
    <w:nsid w:val="1EBA5D23"/>
    <w:multiLevelType w:val="hybridMultilevel"/>
    <w:lvl w:ilvl="0">
      <w:lvlJc w:val="left"/>
      <w:lvlText w:val="(%1)"/>
      <w:numFmt w:val="decimal"/>
      <w:start w:val="1"/>
    </w:lvl>
  </w:abstractNum>
  <w:abstractNum w:abstractNumId="11">
    <w:nsid w:val="661E3F1E"/>
    <w:multiLevelType w:val="hybridMultilevel"/>
    <w:lvl w:ilvl="0">
      <w:lvlJc w:val="left"/>
      <w:lvlText w:val="2"/>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
      <w:numFmt w:val="bullet"/>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4"/>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6"/>
      <w:numFmt w:val="bullet"/>
      <w:start w:val="1"/>
    </w:lvl>
  </w:abstractNum>
  <w:abstractNum w:abstractNumId="25">
    <w:nsid w:val="4962813B"/>
    <w:multiLevelType w:val="hybridMultilevel"/>
    <w:lvl w:ilvl="0">
      <w:lvlJc w:val="left"/>
      <w:lvlText w:val="8"/>
      <w:numFmt w:val="bullet"/>
      <w:start w:val="1"/>
    </w:lvl>
  </w:abstractNum>
  <w:abstractNum w:abstractNumId="26">
    <w:nsid w:val="60B6DF70"/>
    <w:multiLevelType w:val="hybridMultilevel"/>
    <w:lvl w:ilvl="0">
      <w:lvlJc w:val="left"/>
      <w:lvlText w:val="\endash "/>
      <w:numFmt w:val="bullet"/>
      <w:start w:val="1"/>
    </w:lvl>
  </w:abstractNum>
  <w:abstractNum w:abstractNumId="27">
    <w:nsid w:val="6A5EE64"/>
    <w:multiLevelType w:val="hybridMultilevel"/>
    <w:lvl w:ilvl="0">
      <w:lvlJc w:val="left"/>
      <w:lvlText w:val="\endash "/>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
      <w:numFmt w:val="bullet"/>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endash "/>
      <w:numFmt w:val="bullet"/>
      <w:start w:val="1"/>
    </w:lvl>
  </w:abstractNum>
  <w:abstractNum w:abstractNumId="34">
    <w:nsid w:val="6EB5BD4"/>
    <w:multiLevelType w:val="hybridMultilevel"/>
    <w:lvl w:ilvl="0">
      <w:lvlJc w:val="left"/>
      <w:lvlText w:val="\endash "/>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endash "/>
      <w:numFmt w:val="bullet"/>
      <w:start w:val="1"/>
    </w:lvl>
  </w:abstractNum>
  <w:abstractNum w:abstractNumId="39">
    <w:nsid w:val="4C04A8AF"/>
    <w:multiLevelType w:val="hybridMultilevel"/>
    <w:lvl w:ilvl="0">
      <w:lvlJc w:val="left"/>
      <w:lvlText w:val="\endash "/>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
      <w:numFmt w:val="bullet"/>
      <w:start w:val="1"/>
    </w:lvl>
  </w:abstractNum>
  <w:abstractNum w:abstractNumId="43">
    <w:nsid w:val="74DE0EE3"/>
    <w:multiLevelType w:val="hybridMultilevel"/>
    <w:lvl w:ilvl="0">
      <w:lvlJc w:val="left"/>
      <w:lvlText w:val="\endash "/>
      <w:numFmt w:val="bullet"/>
      <w:start w:val="1"/>
    </w:lvl>
  </w:abstractNum>
  <w:abstractNum w:abstractNumId="44">
    <w:nsid w:val="68EBC550"/>
    <w:multiLevelType w:val="hybridMultilevel"/>
    <w:lvl w:ilvl="0">
      <w:lvlJc w:val="left"/>
      <w:lvlText w:val="\endash "/>
      <w:numFmt w:val="bullet"/>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
      <w:numFmt w:val="bullet"/>
      <w:start w:val="1"/>
    </w:lvl>
  </w:abstractNum>
  <w:abstractNum w:abstractNumId="48">
    <w:nsid w:val="39EE015C"/>
    <w:multiLevelType w:val="hybridMultilevel"/>
    <w:lvl w:ilvl="0">
      <w:lvlJc w:val="left"/>
      <w:lvlText w:val="\endash "/>
      <w:numFmt w:val="bullet"/>
      <w:start w:val="1"/>
    </w:lvl>
  </w:abstractNum>
  <w:abstractNum w:abstractNumId="49">
    <w:nsid w:val="57FC4FBB"/>
    <w:multiLevelType w:val="hybridMultilevel"/>
    <w:lvl w:ilvl="0">
      <w:lvlJc w:val="left"/>
      <w:lvlText w:val="\endash "/>
      <w:numFmt w:val="bullet"/>
      <w:start w:val="1"/>
    </w:lvl>
  </w:abstractNum>
  <w:abstractNum w:abstractNumId="50">
    <w:nsid w:val="CC1016F"/>
    <w:multiLevelType w:val="hybridMultilevel"/>
    <w:lvl w:ilvl="0">
      <w:lvlJc w:val="left"/>
      <w:lvlText w:val="•"/>
      <w:numFmt w:val="bullet"/>
      <w:start w:val="1"/>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endash "/>
      <w:numFmt w:val="bullet"/>
      <w:start w:val="1"/>
    </w:lvl>
  </w:abstractNum>
  <w:abstractNum w:abstractNumId="54">
    <w:nsid w:val="7F01579B"/>
    <w:multiLevelType w:val="hybridMultilevel"/>
    <w:lvl w:ilvl="0">
      <w:lvlJc w:val="left"/>
      <w:lvlText w:val="\endash "/>
      <w:numFmt w:val="bullet"/>
      <w:start w:val="1"/>
    </w:lvl>
  </w:abstractNum>
  <w:abstractNum w:abstractNumId="55">
    <w:nsid w:val="49DA307D"/>
    <w:multiLevelType w:val="hybridMultilevel"/>
    <w:lvl w:ilvl="0">
      <w:lvlJc w:val="left"/>
      <w:lvlText w:val="•"/>
      <w:numFmt w:val="bullet"/>
      <w:start w:val="1"/>
    </w:lvl>
  </w:abstractNum>
  <w:abstractNum w:abstractNumId="56">
    <w:nsid w:val="7055A5F5"/>
    <w:multiLevelType w:val="hybridMultilevel"/>
    <w:lvl w:ilvl="0">
      <w:lvlJc w:val="left"/>
      <w:lvlText w:val="•"/>
      <w:numFmt w:val="bullet"/>
      <w:start w:val="1"/>
    </w:lvl>
  </w:abstractNum>
  <w:abstractNum w:abstractNumId="57">
    <w:nsid w:val="5FB8370B"/>
    <w:multiLevelType w:val="hybridMultilevel"/>
    <w:lvl w:ilvl="0">
      <w:lvlJc w:val="left"/>
      <w:lvlText w:val="•"/>
      <w:numFmt w:val="bullet"/>
      <w:start w:val="1"/>
    </w:lvl>
  </w:abstractNum>
  <w:abstractNum w:abstractNumId="58">
    <w:nsid w:val="50801EE1"/>
    <w:multiLevelType w:val="hybridMultilevel"/>
    <w:lvl w:ilvl="0">
      <w:lvlJc w:val="left"/>
      <w:lvlText w:val="\endash "/>
      <w:numFmt w:val="bullet"/>
      <w:start w:val="1"/>
    </w:lvl>
  </w:abstractNum>
  <w:abstractNum w:abstractNumId="59">
    <w:nsid w:val="488AC1A"/>
    <w:multiLevelType w:val="hybridMultilevel"/>
    <w:lvl w:ilvl="0">
      <w:lvlJc w:val="left"/>
      <w:lvlText w:val="\endash "/>
      <w:numFmt w:val="bullet"/>
      <w:start w:val="1"/>
    </w:lvl>
  </w:abstractNum>
  <w:abstractNum w:abstractNumId="60">
    <w:nsid w:val="5FB8011C"/>
    <w:multiLevelType w:val="hybridMultilevel"/>
    <w:lvl w:ilvl="0">
      <w:lvlJc w:val="left"/>
      <w:lvlText w:val="•"/>
      <w:numFmt w:val="bullet"/>
      <w:start w:val="1"/>
    </w:lvl>
  </w:abstractNum>
  <w:abstractNum w:abstractNumId="61">
    <w:nsid w:val="6AA78F7F"/>
    <w:multiLevelType w:val="hybridMultilevel"/>
    <w:lvl w:ilvl="0">
      <w:lvlJc w:val="left"/>
      <w:lvlText w:val="•"/>
      <w:numFmt w:val="bullet"/>
      <w:start w:val="1"/>
    </w:lvl>
  </w:abstractNum>
  <w:abstractNum w:abstractNumId="62">
    <w:nsid w:val="7672BD23"/>
    <w:multiLevelType w:val="hybridMultilevel"/>
    <w:lvl w:ilvl="0">
      <w:lvlJc w:val="left"/>
      <w:lvlText w:val="•"/>
      <w:numFmt w:val="bullet"/>
      <w:start w:val="1"/>
    </w:lvl>
  </w:abstractNum>
  <w:abstractNum w:abstractNumId="63">
    <w:nsid w:val="6FC75AF8"/>
    <w:multiLevelType w:val="hybridMultilevel"/>
    <w:lvl w:ilvl="0">
      <w:lvlJc w:val="left"/>
      <w:lvlText w:val="\endash "/>
      <w:numFmt w:val="bullet"/>
      <w:start w:val="1"/>
    </w:lvl>
  </w:abstractNum>
  <w:abstractNum w:abstractNumId="64">
    <w:nsid w:val="6A5F7029"/>
    <w:multiLevelType w:val="hybridMultilevel"/>
    <w:lvl w:ilvl="0">
      <w:lvlJc w:val="left"/>
      <w:lvlText w:val="\endash "/>
      <w:numFmt w:val="bullet"/>
      <w:start w:val="1"/>
    </w:lvl>
  </w:abstractNum>
  <w:abstractNum w:abstractNumId="65">
    <w:nsid w:val="7D5E18F8"/>
    <w:multiLevelType w:val="hybridMultilevel"/>
    <w:lvl w:ilvl="0">
      <w:lvlJc w:val="left"/>
      <w:lvlText w:val="•"/>
      <w:numFmt w:val="bullet"/>
      <w:start w:val="1"/>
    </w:lvl>
  </w:abstractNum>
  <w:abstractNum w:abstractNumId="66">
    <w:nsid w:val="5F3534A4"/>
    <w:multiLevelType w:val="hybridMultilevel"/>
    <w:lvl w:ilvl="0">
      <w:lvlJc w:val="left"/>
      <w:lvlText w:val="•"/>
      <w:numFmt w:val="bullet"/>
      <w:start w:val="1"/>
    </w:lvl>
  </w:abstractNum>
  <w:abstractNum w:abstractNumId="67">
    <w:nsid w:val="73A1821B"/>
    <w:multiLevelType w:val="hybridMultilevel"/>
    <w:lvl w:ilvl="0">
      <w:lvlJc w:val="left"/>
      <w:lvlText w:val="•"/>
      <w:numFmt w:val="bullet"/>
      <w:start w:val="1"/>
    </w:lvl>
  </w:abstractNum>
  <w:abstractNum w:abstractNumId="68">
    <w:nsid w:val="7DE67713"/>
    <w:multiLevelType w:val="hybridMultilevel"/>
    <w:lvl w:ilvl="0">
      <w:lvlJc w:val="left"/>
      <w:lvlText w:val="•"/>
      <w:numFmt w:val="bullet"/>
      <w:start w:val="1"/>
    </w:lvl>
  </w:abstractNum>
  <w:abstractNum w:abstractNumId="69">
    <w:nsid w:val="555C55B5"/>
    <w:multiLevelType w:val="hybridMultilevel"/>
    <w:lvl w:ilvl="0">
      <w:lvlJc w:val="left"/>
      <w:lvlText w:val="•"/>
      <w:numFmt w:val="bullet"/>
      <w:start w:val="1"/>
    </w:lvl>
  </w:abstractNum>
  <w:abstractNum w:abstractNumId="70">
    <w:nsid w:val="3FA62ACA"/>
    <w:multiLevelType w:val="hybridMultilevel"/>
    <w:lvl w:ilvl="0">
      <w:lvlJc w:val="left"/>
      <w:lvlText w:val="\endash "/>
      <w:numFmt w:val="bullet"/>
      <w:start w:val="1"/>
    </w:lvl>
  </w:abstractNum>
  <w:abstractNum w:abstractNumId="71">
    <w:nsid w:val="14FCE74E"/>
    <w:multiLevelType w:val="hybridMultilevel"/>
    <w:lvl w:ilvl="0">
      <w:lvlJc w:val="left"/>
      <w:lvlText w:val="•"/>
      <w:numFmt w:val="bullet"/>
      <w:start w:val="1"/>
    </w:lvl>
  </w:abstractNum>
  <w:abstractNum w:abstractNumId="72">
    <w:nsid w:val="6A3DD3E8"/>
    <w:multiLevelType w:val="hybridMultilevel"/>
    <w:lvl w:ilvl="0">
      <w:lvlJc w:val="left"/>
      <w:lvlText w:val="•"/>
      <w:numFmt w:val="bullet"/>
      <w:start w:val="1"/>
    </w:lvl>
  </w:abstractNum>
  <w:abstractNum w:abstractNumId="73">
    <w:nsid w:val="71C91298"/>
    <w:multiLevelType w:val="hybridMultilevel"/>
    <w:lvl w:ilvl="0">
      <w:lvlJc w:val="left"/>
      <w:lvlText w:val="\endash "/>
      <w:numFmt w:val="bullet"/>
      <w:start w:val="1"/>
    </w:lvl>
  </w:abstractNum>
  <w:abstractNum w:abstractNumId="74">
    <w:nsid w:val="9DAF632"/>
    <w:multiLevelType w:val="hybridMultilevel"/>
    <w:lvl w:ilvl="0">
      <w:lvlJc w:val="left"/>
      <w:lvlText w:val="\endash "/>
      <w:numFmt w:val="bullet"/>
      <w:start w:val="1"/>
    </w:lvl>
  </w:abstractNum>
  <w:abstractNum w:abstractNumId="75">
    <w:nsid w:val="53299938"/>
    <w:multiLevelType w:val="hybridMultilevel"/>
    <w:lvl w:ilvl="0">
      <w:lvlJc w:val="left"/>
      <w:lvlText w:val="•"/>
      <w:numFmt w:val="bullet"/>
      <w:start w:val="1"/>
    </w:lvl>
  </w:abstractNum>
  <w:abstractNum w:abstractNumId="76">
    <w:nsid w:val="1FBFE8E0"/>
    <w:multiLevelType w:val="hybridMultilevel"/>
    <w:lvl w:ilvl="0">
      <w:lvlJc w:val="left"/>
      <w:lvlText w:val="•"/>
      <w:numFmt w:val="bullet"/>
      <w:start w:val="1"/>
    </w:lvl>
  </w:abstractNum>
  <w:abstractNum w:abstractNumId="77">
    <w:nsid w:val="5092CA79"/>
    <w:multiLevelType w:val="hybridMultilevel"/>
    <w:lvl w:ilvl="0">
      <w:lvlJc w:val="left"/>
      <w:lvlText w:val="•"/>
      <w:numFmt w:val="bullet"/>
      <w:start w:val="1"/>
    </w:lvl>
  </w:abstractNum>
  <w:abstractNum w:abstractNumId="78">
    <w:nsid w:val="1D545C4D"/>
    <w:multiLevelType w:val="hybridMultilevel"/>
    <w:lvl w:ilvl="0">
      <w:lvlJc w:val="left"/>
      <w:lvlText w:val="•"/>
      <w:numFmt w:val="bullet"/>
      <w:start w:val="1"/>
    </w:lvl>
  </w:abstractNum>
  <w:abstractNum w:abstractNumId="79">
    <w:nsid w:val="59ADEA3D"/>
    <w:multiLevelType w:val="hybridMultilevel"/>
    <w:lvl w:ilvl="0">
      <w:lvlJc w:val="left"/>
      <w:lvlText w:val="*"/>
      <w:numFmt w:val="bullet"/>
      <w:start w:val="1"/>
    </w:lvl>
  </w:abstractNum>
  <w:abstractNum w:abstractNumId="80">
    <w:nsid w:val="288F1A34"/>
    <w:multiLevelType w:val="hybridMultilevel"/>
    <w:lvl w:ilvl="0">
      <w:lvlJc w:val="left"/>
      <w:lvlText w:val="•"/>
      <w:numFmt w:val="bullet"/>
      <w:start w:val="1"/>
    </w:lvl>
  </w:abstractNum>
  <w:abstractNum w:abstractNumId="81">
    <w:nsid w:val="2A155DBC"/>
    <w:multiLevelType w:val="hybridMultilevel"/>
    <w:lvl w:ilvl="0">
      <w:lvlJc w:val="left"/>
      <w:lvlText w:val="(%1)"/>
      <w:numFmt w:val="decimal"/>
      <w:start w:val="1"/>
    </w:lvl>
  </w:abstractNum>
  <w:abstractNum w:abstractNumId="82">
    <w:nsid w:val="1D9F6E5F"/>
    <w:multiLevelType w:val="hybridMultilevel"/>
    <w:lvl w:ilvl="0">
      <w:lvlJc w:val="left"/>
      <w:lvlText w:val="•"/>
      <w:numFmt w:val="bullet"/>
      <w:start w:val="1"/>
    </w:lvl>
  </w:abstractNum>
  <w:abstractNum w:abstractNumId="83">
    <w:nsid w:val="97E1B4E"/>
    <w:multiLevelType w:val="hybridMultilevel"/>
    <w:lvl w:ilvl="0">
      <w:lvlJc w:val="left"/>
      <w:lvlText w:val="%1."/>
      <w:numFmt w:val="decimal"/>
      <w:start w:val="1"/>
    </w:lvl>
  </w:abstractNum>
  <w:abstractNum w:abstractNumId="84">
    <w:nsid w:val="51088277"/>
    <w:multiLevelType w:val="hybridMultilevel"/>
    <w:lvl w:ilvl="0">
      <w:lvlJc w:val="left"/>
      <w:lvlText w:val="%1."/>
      <w:numFmt w:val="decimal"/>
      <w:start w:val="3"/>
    </w:lvl>
  </w:abstractNum>
  <w:abstractNum w:abstractNumId="85">
    <w:nsid w:val="1CA0C5FA"/>
    <w:multiLevelType w:val="hybridMultilevel"/>
    <w:lvl w:ilvl="0">
      <w:lvlJc w:val="left"/>
      <w:lvlText w:val="*"/>
      <w:numFmt w:val="bullet"/>
      <w:start w:val="1"/>
    </w:lvl>
  </w:abstractNum>
  <w:abstractNum w:abstractNumId="86">
    <w:nsid w:val="53584BCB"/>
    <w:multiLevelType w:val="hybridMultilevel"/>
    <w:lvl w:ilvl="0">
      <w:lvlJc w:val="left"/>
      <w:lvlText w:val="B"/>
      <w:numFmt w:val="bullet"/>
      <w:start w:val="1"/>
    </w:lvl>
  </w:abstractNum>
  <w:abstractNum w:abstractNumId="87">
    <w:nsid w:val="415E286C"/>
    <w:multiLevelType w:val="hybridMultilevel"/>
    <w:lvl w:ilvl="0">
      <w:lvlJc w:val="left"/>
      <w:lvlText w:val="●"/>
      <w:numFmt w:val="bullet"/>
      <w:start w:val="1"/>
    </w:lvl>
  </w:abstractNum>
  <w:abstractNum w:abstractNumId="88">
    <w:nsid w:val="7C58FD05"/>
    <w:multiLevelType w:val="hybridMultilevel"/>
    <w:lvl w:ilvl="0">
      <w:lvlJc w:val="left"/>
      <w:lvlText w:val="A"/>
      <w:numFmt w:val="bullet"/>
      <w:start w:val="1"/>
    </w:lvl>
  </w:abstractNum>
  <w:abstractNum w:abstractNumId="89">
    <w:nsid w:val="23D86AAC"/>
    <w:multiLevelType w:val="hybridMultilevel"/>
    <w:lvl w:ilvl="0">
      <w:lvlJc w:val="left"/>
      <w:lvlText w:val="L"/>
      <w:numFmt w:val="bullet"/>
      <w:start w:val="1"/>
    </w:lvl>
  </w:abstractNum>
  <w:abstractNum w:abstractNumId="90">
    <w:nsid w:val="45E6D486"/>
    <w:multiLevelType w:val="hybridMultilevel"/>
    <w:lvl w:ilvl="0">
      <w:lvlJc w:val="left"/>
      <w:lvlText w:val="*"/>
      <w:numFmt w:val="bullet"/>
      <w:start w:val="1"/>
    </w:lvl>
  </w:abstractNum>
  <w:abstractNum w:abstractNumId="91">
    <w:nsid w:val="5C10FE21"/>
    <w:multiLevelType w:val="hybridMultilevel"/>
    <w:lvl w:ilvl="0">
      <w:lvlJc w:val="left"/>
      <w:lvlText w:val="(%1)"/>
      <w:numFmt w:val="decimal"/>
      <w:start w:val="1"/>
    </w:lvl>
  </w:abstractNum>
  <w:abstractNum w:abstractNumId="92">
    <w:nsid w:val="E7FFA2B"/>
    <w:multiLevelType w:val="hybridMultilevel"/>
    <w:lvl w:ilvl="0">
      <w:lvlJc w:val="left"/>
      <w:lvlText w:val="(%1)"/>
      <w:numFmt w:val="decimal"/>
      <w:start w:val="1"/>
    </w:lvl>
  </w:abstractNum>
  <w:abstractNum w:abstractNumId="93">
    <w:nsid w:val="3C5991AA"/>
    <w:multiLevelType w:val="hybridMultilevel"/>
    <w:lvl w:ilvl="0">
      <w:lvlJc w:val="left"/>
      <w:lvlText w:val="•"/>
      <w:numFmt w:val="bullet"/>
      <w:start w:val="1"/>
    </w:lvl>
  </w:abstractNum>
  <w:abstractNum w:abstractNumId="94">
    <w:nsid w:val="4BD8591A"/>
    <w:multiLevelType w:val="hybridMultilevel"/>
    <w:lvl w:ilvl="0">
      <w:lvlJc w:val="left"/>
      <w:lvlText w:val="•"/>
      <w:numFmt w:val="bullet"/>
      <w:start w:val="1"/>
    </w:lvl>
  </w:abstractNum>
  <w:abstractNum w:abstractNumId="95">
    <w:nsid w:val="78DF6A55"/>
    <w:multiLevelType w:val="hybridMultilevel"/>
    <w:lvl w:ilvl="0">
      <w:lvlJc w:val="left"/>
      <w:lvlText w:val="(%1)"/>
      <w:numFmt w:val="decimal"/>
      <w:start w:val="1"/>
    </w:lvl>
  </w:abstractNum>
  <w:abstractNum w:abstractNumId="96">
    <w:nsid w:val="39B7AAA2"/>
    <w:multiLevelType w:val="hybridMultilevel"/>
    <w:lvl w:ilvl="0">
      <w:lvlJc w:val="left"/>
      <w:lvlText w:val="•"/>
      <w:numFmt w:val="bullet"/>
      <w:start w:val="1"/>
    </w:lvl>
  </w:abstractNum>
  <w:abstractNum w:abstractNumId="97">
    <w:nsid w:val="2B0D8DBE"/>
    <w:multiLevelType w:val="hybridMultilevel"/>
    <w:lvl w:ilvl="0">
      <w:lvlJc w:val="left"/>
      <w:lvlText w:val="(%1)"/>
      <w:numFmt w:val="decimal"/>
      <w:start w:val="1"/>
    </w:lvl>
  </w:abstractNum>
  <w:abstractNum w:abstractNumId="98">
    <w:nsid w:val="6C80EC70"/>
    <w:multiLevelType w:val="hybridMultilevel"/>
    <w:lvl w:ilvl="0">
      <w:lvlJc w:val="left"/>
      <w:lvlText w:val="(%1)"/>
      <w:numFmt w:val="decimal"/>
      <w:start w:val="1"/>
    </w:lvl>
  </w:abstractNum>
  <w:abstractNum w:abstractNumId="99">
    <w:nsid w:val="379E21B5"/>
    <w:multiLevelType w:val="hybridMultilevel"/>
    <w:lvl w:ilvl="0">
      <w:lvlJc w:val="left"/>
      <w:lvlText w:val="(%1)"/>
      <w:numFmt w:val="decimal"/>
      <w:start w:val="1"/>
    </w:lvl>
  </w:abstractNum>
  <w:abstractNum w:abstractNumId="100">
    <w:nsid w:val="69E373"/>
    <w:multiLevelType w:val="hybridMultilevel"/>
    <w:lvl w:ilvl="0">
      <w:lvlJc w:val="left"/>
      <w:lvlText w:val="✔"/>
      <w:numFmt w:val="bullet"/>
      <w:start w:val="1"/>
    </w:lvl>
  </w:abstractNum>
  <w:abstractNum w:abstractNumId="101">
    <w:nsid w:val="2C27173B"/>
    <w:multiLevelType w:val="hybridMultilevel"/>
    <w:lvl w:ilvl="0">
      <w:lvlJc w:val="left"/>
      <w:lvlText w:val="•"/>
      <w:numFmt w:val="bullet"/>
      <w:start w:val="1"/>
    </w:lvl>
  </w:abstractNum>
  <w:abstractNum w:abstractNumId="102">
    <w:nsid w:val="4C9B0904"/>
    <w:multiLevelType w:val="hybridMultilevel"/>
    <w:lvl w:ilvl="0">
      <w:lvlJc w:val="left"/>
      <w:lvlText w:val="(%1)"/>
      <w:numFmt w:val="lowerLetter"/>
      <w:start w:val="1"/>
    </w:lvl>
  </w:abstractNum>
  <w:abstractNum w:abstractNumId="103">
    <w:nsid w:val="6AA7B75C"/>
    <w:multiLevelType w:val="hybridMultilevel"/>
    <w:lvl w:ilvl="0">
      <w:lvlJc w:val="left"/>
      <w:lvlText w:val="%1"/>
      <w:numFmt w:val="decimal"/>
      <w:start w:val="1"/>
    </w:lvl>
    <w:lvl w:ilvl="1">
      <w:lvlJc w:val="left"/>
      <w:lvlText w:val="(%2)"/>
      <w:numFmt w:val="lowerLetter"/>
      <w:start w:val="2"/>
    </w:lvl>
  </w:abstractNum>
  <w:abstractNum w:abstractNumId="104">
    <w:nsid w:val="1DF029D3"/>
    <w:multiLevelType w:val="hybridMultilevel"/>
    <w:lvl w:ilvl="0">
      <w:lvlJc w:val="left"/>
      <w:lvlText w:val="(%1)"/>
      <w:numFmt w:val="decimal"/>
      <w:start w:val="5"/>
    </w:lvl>
    <w:lvl w:ilvl="1">
      <w:lvlJc w:val="left"/>
      <w:lvlText w:val="%2"/>
      <w:numFmt w:val="lowerLetter"/>
      <w:start w:val="1"/>
    </w:lvl>
  </w:abstractNum>
  <w:abstractNum w:abstractNumId="105">
    <w:nsid w:val="5675FF36"/>
    <w:multiLevelType w:val="hybridMultilevel"/>
    <w:lvl w:ilvl="0">
      <w:lvlJc w:val="left"/>
      <w:lvlText w:val="*"/>
      <w:numFmt w:val="bullet"/>
      <w:start w:val="1"/>
    </w:lvl>
  </w:abstractNum>
  <w:abstractNum w:abstractNumId="106">
    <w:nsid w:val="3DD15094"/>
    <w:multiLevelType w:val="hybridMultilevel"/>
    <w:lvl w:ilvl="0">
      <w:lvlJc w:val="left"/>
      <w:lvlText w:val="(%1)"/>
      <w:numFmt w:val="decimal"/>
      <w:start w:val="1"/>
    </w:lvl>
  </w:abstractNum>
  <w:abstractNum w:abstractNumId="107">
    <w:nsid w:val="3DB012B3"/>
    <w:multiLevelType w:val="hybridMultilevel"/>
    <w:lvl w:ilvl="0">
      <w:lvlJc w:val="left"/>
      <w:lvlText w:val="(%1)"/>
      <w:numFmt w:val="lowerLetter"/>
      <w:start w:val="1"/>
    </w:lvl>
  </w:abstractNum>
  <w:abstractNum w:abstractNumId="108">
    <w:nsid w:val="2708C9AF"/>
    <w:multiLevelType w:val="hybridMultilevel"/>
    <w:lvl w:ilvl="0">
      <w:lvlJc w:val="left"/>
      <w:lvlText w:val="(%1)"/>
      <w:numFmt w:val="lowerLetter"/>
      <w:start w:val="2"/>
    </w:lvl>
  </w:abstractNum>
  <w:abstractNum w:abstractNumId="109">
    <w:nsid w:val="5B25ACE2"/>
    <w:multiLevelType w:val="hybridMultilevel"/>
    <w:lvl w:ilvl="0">
      <w:lvlJc w:val="left"/>
      <w:lvlText w:val="(%1)"/>
      <w:numFmt w:val="decimal"/>
      <w:start w:val="4"/>
    </w:lvl>
  </w:abstractNum>
  <w:abstractNum w:abstractNumId="110">
    <w:nsid w:val="175DFCF0"/>
    <w:multiLevelType w:val="hybridMultilevel"/>
    <w:lvl w:ilvl="0">
      <w:lvlJc w:val="left"/>
      <w:lvlText w:val="(%1)"/>
      <w:numFmt w:val="decimal"/>
      <w:start w:val="1"/>
    </w:lvl>
  </w:abstractNum>
  <w:abstractNum w:abstractNumId="111">
    <w:nsid w:val="4F97E3E4"/>
    <w:multiLevelType w:val="hybridMultilevel"/>
    <w:lvl w:ilvl="0">
      <w:lvlJc w:val="left"/>
      <w:lvlText w:val="(%1)"/>
      <w:numFmt w:val="decimal"/>
      <w:start w:val="3"/>
    </w:lvl>
  </w:abstractNum>
  <w:abstractNum w:abstractNumId="112">
    <w:nsid w:val="53B0A9E"/>
    <w:multiLevelType w:val="hybridMultilevel"/>
    <w:lvl w:ilvl="0">
      <w:lvlJc w:val="left"/>
      <w:lvlText w:val="(%1)"/>
      <w:numFmt w:val="decimal"/>
      <w:start w:val="1"/>
    </w:lvl>
  </w:abstractNum>
  <w:abstractNum w:abstractNumId="113">
    <w:nsid w:val="34FD6B4F"/>
    <w:multiLevelType w:val="hybridMultilevel"/>
    <w:lvl w:ilvl="0">
      <w:lvlJc w:val="left"/>
      <w:lvlText w:val="(%1)"/>
      <w:numFmt w:val="decimal"/>
      <w:start w:val="3"/>
    </w:lvl>
    <w:lvl w:ilvl="1">
      <w:lvlJc w:val="left"/>
      <w:lvlText w:val="(%2)"/>
      <w:numFmt w:val="lowerRoman"/>
      <w:start w:val="1"/>
    </w:lvl>
  </w:abstractNum>
  <w:abstractNum w:abstractNumId="114">
    <w:nsid w:val="5915FF32"/>
    <w:multiLevelType w:val="hybridMultilevel"/>
    <w:lvl w:ilvl="0">
      <w:lvlJc w:val="left"/>
      <w:lvlText w:val="(%1)"/>
      <w:numFmt w:val="decimal"/>
      <w:start w:val="4"/>
    </w:lvl>
  </w:abstractNum>
  <w:abstractNum w:abstractNumId="115">
    <w:nsid w:val="56438D15"/>
    <w:multiLevelType w:val="hybridMultilevel"/>
    <w:lvl w:ilvl="0">
      <w:lvlJc w:val="left"/>
      <w:lvlText w:val="(%1)"/>
      <w:numFmt w:val="decimal"/>
      <w:start w:val="1"/>
    </w:lvl>
  </w:abstractNum>
  <w:abstractNum w:abstractNumId="116">
    <w:nsid w:val="519E3149"/>
    <w:multiLevelType w:val="hybridMultilevel"/>
    <w:lvl w:ilvl="0">
      <w:lvlJc w:val="left"/>
      <w:lvlText w:val="(%1)"/>
      <w:numFmt w:val="decimal"/>
      <w:start w:val="2"/>
    </w:lvl>
  </w:abstractNum>
  <w:abstractNum w:abstractNumId="117">
    <w:nsid w:val="2C6E4AFD"/>
    <w:multiLevelType w:val="hybridMultilevel"/>
    <w:lvl w:ilvl="0">
      <w:lvlJc w:val="left"/>
      <w:lvlText w:val="(%1)"/>
      <w:numFmt w:val="decimal"/>
      <w:start w:val="5"/>
    </w:lvl>
  </w:abstractNum>
  <w:abstractNum w:abstractNumId="118">
    <w:nsid w:val="17A1B582"/>
    <w:multiLevelType w:val="hybridMultilevel"/>
    <w:lvl w:ilvl="0">
      <w:lvlJc w:val="left"/>
      <w:lvlText w:val="•"/>
      <w:numFmt w:val="bullet"/>
      <w:start w:val="1"/>
    </w:lvl>
  </w:abstractNum>
  <w:abstractNum w:abstractNumId="119">
    <w:nsid w:val="4DF72E4E"/>
    <w:multiLevelType w:val="hybridMultilevel"/>
    <w:lvl w:ilvl="0">
      <w:lvlJc w:val="left"/>
      <w:lvlText w:val="(%1)"/>
      <w:numFmt w:val="decimal"/>
      <w:start w:val="1"/>
    </w:lvl>
  </w:abstractNum>
  <w:abstractNum w:abstractNumId="120">
    <w:nsid w:val="5046B5A9"/>
    <w:multiLevelType w:val="hybridMultilevel"/>
    <w:lvl w:ilvl="0">
      <w:lvlJc w:val="left"/>
      <w:lvlText w:val="(%1)"/>
      <w:numFmt w:val="decimal"/>
      <w:start w:val="1"/>
    </w:lvl>
  </w:abstractNum>
  <w:abstractNum w:abstractNumId="121">
    <w:nsid w:val="5D888A08"/>
    <w:multiLevelType w:val="hybridMultilevel"/>
    <w:lvl w:ilvl="0">
      <w:lvlJc w:val="left"/>
      <w:lvlText w:val="•"/>
      <w:numFmt w:val="bullet"/>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
      <w:numFmt w:val="bullet"/>
      <w:start w:val="1"/>
    </w:lvl>
  </w:abstractNum>
  <w:abstractNum w:abstractNumId="124">
    <w:nsid w:val="19E21BB2"/>
    <w:multiLevelType w:val="hybridMultilevel"/>
    <w:lvl w:ilvl="0">
      <w:lvlJc w:val="left"/>
      <w:lvlText w:val="•"/>
      <w:numFmt w:val="bullet"/>
      <w:start w:val="1"/>
    </w:lvl>
  </w:abstractNum>
  <w:abstractNum w:abstractNumId="125">
    <w:nsid w:val="75E0858A"/>
    <w:multiLevelType w:val="hybridMultilevel"/>
    <w:lvl w:ilvl="0">
      <w:lvlJc w:val="left"/>
      <w:lvlText w:val="*"/>
      <w:numFmt w:val="bullet"/>
      <w:start w:val="1"/>
    </w:lvl>
  </w:abstractNum>
  <w:abstractNum w:abstractNumId="126">
    <w:nsid w:val="57A61A29"/>
    <w:multiLevelType w:val="hybridMultilevel"/>
    <w:lvl w:ilvl="0">
      <w:lvlJc w:val="left"/>
      <w:lvlText w:val="(%1)"/>
      <w:numFmt w:val="decimal"/>
      <w:start w:val="1"/>
    </w:lvl>
  </w:abstractNum>
  <w:abstractNum w:abstractNumId="127">
    <w:nsid w:val="5399C654"/>
    <w:multiLevelType w:val="hybridMultilevel"/>
    <w:lvl w:ilvl="0">
      <w:lvlJc w:val="left"/>
      <w:lvlText w:val="*"/>
      <w:numFmt w:val="bullet"/>
      <w:start w:val="1"/>
    </w:lvl>
  </w:abstractNum>
  <w:abstractNum w:abstractNumId="128">
    <w:nsid w:val="20EE1348"/>
    <w:multiLevelType w:val="hybridMultilevel"/>
    <w:lvl w:ilvl="0">
      <w:lvlJc w:val="left"/>
      <w:lvlText w:val="(%1)"/>
      <w:numFmt w:val="decimal"/>
      <w:start w:val="1"/>
    </w:lvl>
  </w:abstractNum>
  <w:abstractNum w:abstractNumId="129">
    <w:nsid w:val="4427069A"/>
    <w:multiLevelType w:val="hybridMultilevel"/>
    <w:lvl w:ilvl="0">
      <w:lvlJc w:val="left"/>
      <w:lvlText w:val="(%1)"/>
      <w:numFmt w:val="decimal"/>
      <w:start w:val="1"/>
    </w:lvl>
  </w:abstractNum>
  <w:abstractNum w:abstractNumId="130">
    <w:nsid w:val="B37E80A"/>
    <w:multiLevelType w:val="hybridMultilevel"/>
    <w:lvl w:ilvl="0">
      <w:lvlJc w:val="left"/>
      <w:lvlText w:val="D"/>
      <w:numFmt w:val="bullet"/>
      <w:start w:val="1"/>
    </w:lvl>
  </w:abstractNum>
  <w:abstractNum w:abstractNumId="131">
    <w:nsid w:val="2157F6BC"/>
    <w:multiLevelType w:val="hybridMultilevel"/>
    <w:lvl w:ilvl="0">
      <w:lvlJc w:val="left"/>
      <w:lvlText w:val="D"/>
      <w:numFmt w:val="bullet"/>
      <w:start w:val="1"/>
    </w:lvl>
  </w:abstractNum>
  <w:abstractNum w:abstractNumId="132">
    <w:nsid w:val="704E1DD5"/>
    <w:multiLevelType w:val="hybridMultilevel"/>
    <w:lvl w:ilvl="0">
      <w:lvlJc w:val="left"/>
      <w:lvlText w:val="(%1)"/>
      <w:numFmt w:val="decimal"/>
      <w:start w:val="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2026-04-09T13:43:58Z</dcterms:created>
  <dcterms:modified xsi:type="dcterms:W3CDTF">2026-04-09T13:43:58Z</dcterms:modified>
</cp:coreProperties>
</file>