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w:t>
      </w:r>
    </w:p>
    <w:p>
      <w:pPr>
        <w:spacing w:after="0" w:line="1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70" w:lineRule="exact"/>
        <w:rPr>
          <w:sz w:val="24"/>
          <w:szCs w:val="24"/>
          <w:color w:val="auto"/>
        </w:rPr>
      </w:pPr>
    </w:p>
    <w:p>
      <w:pPr>
        <w:ind w:left="720" w:right="140" w:hanging="685"/>
        <w:spacing w:after="0" w:line="260"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2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right="12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8"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0-13546</w:t>
      </w:r>
    </w:p>
    <w:p>
      <w:pPr>
        <w:spacing w:after="0" w:line="2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APACHE OFFSHORE INVESTMENT PARTNERSHIP</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7" w:lineRule="exact"/>
        <w:rPr>
          <w:sz w:val="24"/>
          <w:szCs w:val="24"/>
          <w:color w:val="auto"/>
        </w:rPr>
      </w:pPr>
    </w:p>
    <w:tbl>
      <w:tblPr>
        <w:tblLayout w:type="fixed"/>
        <w:tblInd w:w="1880" w:type="dxa"/>
        <w:tblCellMar>
          <w:top w:w="0" w:type="dxa"/>
          <w:left w:w="0" w:type="dxa"/>
          <w:bottom w:w="0" w:type="dxa"/>
          <w:right w:w="0" w:type="dxa"/>
        </w:tblCellMar>
      </w:tblPr>
      <w:tr>
        <w:trPr>
          <w:trHeight w:val="238"/>
        </w:trPr>
        <w:tc>
          <w:tcPr>
            <w:tcW w:w="4060" w:type="dxa"/>
            <w:vAlign w:val="bottom"/>
          </w:tcPr>
          <w:p>
            <w:pPr>
              <w:jc w:val="center"/>
              <w:ind w:right="212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00" w:type="dxa"/>
            <w:vAlign w:val="bottom"/>
          </w:tcPr>
          <w:p>
            <w:pPr>
              <w:jc w:val="center"/>
              <w:ind w:left="2122"/>
              <w:spacing w:after="0"/>
              <w:rPr>
                <w:sz w:val="20"/>
                <w:szCs w:val="20"/>
                <w:color w:val="auto"/>
              </w:rPr>
            </w:pPr>
            <w:r>
              <w:rPr>
                <w:rFonts w:ascii="Times New Roman" w:cs="Times New Roman" w:eastAsia="Times New Roman" w:hAnsi="Times New Roman"/>
                <w:sz w:val="18"/>
                <w:szCs w:val="18"/>
                <w:b w:val="1"/>
                <w:bCs w:val="1"/>
                <w:color w:val="auto"/>
                <w:w w:val="98"/>
              </w:rPr>
              <w:t>41-1464066</w:t>
            </w:r>
          </w:p>
        </w:tc>
      </w:tr>
      <w:tr>
        <w:trPr>
          <w:trHeight w:val="178"/>
        </w:trPr>
        <w:tc>
          <w:tcPr>
            <w:tcW w:w="4060" w:type="dxa"/>
            <w:vAlign w:val="bottom"/>
          </w:tcPr>
          <w:p>
            <w:pPr>
              <w:jc w:val="center"/>
              <w:ind w:right="212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00" w:type="dxa"/>
            <w:vAlign w:val="bottom"/>
          </w:tcPr>
          <w:p>
            <w:pPr>
              <w:jc w:val="center"/>
              <w:ind w:left="21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60" w:type="dxa"/>
            <w:vAlign w:val="bottom"/>
          </w:tcPr>
          <w:p>
            <w:pPr>
              <w:jc w:val="center"/>
              <w:ind w:right="21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00" w:type="dxa"/>
            <w:vAlign w:val="bottom"/>
          </w:tcPr>
          <w:p>
            <w:pPr>
              <w:jc w:val="center"/>
              <w:ind w:left="21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One Post Oak Central, 2000 Post Oak Boulevard, Suite 100, Houston, Texas 77056-4400</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296-6000</w:t>
      </w:r>
    </w:p>
    <w:p>
      <w:pPr>
        <w:spacing w:after="0" w:line="49"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w:t>
      </w:r>
    </w:p>
    <w:p>
      <w:pPr>
        <w:spacing w:after="0" w:line="32" w:lineRule="exact"/>
        <w:rPr>
          <w:sz w:val="24"/>
          <w:szCs w:val="24"/>
          <w:color w:val="auto"/>
        </w:rPr>
      </w:pPr>
    </w:p>
    <w:p>
      <w:pPr>
        <w:ind w:firstLine="40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0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360"/>
          </w:cols>
          <w:pgMar w:left="240" w:top="741" w:right="299" w:bottom="1440" w:gutter="0" w:footer="0" w:header="0"/>
        </w:sectPr>
      </w:pPr>
    </w:p>
    <w:p>
      <w:pPr>
        <w:spacing w:after="0" w:line="1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940" w:space="720"/>
            <w:col w:w="4660" w:space="720"/>
            <w:col w:w="2120" w:space="720"/>
            <w:col w:w="480"/>
          </w:cols>
          <w:pgMar w:left="240" w:top="741" w:right="29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ectPr>
          <w:pgSz w:w="11900" w:h="16838" w:orient="portrait"/>
          <w:cols w:equalWidth="0" w:num="5">
            <w:col w:w="1940" w:space="720"/>
            <w:col w:w="160" w:space="60"/>
            <w:col w:w="4440" w:space="720"/>
            <w:col w:w="2120" w:space="720"/>
            <w:col w:w="480"/>
          </w:cols>
          <w:pgMar w:left="240" w:top="741" w:right="299" w:bottom="1440" w:gutter="0" w:footer="0" w:header="0"/>
          <w:type w:val="continuous"/>
        </w:sectPr>
      </w:pP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60" w:lineRule="exact"/>
        <w:rPr>
          <w:sz w:val="24"/>
          <w:szCs w:val="24"/>
          <w:color w:val="auto"/>
        </w:rPr>
      </w:pPr>
    </w:p>
    <w:p>
      <w:pPr>
        <w:sectPr>
          <w:pgSz w:w="11900" w:h="16838" w:orient="portrait"/>
          <w:cols w:equalWidth="0" w:num="2">
            <w:col w:w="8880" w:space="180"/>
            <w:col w:w="2300"/>
          </w:cols>
          <w:pgMar w:left="240" w:top="741" w:right="29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Number of registrant's units outstanding as of March 31, 2016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1,022</w:t>
      </w:r>
    </w:p>
    <w:p>
      <w:pPr>
        <w:sectPr>
          <w:pgSz w:w="11900" w:h="16838" w:orient="portrait"/>
          <w:cols w:equalWidth="0" w:num="2">
            <w:col w:w="8040" w:space="720"/>
            <w:col w:w="2600"/>
          </w:cols>
          <w:pgMar w:left="240" w:top="741"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40" w:type="dxa"/>
            <w:vAlign w:val="bottom"/>
            <w:gridSpan w:val="4"/>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040" w:type="dxa"/>
            <w:vAlign w:val="bottom"/>
            <w:gridSpan w:val="4"/>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DESCRIPTION</w:t>
            </w: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Item</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gridSpan w:val="5"/>
          </w:tcPr>
          <w:p>
            <w:pPr>
              <w:jc w:val="center"/>
              <w:ind w:left="530"/>
              <w:spacing w:after="0"/>
              <w:rPr>
                <w:sz w:val="20"/>
                <w:szCs w:val="20"/>
                <w:color w:val="auto"/>
              </w:rPr>
            </w:pPr>
            <w:r>
              <w:rPr>
                <w:rFonts w:ascii="Times New Roman" w:cs="Times New Roman" w:eastAsia="Times New Roman" w:hAnsi="Times New Roman"/>
                <w:sz w:val="18"/>
                <w:szCs w:val="18"/>
                <w:color w:val="auto"/>
              </w:rPr>
              <w:t>Page</w:t>
            </w:r>
          </w:p>
        </w:tc>
      </w:tr>
      <w:tr>
        <w:trPr>
          <w:trHeight w:val="270"/>
        </w:trPr>
        <w:tc>
          <w:tcPr>
            <w:tcW w:w="380" w:type="dxa"/>
            <w:vAlign w:val="bottom"/>
          </w:tcPr>
          <w:p>
            <w:pPr>
              <w:spacing w:after="0"/>
              <w:rPr>
                <w:sz w:val="23"/>
                <w:szCs w:val="23"/>
                <w:color w:val="auto"/>
              </w:rPr>
            </w:pPr>
          </w:p>
        </w:tc>
        <w:tc>
          <w:tcPr>
            <w:tcW w:w="95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5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88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color w:val="0000FF"/>
                <w:w w:val="88"/>
              </w:rPr>
              <w:t>1</w:t>
            </w: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5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8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color w:val="0000FF"/>
                <w:w w:val="88"/>
              </w:rPr>
              <w:t>4</w:t>
            </w:r>
          </w:p>
        </w:tc>
        <w:tc>
          <w:tcPr>
            <w:tcW w:w="10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5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color w:val="0000FF"/>
                <w:w w:val="88"/>
              </w:rPr>
              <w:t>6</w:t>
            </w:r>
          </w:p>
        </w:tc>
        <w:tc>
          <w:tcPr>
            <w:tcW w:w="10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color w:val="0000FF"/>
                <w:w w:val="88"/>
              </w:rPr>
              <w:t>9</w:t>
            </w:r>
          </w:p>
        </w:tc>
        <w:tc>
          <w:tcPr>
            <w:tcW w:w="10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3540" w:type="dxa"/>
            <w:vAlign w:val="bottom"/>
            <w:gridSpan w:val="4"/>
          </w:tcPr>
          <w:p>
            <w:pPr>
              <w:spacing w:after="0"/>
              <w:rPr>
                <w:sz w:val="21"/>
                <w:szCs w:val="21"/>
                <w:color w:val="auto"/>
              </w:rPr>
            </w:pPr>
          </w:p>
        </w:tc>
        <w:tc>
          <w:tcPr>
            <w:tcW w:w="3360" w:type="dxa"/>
            <w:vAlign w:val="bottom"/>
            <w:gridSpan w:val="2"/>
          </w:tcPr>
          <w:p>
            <w:pPr>
              <w:spacing w:after="0"/>
              <w:rPr>
                <w:sz w:val="21"/>
                <w:szCs w:val="21"/>
                <w:color w:val="auto"/>
              </w:rPr>
            </w:pPr>
          </w:p>
        </w:tc>
        <w:tc>
          <w:tcPr>
            <w:tcW w:w="88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color w:val="0000FF"/>
                <w:w w:val="88"/>
              </w:rPr>
              <w:t>9</w:t>
            </w:r>
          </w:p>
        </w:tc>
        <w:tc>
          <w:tcPr>
            <w:tcW w:w="10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380" w:type="dxa"/>
            <w:vAlign w:val="bottom"/>
          </w:tcPr>
          <w:p>
            <w:pPr>
              <w:spacing w:after="0"/>
              <w:rPr>
                <w:sz w:val="24"/>
                <w:szCs w:val="24"/>
                <w:color w:val="auto"/>
              </w:rPr>
            </w:pPr>
          </w:p>
        </w:tc>
        <w:tc>
          <w:tcPr>
            <w:tcW w:w="95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5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color w:val="0000FF"/>
                <w:w w:val="99"/>
              </w:rPr>
              <w:t>10</w:t>
            </w:r>
          </w:p>
        </w:tc>
        <w:tc>
          <w:tcPr>
            <w:tcW w:w="100" w:type="dxa"/>
            <w:vAlign w:val="bottom"/>
          </w:tcPr>
          <w:p>
            <w:pPr>
              <w:spacing w:after="0"/>
              <w:rPr>
                <w:sz w:val="19"/>
                <w:szCs w:val="19"/>
                <w:color w:val="auto"/>
              </w:rPr>
            </w:pPr>
          </w:p>
        </w:tc>
      </w:tr>
      <w:tr>
        <w:trPr>
          <w:trHeight w:val="25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1A.</w:t>
            </w:r>
          </w:p>
        </w:tc>
        <w:tc>
          <w:tcPr>
            <w:tcW w:w="18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640" w:type="dxa"/>
            <w:vAlign w:val="bottom"/>
            <w:gridSpan w:val="10"/>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10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5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color w:val="0000FF"/>
                <w:w w:val="99"/>
              </w:rPr>
              <w:t>10</w:t>
            </w:r>
          </w:p>
        </w:tc>
        <w:tc>
          <w:tcPr>
            <w:tcW w:w="100" w:type="dxa"/>
            <w:vAlign w:val="bottom"/>
          </w:tcPr>
          <w:p>
            <w:pPr>
              <w:spacing w:after="0"/>
              <w:rPr>
                <w:sz w:val="21"/>
                <w:szCs w:val="21"/>
                <w:color w:val="auto"/>
              </w:rPr>
            </w:pPr>
          </w:p>
        </w:tc>
      </w:tr>
      <w:tr>
        <w:trPr>
          <w:trHeight w:val="25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1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880" w:type="dxa"/>
            <w:vAlign w:val="bottom"/>
            <w:tcBorders>
              <w:top w:val="single" w:sz="8" w:color="0000FF"/>
            </w:tcBorders>
            <w:gridSpan w:val="2"/>
          </w:tcPr>
          <w:p>
            <w:pPr>
              <w:spacing w:after="0"/>
              <w:rPr>
                <w:sz w:val="21"/>
                <w:szCs w:val="21"/>
                <w:color w:val="auto"/>
              </w:rPr>
            </w:pPr>
          </w:p>
        </w:tc>
        <w:tc>
          <w:tcPr>
            <w:tcW w:w="3440" w:type="dxa"/>
            <w:vAlign w:val="bottom"/>
            <w:gridSpan w:val="3"/>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100" w:type="dxa"/>
            <w:vAlign w:val="bottom"/>
          </w:tcPr>
          <w:p>
            <w:pPr>
              <w:spacing w:after="0"/>
              <w:rPr>
                <w:sz w:val="21"/>
                <w:szCs w:val="21"/>
                <w:color w:val="auto"/>
              </w:rPr>
            </w:pPr>
          </w:p>
        </w:tc>
      </w:tr>
      <w:tr>
        <w:trPr>
          <w:trHeight w:val="25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060" w:type="dxa"/>
            <w:vAlign w:val="bottom"/>
            <w:gridSpan w:val="7"/>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100" w:type="dxa"/>
            <w:vAlign w:val="bottom"/>
          </w:tcPr>
          <w:p>
            <w:pPr>
              <w:spacing w:after="0"/>
              <w:rPr>
                <w:sz w:val="21"/>
                <w:szCs w:val="21"/>
                <w:color w:val="auto"/>
              </w:rPr>
            </w:pPr>
          </w:p>
        </w:tc>
      </w:tr>
      <w:tr>
        <w:trPr>
          <w:trHeight w:val="25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20" w:type="dxa"/>
            <w:vAlign w:val="bottom"/>
            <w:gridSpan w:val="9"/>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100" w:type="dxa"/>
            <w:vAlign w:val="bottom"/>
          </w:tcPr>
          <w:p>
            <w:pPr>
              <w:spacing w:after="0"/>
              <w:rPr>
                <w:sz w:val="21"/>
                <w:szCs w:val="21"/>
                <w:color w:val="auto"/>
              </w:rPr>
            </w:pPr>
          </w:p>
        </w:tc>
      </w:tr>
      <w:tr>
        <w:trPr>
          <w:trHeight w:val="25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EXHIBITS</w:t>
            </w:r>
          </w:p>
        </w:tc>
        <w:tc>
          <w:tcPr>
            <w:tcW w:w="8680" w:type="dxa"/>
            <w:vAlign w:val="bottom"/>
            <w:gridSpan w:val="12"/>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100" w:type="dxa"/>
            <w:vAlign w:val="bottom"/>
          </w:tcPr>
          <w:p>
            <w:pPr>
              <w:spacing w:after="0"/>
              <w:rPr>
                <w:sz w:val="21"/>
                <w:szCs w:val="21"/>
                <w:color w:val="auto"/>
              </w:rPr>
            </w:pPr>
          </w:p>
        </w:tc>
      </w:tr>
    </w:tbl>
    <w:p>
      <w:pPr>
        <w:sectPr>
          <w:pgSz w:w="11900" w:h="16838" w:orient="portrait"/>
          <w:cols w:equalWidth="0" w:num="1">
            <w:col w:w="10860"/>
          </w:cols>
          <w:pgMar w:left="360" w:top="738" w:right="6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 and Risk</w:t>
      </w:r>
    </w:p>
    <w:p>
      <w:pPr>
        <w:spacing w:after="0" w:line="12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and Section 21E of the Securities Exchange Act of 1934, as amended. All statements other than statements of historical facts included or incorporated by reference in this report, including, without limitation, statements regarding our future financial position, business strategy, budgets, projected revenues, projected costs and plans, and objectives of management for future operations, are forward-looking statements. Such forward-looking statements are based on our examination of historical operating trends, the information that was used to prepare our estimate of proved reserves as of December 31, 2015, and other data in our possession or available from third parties. In addition, forward-looking statements generally can be identified by the use of forward-looking terminology such as “may,” “will,” “expect,” “intend,” “project,” “estimate,” “anticipate,” “believe,” or “continue” or similar terminology. Although we believe that the expectations reflected in such forward-looking statements are reasonable, we can give no assurance that such expectations will prove to have been correct. Important factors that could cause actual results to differ materially from our expectations include, but are not limited to, our assumptions about:</w:t>
      </w:r>
    </w:p>
    <w:p>
      <w:pPr>
        <w:spacing w:after="0" w:line="135" w:lineRule="exact"/>
        <w:rPr>
          <w:sz w:val="20"/>
          <w:szCs w:val="20"/>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of oil, natural gas, NGLs and other products or services;</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oil, natural gas, NGLs and other products or services;</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and gathering system capacity;</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risks;</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 and other contractual obligations;</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including environmental regulation;</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 cyber-attacks;</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property acquisitions or divestitures;</w:t>
      </w:r>
    </w:p>
    <w:p>
      <w:pPr>
        <w:spacing w:after="0" w:line="171"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capital markets and related risks such as general credit, liquidity, market and interest-rate risks; and</w:t>
      </w:r>
    </w:p>
    <w:p>
      <w:pPr>
        <w:spacing w:after="0" w:line="171" w:lineRule="exact"/>
        <w:rPr>
          <w:rFonts w:ascii="Times New Roman" w:cs="Times New Roman" w:eastAsia="Times New Roman" w:hAnsi="Times New Roman"/>
          <w:sz w:val="18"/>
          <w:szCs w:val="18"/>
          <w:color w:val="auto"/>
        </w:rPr>
      </w:pPr>
    </w:p>
    <w:p>
      <w:pPr>
        <w:ind w:left="620" w:right="40" w:hanging="315"/>
        <w:spacing w:after="0" w:line="26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under Items 1 and 2 – “Business and Properties — Estimated Proved Reserves and Future Net Cash Flows,” Item 1A – “Risk Factors,” Item 7 – “Management’s Discussion and Analysis of Financial Condition and Results of Operations,” Item 7A – “Quantitative and Qualitative Disclosures About Market Risk,” and elsewhere in our most recently filed Form 10-K.</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Partnership, or persons acting on its behalf, are expressly qualified in their entirety by the cautionary statements. We assume no duty to update or revise our forward-looking statements based on changes in internal estimates or expectations or otherwise.</w:t>
      </w:r>
    </w:p>
    <w:p>
      <w:pPr>
        <w:sectPr>
          <w:pgSz w:w="11900" w:h="16838" w:orient="portrait"/>
          <w:cols w:equalWidth="0" w:num="1">
            <w:col w:w="11360"/>
          </w:cols>
          <w:pgMar w:left="240" w:top="900"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12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4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26"/>
        </w:trPr>
        <w:tc>
          <w:tcPr>
            <w:tcW w:w="812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APACHE OFFSHORE INVESTMENT PARTNERSHIP</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812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8"/>
              </w:rPr>
              <w:t>STATEMENT OF CONSOLIDATED OPERATIONS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7"/>
        </w:trPr>
        <w:tc>
          <w:tcPr>
            <w:tcW w:w="8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Oil and gas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313,852</w:t>
            </w:r>
          </w:p>
        </w:tc>
        <w:tc>
          <w:tcPr>
            <w:tcW w:w="3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482,163</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1,030</w:t>
            </w: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314,882</w:t>
            </w:r>
          </w:p>
        </w:tc>
        <w:tc>
          <w:tcPr>
            <w:tcW w:w="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482,163</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Recurring</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136,085</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105,338</w:t>
            </w:r>
          </w:p>
        </w:tc>
      </w:tr>
      <w:tr>
        <w:trPr>
          <w:trHeight w:val="243"/>
        </w:trPr>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1,271,885</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19,482</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32,031</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159,571</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254,334</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Gathering and transportation costs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47,938</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29,231</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87,000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92,500</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1,721,961</w:t>
            </w: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513,434</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(1,407,079)</w:t>
            </w:r>
          </w:p>
        </w:tc>
        <w:tc>
          <w:tcPr>
            <w:tcW w:w="3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(31,271)</w:t>
            </w:r>
          </w:p>
        </w:tc>
      </w:tr>
      <w:tr>
        <w:trPr>
          <w:trHeight w:val="67"/>
        </w:trPr>
        <w:tc>
          <w:tcPr>
            <w:tcW w:w="8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 (LOSS) ALLOCATED TO:</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Managing Partner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3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14,627</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Investing Partners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(1,404,314)</w:t>
            </w: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(45,898)</w:t>
            </w:r>
          </w:p>
        </w:tc>
      </w:tr>
      <w:tr>
        <w:trPr>
          <w:trHeight w:val="237"/>
        </w:trPr>
        <w:tc>
          <w:tcPr>
            <w:tcW w:w="8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(1,407,079)</w:t>
            </w:r>
          </w:p>
        </w:tc>
        <w:tc>
          <w:tcPr>
            <w:tcW w:w="3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(31,271)</w:t>
            </w:r>
          </w:p>
        </w:tc>
      </w:tr>
      <w:tr>
        <w:trPr>
          <w:trHeight w:val="67"/>
        </w:trPr>
        <w:tc>
          <w:tcPr>
            <w:tcW w:w="8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INVESTING PARTNER UNIT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INVESTING PARTNER UNITS OUTSTANDING</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1,021.5</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1,021.5</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 an integral part of this statement.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CONSOLIDATED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7"/>
        </w:trPr>
        <w:tc>
          <w:tcPr>
            <w:tcW w:w="8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(1,407,079)</w:t>
            </w:r>
          </w:p>
        </w:tc>
        <w:tc>
          <w:tcPr>
            <w:tcW w:w="3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(31,271)</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1,407,970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105,338</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19,482</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32,031</w:t>
            </w:r>
          </w:p>
        </w:tc>
      </w:tr>
      <w:tr>
        <w:trPr>
          <w:trHeight w:val="24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(Increase) decrease in accrued receivables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(31,959)</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59,896</w:t>
            </w:r>
          </w:p>
        </w:tc>
      </w:tr>
      <w:tr>
        <w:trPr>
          <w:trHeight w:val="243"/>
        </w:trPr>
        <w:tc>
          <w:tcPr>
            <w:tcW w:w="81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Increase (decrease) in receivable from/payable to Apache Corporation</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38,505</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8,201</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Increase (decrease) in accrued 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(76,812)</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w:t>
            </w:r>
          </w:p>
        </w:tc>
      </w:tr>
      <w:tr>
        <w:trPr>
          <w:trHeight w:val="243"/>
        </w:trPr>
        <w:tc>
          <w:tcPr>
            <w:tcW w:w="81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Increase (decrease) in asset retirement obligations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(228,118)</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(278,011)</w:t>
            </w: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156,771</w:t>
            </w:r>
          </w:p>
        </w:tc>
      </w:tr>
      <w:tr>
        <w:trPr>
          <w:trHeight w:val="22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Additions to oil and gas properties</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w:t>
            </w:r>
          </w:p>
        </w:tc>
      </w:tr>
      <w:tr>
        <w:trPr>
          <w:trHeight w:val="237"/>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(12,284)</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Contributions from Managing Partner</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40,697</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 to Managing Partner</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(29,585)</w:t>
            </w:r>
          </w:p>
        </w:tc>
      </w:tr>
      <w:tr>
        <w:trPr>
          <w:trHeight w:val="237"/>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40,697</w:t>
            </w:r>
          </w:p>
        </w:tc>
        <w:tc>
          <w:tcPr>
            <w:tcW w:w="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(29,585)</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(237,314)</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114,902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5,246,452</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5,275,503</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5,009,138</w:t>
            </w: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5,390,405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 an integral part of this statement.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9"/>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5,009,138</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5,246,452</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revenues receivable</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179,807</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147,848</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5,188,945</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5,394,300</w:t>
            </w:r>
          </w:p>
        </w:tc>
      </w:tr>
      <w:tr>
        <w:trPr>
          <w:trHeight w:val="22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AND GAS PROPERTIES, on the basis of full cost accounting:</w:t>
            </w: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Proved properties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195,037,054</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195,037,054</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 Accumulated depreciation, depletion and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(188,664,367)</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(187,256,397)</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6,372,687</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7,780,657</w:t>
            </w:r>
          </w:p>
        </w:tc>
      </w:tr>
      <w:tr>
        <w:trPr>
          <w:trHeight w:val="237"/>
        </w:trPr>
        <w:tc>
          <w:tcPr>
            <w:tcW w:w="8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11,561,632</w:t>
            </w:r>
          </w:p>
        </w:tc>
        <w:tc>
          <w:tcPr>
            <w:tcW w:w="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13,174,957</w:t>
            </w:r>
          </w:p>
        </w:tc>
      </w:tr>
      <w:tr>
        <w:trPr>
          <w:trHeight w:val="67"/>
        </w:trPr>
        <w:tc>
          <w:tcPr>
            <w:tcW w:w="8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2440"/>
              <w:spacing w:after="0" w:line="196" w:lineRule="exact"/>
              <w:rPr>
                <w:sz w:val="20"/>
                <w:szCs w:val="20"/>
                <w:color w:val="auto"/>
              </w:rPr>
            </w:pPr>
            <w:r>
              <w:rPr>
                <w:rFonts w:ascii="Times New Roman" w:cs="Times New Roman" w:eastAsia="Times New Roman" w:hAnsi="Times New Roman"/>
                <w:sz w:val="18"/>
                <w:szCs w:val="18"/>
                <w:color w:val="auto"/>
              </w:rPr>
              <w:t>LIABILITIES AND PARTNERS’ CAPITAL</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Payable to Apache Corporation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53,312</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14,807</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asset retirement obligation</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524,166</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524,166</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payables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84,249</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84,249</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operating expenses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152,752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229,564</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development costs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75,018</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303,136</w:t>
            </w:r>
          </w:p>
        </w:tc>
      </w:tr>
      <w:tr>
        <w:trPr>
          <w:trHeight w:val="237"/>
        </w:trPr>
        <w:tc>
          <w:tcPr>
            <w:tcW w:w="8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889,497</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1,155,922</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1,347,429</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1,327,947</w:t>
            </w:r>
          </w:p>
        </w:tc>
      </w:tr>
      <w:tr>
        <w:trPr>
          <w:trHeight w:val="22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 CAPITAL:</w:t>
            </w: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Managing Partner</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444,811</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406,879</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Investing Partners (1,021.5 units outstanding)</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8,879,895</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10,284,209</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9,324,706</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10,691,088</w:t>
            </w:r>
          </w:p>
        </w:tc>
      </w:tr>
      <w:tr>
        <w:trPr>
          <w:trHeight w:val="237"/>
        </w:trPr>
        <w:tc>
          <w:tcPr>
            <w:tcW w:w="8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11,561,632</w:t>
            </w:r>
          </w:p>
        </w:tc>
        <w:tc>
          <w:tcPr>
            <w:tcW w:w="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13,174,957</w:t>
            </w:r>
          </w:p>
        </w:tc>
      </w:tr>
      <w:tr>
        <w:trPr>
          <w:trHeight w:val="27"/>
        </w:trPr>
        <w:tc>
          <w:tcPr>
            <w:tcW w:w="8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 an integral part of this statement.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Apache Offshore Investment Partnership, a Delaware general partnership (the Investment Partnership), was formed on October 31, 1983, consisting of Apache Corporation, a Delaware corporation (Apache or the Managing Partner), as Managing Partner and public investors (the Investing Partners). The Investment Partnership invested its entire capital in Apache Offshore Petroleum Limited Partnership, a Delaware limited partnership (the Operating Partnership). The primary business of the Investment Partnership is to serve as the sole limited partner of the Operating Partnership. The accompanying financial statements include the accounts of both the Investment Partnership and the Operating Partnership. The term “Partnership”, as used herein, refers to the Investment Partnership or the Operating Partnership, as the case may be.</w:t>
      </w:r>
    </w:p>
    <w:p>
      <w:pPr>
        <w:spacing w:after="0" w:line="188"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These financial statements have been prepared by the Partnership, without audit, pursuant to the rules and regulations of the Securities and Exchange Commission (SEC). They reflect all adjustments that are, in the opinion of management, necessary for a fair statement of the results for the interim periods, on a basis consistent with the annual audited financial statements. All such adjustments are of a normal, recurring nature. Certain information, accounting policies, and footnote disclosures normally included in financial statements prepared in accordance with accounting principles generally accepted in the United States (U.S. GAAP) have been omitted pursuant to such rules and regulations, although the Partnership believes that the disclosures are adequate to make the information presented not misleading. These financial statements should be read in conjunction with the Partnership’s Annual Report on Form 10-K for the fiscal year ended December 31, 2015, which contains a summary of the Partnership’s significant accounting policies and other disclosures.</w:t>
      </w:r>
    </w:p>
    <w:p>
      <w:pPr>
        <w:spacing w:after="0" w:line="3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21"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2016, the Partnership’s significant accounting policies are consistent with those discussed in Note 2 of its consolidated financial statements contained in the Annual Report on Form 10-K for the fiscal year ended December 31,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21"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with regard to these financial statements include the estimate of proved oil and gas reserve quantities and the related present value of estimated future net cash flows therefrom and the assessment of asset retirement obligations. Actual results could differ from those estimates.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Oil and Gas Property</w:t>
      </w:r>
    </w:p>
    <w:p>
      <w:pPr>
        <w:spacing w:after="0" w:line="121"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Partnership follows the full-cost method of accounting for its oil and gas property. Under this method of accounting, all costs incurred for both successful and unsuccessful exploration and development activities, and oil and gas property acquisitions are capitalized. The net book value of oil and gas properties may not exceed a calculated “ceiling.” The ceiling limitation is the estimated future net cash flows from proved oil and gas reserves, discounted at 10 percent per annum. Estimated future net cash flows are calculated using end-of-period costs and an unweighted arithmetic average of commodity prices in effect on the first day of each of the previous 12 months, held flat for the life of the production, except where prices are defined by contractual arrangements. For a discussion of the calculation of estimated future net cash flows, please refer to Note 10-Supplemental Oil and Gas Disclosures to the consolidated financial statements contained in the Partnership’s Annual Report on Form 10-K for the fiscal year ended December 31, 2015.</w:t>
      </w:r>
    </w:p>
    <w:p>
      <w:pPr>
        <w:spacing w:after="0" w:line="18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Any excess of the net book value of proved oil and gas properties over the ceiling is charged to expense and reflected as “Additional depreciation, depletion and amortization” in the accompanying statement of consolidated operations. Such limitations are tested quarterly. In the first quarter of 2016, the Partnership recorded a $1,271,885 non-cash write-down of the carrying value of its proved oil and gas properties.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576"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Pronouncements Issued But Not Yet Adopted</w:t>
      </w:r>
    </w:p>
    <w:p>
      <w:pPr>
        <w:spacing w:after="0" w:line="121"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(FASB) and the International Accounting Standards Board (IASB) issued a joint revenue recognition standard, ASU 2014-09. The new standard removes inconsistencies in existing standards, changes the way companies recognize revenue from contracts with customers, and increases disclosure requirements. The guidance requires companies to recognize revenue to depict the transfer of goods or services to customers in amounts that reflect the consideration to which the company expects to be entitled in exchange for those goods or services. In July 2015, the FASB announced a delay in the effective date of the revenue standard by one year. The deferral results in the new revenue standard becoming effective for annual and interim periods beginning after December 15, 2017. In March 2016, the FASB issued ASU 2016-08, which provides further clarification on the principal versus agent evaluation. The standard is required to be adopted using either the full retrospective approach, with all prior periods presented adjusted, or the modified retrospective approach, with a cumulative adjustment to retained earnings on the opening balance sheet. The Partnership is currently evaluating the level of effort needed to implement the standard, the impact of adopting this standard on its consolidated financial statements, and whether to use the full retrospective approach or the modified retrospective approach.</w:t>
      </w:r>
    </w:p>
    <w:p>
      <w:pPr>
        <w:spacing w:after="0" w:line="3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RECEIVABLE FROM / PAYABLE TO APACHE CORPORATION</w:t>
      </w:r>
    </w:p>
    <w:p>
      <w:pPr>
        <w:spacing w:after="0" w:line="121"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receivable from/payable to Apache represents the net result of the Investing Partners’ revenue received and expenditures paid in the current month. Generally, cash in this amount will be paid by Apache to the Partnership or transferred to Apache in the month after the Partnership’s transactions are processed and the net results of operations are determined.</w:t>
      </w:r>
    </w:p>
    <w:p>
      <w:pPr>
        <w:spacing w:after="0" w:line="3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RIGHT OF PRESENTMENT</w:t>
      </w:r>
    </w:p>
    <w:p>
      <w:pPr>
        <w:spacing w:after="0" w:line="121"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As provided in the Partnership Agreement, as amended (the “Amended Partnership Agreement”), a first right of presentment valuation was computed during the first quarter of 2016. The per-unit value was determined to be $6,057 based on the valuation date of December 31, 2015. The Partnership did not repurchase any Investing Partner Units (Units) during the first three months of 2016, and is not expected to purchase any Units in the first half of 2016. The per-unit right of presentment value computed during the first quarter of 2015 was determined to be $9,765 based on the valuation date of December 31, 2014. The Partnership did not repurchase any Units during the first three months of 2015. Pursuant to the Amended Partnership Agreement, the Partnership has no obligation to purchase any Units presented to the extent it determines that it has insufficient funds for such purchases.</w:t>
      </w:r>
    </w:p>
    <w:p>
      <w:pPr>
        <w:spacing w:after="0" w:line="4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ASSET RETIREMENT OBLIGATIONS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describes the changes to the Partnership’s asset retirement obligation liability for the first three months of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 at December 31, 2015</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1,852,113</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19,482</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 at March 31, 2016</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1,871,595</w:t>
            </w:r>
          </w:p>
        </w:tc>
      </w:tr>
      <w:tr>
        <w:trPr>
          <w:trHeight w:val="243"/>
        </w:trPr>
        <w:tc>
          <w:tcPr>
            <w:tcW w:w="9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current portion</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(524,166)</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 long-term</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1,347,429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reported at fair value on a recurring basis in the Partnership’s consolidated balance sheet. As of March 31, 2016, and December 31, 2015, the carrying amounts of the Partnership’s current assets and current liabilities approximated fair value because of the short-term nature or maturity of these instruments.</w:t>
      </w:r>
    </w:p>
    <w:p>
      <w:pPr>
        <w:spacing w:after="0" w:line="176"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Partnership did not use derivative financial instruments or otherwise engage in hedging activities during the three months ended March 31, 2016, and 2015.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900" w:right="239" w:bottom="1440" w:gutter="0" w:footer="0" w:header="0"/>
        </w:sectPr>
      </w:pPr>
    </w:p>
    <w:bookmarkStart w:id="8" w:name="page9"/>
    <w:bookmarkEnd w:id="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following discussion relates to Apache Offshore Investment Partnership (the Partnership) and should be read in conjunction with the Partnership’s consolidated financial statements and accompanying notes included under Part I, Item 1, “Financial Statements” of this Quarterly Report on Form 10-Q, as well as its consolidated financial statements, accompanying notes and related Management’s Discussion and Analysis of Financial Condition and Results of Operations, included in the Partnership’s Annual Report on Form 10-K for the fiscal year ended December 31, 2015.</w:t>
      </w:r>
    </w:p>
    <w:p>
      <w:pPr>
        <w:spacing w:after="0" w:line="180" w:lineRule="exact"/>
        <w:rPr>
          <w:sz w:val="20"/>
          <w:szCs w:val="20"/>
          <w:color w:val="auto"/>
        </w:rPr>
      </w:pPr>
    </w:p>
    <w:p>
      <w:pPr>
        <w:ind w:right="600" w:firstLine="432"/>
        <w:spacing w:after="0" w:line="282" w:lineRule="auto"/>
        <w:rPr>
          <w:sz w:val="20"/>
          <w:szCs w:val="20"/>
          <w:color w:val="auto"/>
        </w:rPr>
      </w:pPr>
      <w:r>
        <w:rPr>
          <w:rFonts w:ascii="Times New Roman" w:cs="Times New Roman" w:eastAsia="Times New Roman" w:hAnsi="Times New Roman"/>
          <w:sz w:val="18"/>
          <w:szCs w:val="18"/>
          <w:color w:val="auto"/>
        </w:rPr>
        <w:t>The Partnership’s business is participation in oil and gas exploration, development and production activities on federal lease tracts in the Gulf of Mexico, offshore Louisiana and Texas.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and Revenue</w:t>
      </w:r>
    </w:p>
    <w:p>
      <w:pPr>
        <w:spacing w:after="0" w:line="121"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Partnership reported a net loss of $1.4 million ($1,375 per Limited Partner Unit) for the first quarter of 2016 compared to a net loss of $31,271 ($45 per Limited Partner Unit) in the first quarter of 2015. The 2016 loss included a $1.3 million non-cash write-down in the carrying value of the Partnership's oil and gas properties and reduced revenues as a result of lower oil and gas prices compared to the prior year.</w:t>
      </w:r>
    </w:p>
    <w:p>
      <w:pPr>
        <w:spacing w:after="0" w:line="17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Total revenues in the first quarter of 2016 decreased 35 percent from the first quarter of 2015 on lower oil, gas, and NGL prices in 2016. As noted in the table below, oil, gas and NGL prices in the quarter declined 42 percent, 32 percent and 27 percent, respectively, from a year ago.</w:t>
      </w:r>
    </w:p>
    <w:p>
      <w:pPr>
        <w:spacing w:after="0" w:line="162"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The Partnership’s oil, gas and natural gas liquids (NGL) production volume and price information is summarized in the following table (gas volumes are presented in thousand cubic feet (Mcf) per day):</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1380" w:type="dxa"/>
            <w:vAlign w:val="bottom"/>
          </w:tcPr>
          <w:p>
            <w:pPr>
              <w:jc w:val="right"/>
              <w:ind w:right="354"/>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Gas volume – Mcf per day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gas price – per Mcf</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volume – barrels per day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oil price – per barrel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NGL volume – barrels per day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NGL price – per barrel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Gas Sales</w:t>
      </w:r>
    </w:p>
    <w:p>
      <w:pPr>
        <w:spacing w:after="0" w:line="121"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Reflecting lower oil prices in 2016, the Partnership’s crude oil sales for the first quarter of 2016 totaled $242,585 compared to $374,993 of crude oil sales in the first quarter of 2015. The Partnership’s average realized price in the first quarter of 2016 decreased $23.89 per barrel from the first quarter of 2015, reducing sales by $158,231. Crude oil volumes increased to 81 barrels per day as recompletions at South Timbalier 295 in 2015 more than offset the impact of natural depletion.</w:t>
      </w:r>
    </w:p>
    <w:p>
      <w:pPr>
        <w:spacing w:after="0" w:line="18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Natural gas sales in the first quarter of 2016 totaled $60,331 down 35 percent from the amount realized in 2015. The Partnership’s average realized natural gas price for the quarter decreased $0.97 per Mcf, or 32 percent, from the first quarter of 2015, reducing sales by $29,429 from a year ago. Natural gas volumes decreased 6 percent from the first quarter of 2015. Natural gas production added from recompletions at South Timbalier 295 was more than offset by lower production at Ship Shoal 258/259, which experienced periodic downtime during the first quarter of 2016 as a result of issues with a third-party pipeline. The field was producing again at the end of the quarter.</w:t>
      </w:r>
    </w:p>
    <w:p>
      <w:pPr>
        <w:spacing w:after="0" w:line="184"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During the first quarter of each of 2016 and 2015, the Partnership sold 8 barrels per day of natural gas liquids. The Partnership’s average NGL price for the current quarter decreased 27 percent from a year ago to $14.35 per barrel.</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Since the Partnership does not anticipate acquiring additional acreage or conducting exploratory drilling on leases in which it currently holds an interest, declines in oil and gas production can be expected in future periods as a result of natural depletion. Also, given the small number of producing wells owned by the Partnership and exposure to inclement weather and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9" w:name="page10"/>
    <w:bookmarkEnd w:id="9"/>
    <w:p>
      <w:pPr>
        <w:ind w:right="320"/>
        <w:spacing w:after="0" w:line="282" w:lineRule="auto"/>
        <w:rPr>
          <w:sz w:val="20"/>
          <w:szCs w:val="20"/>
          <w:color w:val="auto"/>
        </w:rPr>
      </w:pPr>
      <w:r>
        <w:rPr>
          <w:rFonts w:ascii="Times New Roman" w:cs="Times New Roman" w:eastAsia="Times New Roman" w:hAnsi="Times New Roman"/>
          <w:sz w:val="18"/>
          <w:szCs w:val="18"/>
          <w:color w:val="auto"/>
        </w:rPr>
        <w:t>pipeline interruptions in the Gulf of Mexico, the Partnership’s production during the remainder of 2016 and beyond may be subject to more volatility than those companies with a larger or more diversified property portfolio.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Partnership’s recurring depreciation, depletion and amortization (DD&amp;A) rate, expressed as a percentage of oil and gas sales, was approximately 43 percent for the first quarter of 2016 and 22 percent for the first quarter of 2015. The increase in the rate as a percentage of oil and gas sales in 2016 reflected the impact of declining oil and gas prices. The dollar amount of recurring DD&amp;A expense for the first three months of 2016 increased slightly from the comparable period a year ago.</w:t>
      </w:r>
    </w:p>
    <w:p>
      <w:pPr>
        <w:spacing w:after="0" w:line="180"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Under the full cost method of accounting, the Partnership is required to review the carrying value of its proved oil and gas properties each quarter. Under these rules, capitalized costs of oil and gas properties, net of accumulated DD&amp;A, may not exceed the present value of estimated future net cash flows from proved oil and gas reserves discounted at 10 percent per annum. Estimated future net cash flows are calculated using end-of-period costs and an unweighted arithmetic average of commodity prices in effect on the first day of each of the previous 12 months, held flat for the life of the production, except where prices are defined by contractual arrangements. As a result of the ceiling limitation, the Partnership wrote-down the carrying value of its oil and gas properties by approximately $1.3 million during the first quarter of 2016 which is reflected as additional DD&amp;A expense.</w:t>
      </w:r>
    </w:p>
    <w:p>
      <w:pPr>
        <w:spacing w:after="0" w:line="188"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If commodity prices do not recover from current levels, the Partnership may be required to recognize a non-cash write-down of the carrying value of its oil and gas properties in the second quarter of 2016. The Partnership’s full cost ceiling limitation at the end of the current quarter was calculated using a historical 12-month pricing average that included oil prices from the second quarter of 2015 which were higher than current commodity futures prices.</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Partnership recognized $19,482 in asset retirement obligation accretion for the first quarter of 2016 compared to $32,031 for the first quarter of 2015. The decline reflected the abandonment of Matagorda Island 681 and North Padre Island 969/976 in the fourth quarter of 2015.</w:t>
      </w:r>
    </w:p>
    <w:p>
      <w:pPr>
        <w:spacing w:after="0" w:line="16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Lease operating expenses (LOE) for the first quarter of 2016 of $159,571 decreased 37 percent from the first quarter of 2015 on lower repair costs and the reduced cost resulting from permanently shutting-in North Padre Island 969/976 for abandonment and temporarily shutting-in Ship Shoal 258/259 for third-party pipeline repairs. The operators of the Partnership's properties are delaying discretionary repair work and other costs in light of reduced oil and gas prices and cash flow.</w:t>
      </w:r>
    </w:p>
    <w:p>
      <w:pPr>
        <w:spacing w:after="0" w:line="180"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Gathering and transportation costs for the delivery of oil and gas totaled $47,938 in the first quarter of 2016 compared to $29,231 in the comparable period in 2015. The increase from a year ago was a result of higher oil and gas volumes from South Timbalier 295 in 2016 and additional cost related to prior production that was passed on by the operator of South Timbalier 295 during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Resources and Liquidity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Partnership’s primary capital resource is net cash provided by operating activities. During the first three months of 2016, the Partnership had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$278,011 of negative cash from operating activities as the Partnership funded liabilities for accrued asset retirement obligations and operating expenses.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had positive cash provided by operations totaling $156,771 in the first three months of 2015.</w:t>
      </w:r>
    </w:p>
    <w:p>
      <w:pPr>
        <w:spacing w:after="0" w:line="207"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color w:val="auto"/>
        </w:rPr>
        <w:t>At March 31, 2016, the Partnership had approximately $5.0 million in cash and cash equivalents, down from approximately $5.2 million at December 31, 2015 as the Partnership paid accrued asset retirement obligations and operating expenses during the first quarter of 2016. The Partnership’s goal is to maintain cash and cash equivalents at least sufficient to cover the undiscounted value of its future asset retirement obligation liability. The Partnership also plans to reserve funds for repairs which may disrupt the Partnership’s production and for future recompletion operations.</w:t>
      </w:r>
    </w:p>
    <w:p>
      <w:pPr>
        <w:spacing w:after="0" w:line="180"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Partnership’s future financial condition, results of operations, and cash from operating activities will largely depend upon prices received for its oil and natural gas production. A substantial portion of the Partnership’s production is sold under market-sensitive contracts. Prices for oil and natural gas are subject to fluctuations in response to changes in supply, market uncertainty, and a variety of factors beyond the Partnership’s control. These factors include worldwide political and economic conditions, the foreign and domestic supply of oil and natural gas, the price of foreign imports, the level of consumer demand, weather, and the price and availability of alternative fuels.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96" w:right="239" w:bottom="1440" w:gutter="0" w:footer="0" w:header="0"/>
        </w:sectPr>
      </w:pPr>
    </w:p>
    <w:bookmarkStart w:id="10" w:name="page11"/>
    <w:bookmarkEnd w:id="10"/>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The Partnership’s oil and gas reserves and production will also significantly impact future results of operations and cash from operating activities. The Partnership’s production is subject to fluctuations in response to remaining quantities of oil and gas reserves, weather, pipeline capacity, consumer demand, mechanical performance and workover, recompletion and drilling activities. Declines in oil and gas production can be expected in future years as a result of normal depletion and the non-participation in acquisition or exploration activities by the Partnership. Based on production estimates from independent engineers and current market conditions, the Partnership forecasts it will be able to meet its liquidity needs for routine operations in the foreseeable future. The Partnership will reduce capital expenditures and distributions to partners as cash from operating activities declines.</w:t>
      </w:r>
    </w:p>
    <w:p>
      <w:pPr>
        <w:spacing w:after="0" w:line="188" w:lineRule="exact"/>
        <w:rPr>
          <w:sz w:val="20"/>
          <w:szCs w:val="20"/>
          <w:color w:val="auto"/>
        </w:rPr>
      </w:pPr>
    </w:p>
    <w:p>
      <w:pPr>
        <w:ind w:right="300" w:firstLine="432"/>
        <w:spacing w:after="0" w:line="313" w:lineRule="auto"/>
        <w:rPr>
          <w:sz w:val="20"/>
          <w:szCs w:val="20"/>
          <w:color w:val="auto"/>
        </w:rPr>
      </w:pPr>
      <w:r>
        <w:rPr>
          <w:rFonts w:ascii="Times New Roman" w:cs="Times New Roman" w:eastAsia="Times New Roman" w:hAnsi="Times New Roman"/>
          <w:sz w:val="17"/>
          <w:szCs w:val="17"/>
          <w:color w:val="auto"/>
        </w:rPr>
        <w:t>In the event that future short-term operating cash requirements are greater than the Partnership’s financial resources, the Partnership may seek short-term, interest-bearing advances from the Managing Partner as needed. The Managing Partner, however, is not obligated to make loans to the Partnership.</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an ongoing basis, the Partnership reviews the possible sale of lower value properties prior to incurring associated dismantlement and abandonment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Commitments</w:t>
      </w:r>
    </w:p>
    <w:p>
      <w:pPr>
        <w:spacing w:after="0" w:line="121"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Partnership’s primary needs for cash are for operating expenses, drilling and recompletion expenditures, future dismantlement and abandonment costs, distributions to Investing Partners, and the purchase of Units offered by Investing Partners under the right of presentment. To the extent there is discretion, the Partnership allocates available capital to investment in the Partnership’s properties so as to maximize production and resultant cash flow. The Partnership had no outstanding debt or lease commitments at March 31, 2016. The Partnership did not have any contractual obligations as of March 31, 2016, other than the liability for dismantlement and abandonment costs of its oil and gas properties. The Partnership has recorded a separate liability for the present value of this asset retirement obligation as discussed in the notes to the financial statements included in the Partnership’s latest annual report on Form 10-K.</w:t>
      </w:r>
    </w:p>
    <w:p>
      <w:pPr>
        <w:spacing w:after="0" w:line="188"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During the first three months of 2016 the Partnership had no cash outlays for capital expenditures for additions to oil and gas properties as it did not participate in any drilling or recompletion projects during the period. The Partnership’s cash outlays for capital expenditures during the first three months of 2015 totaled $12,284 as the Partnership participated in a recompletion project during the period. During the first three months of 2016, the Partnership made cash outlays of $228,118 on accrued asset retirement obligations incurred during the fourth quarter of 2015. Based on information supplied by the operators of the properties, the Partnership anticipates capital expenditures of less than $0.1 million during the remainder of 2016 as no new drilling projects are currently planned for 2016. Capital estimates may change based on realized prices, changes by the operator to the development plan, pipeline construction or modifications, or changes in government regulations.</w:t>
      </w:r>
    </w:p>
    <w:p>
      <w:pPr>
        <w:spacing w:after="0" w:line="189"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Because of declining oil and gas prices over the last year and a half and the need to reserve cash for future asset retirement obligations, no distributions were made to Investing Partners during the first three months of 2016. The Partnership also made no distribution to Investing Partners during the first three months of 2015 as a result of declining product prices and the large amount of pending plugging costs for Matagorda Island 681 and North Padre Island 969/976.</w:t>
      </w:r>
    </w:p>
    <w:p>
      <w:pPr>
        <w:spacing w:after="0" w:line="18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amount of future distributions will be dependent on actual and expected production levels, realized and anticipated oil and gas prices, expected drilling and recompletion expenditures, and prudent cash reserves for future dismantlement and abandonment costs that will be incurred after the Partnership’s reserves are depleted. The Partnership’s goal is to maintain cash and cash equivalents in the Partnership at least sufficient to cover the undiscounted value of its future asset retirement obligations. The Partnership will review available cash balances, any development or abandonment plans submitted by the operators of the Partnership’s properties, and the factors noted above to determine whether there are sufficient funds to make a distribution to Investing Partners during the second half of 2016.</w:t>
      </w:r>
    </w:p>
    <w:p>
      <w:pPr>
        <w:spacing w:after="0" w:line="188"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As provided in the Amended Partnership Agreement, a first right of presentment valuation was computed during the first quarter of 2016. The per-unit value was determined to be $6,057 based on the valuation date of December 31, 2015. The Partnership will not repurchase any Investing Partner Units (Units) during the first half of 2016 as a result of the Partnership’s limited amount of cash available for discretionary purposes. The Partnership is not in a position to predict how many Units will be presented for repurchase during the remainder of 2016 and cannot, at this time, determine if the Partnership will have sufficient funds available to repurchase any units. Pursuant to the Amended Partnership Agreement, the Partnership has no obligation to repurchase any Units presented to the extent it determines that it has insufficient funds for such purchases.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96" w:right="239" w:bottom="1440" w:gutter="0" w:footer="0" w:header="0"/>
        </w:sectPr>
      </w:pPr>
    </w:p>
    <w:bookmarkStart w:id="11" w:name="page12"/>
    <w:bookmarkEnd w:id="1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Commodity Risk</w:t>
      </w:r>
    </w:p>
    <w:p>
      <w:pPr>
        <w:spacing w:after="0" w:line="121"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Partnership’s major market risk exposure is in the pricing applicable to its oil and gas production. Realized pricing is primarily driven by the prevailing worldwide price for crude oil and spot prices applicable to its natural gas production. Prices received for the Partnership’s crude oil, natural gas, and NGLs have historically been and continue to be very volatile because of unpredictable events such as economic growth or retraction, weather, political climate, and global supply and demand. The Partnership did not use derivative financial instruments or otherwise engage in hedging activities during the first three months of 2016 or 2015.</w:t>
      </w:r>
    </w:p>
    <w:p>
      <w:pPr>
        <w:spacing w:after="0" w:line="18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“Commodity Risk” in Item 7A of the Partnership’s Form 10-K for the year ended December 31, 2015, is incorporated by reference. Information about market risks for the current quarter is not materially different.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Controls and Procedures</w:t>
      </w:r>
    </w:p>
    <w:p>
      <w:pPr>
        <w:spacing w:after="0" w:line="12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John J. Christmann IV, the Managing Partner’s Chief Executive Officer and President (in his capacity as principal executive officer), and Stephen J. Riney, the Managing Partner’s Executive Vice President and Chief Financial Officer (in his capacity as principal financial officer), evaluated the effectiveness of the Partnership’s disclosure controls and procedures as of March 31, 2016, the end of the period covered by this report. Based on that evaluation and as of the date of that evaluation, these officers concluded that the Partnership’s disclosure controls and procedures were effective, providing effective means to ensure that the information it is required to disclose under applicable laws and regulations is recorded, processed, summarized and reported within the time periods specified under the Commission’s rules and forms and communicated to our management, including the Managing Partner’s principal executive officer and principal financial officer,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121"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controls over financial reporting during the period covered by this quarterly report on Form 10-Q that materially affected, or is reasonably likely to materially affect, our internal controls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576" w:right="279" w:bottom="1440" w:gutter="0" w:footer="0" w:header="0"/>
        </w:sectPr>
      </w:pPr>
    </w:p>
    <w:bookmarkStart w:id="12" w:name="page13"/>
    <w:bookmarkEnd w:id="1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left="1300" w:right="6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2016, there were no material changes from the risk factors as previously disclosed in the Partnership’s Form 10-K for the year ended December 31, 2015.</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IN SECURITIES AND USE OF PROCEEDS</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ind w:left="580"/>
        <w:spacing w:after="0"/>
        <w:tabs>
          <w:tab w:leader="none" w:pos="8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Exhibits</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Partnership Agreement of Apache Offshore Investment Partnership (incorporated by reference to Exhibit (3)(i) to Form 10 filed by</w:t>
            </w:r>
          </w:p>
        </w:tc>
      </w:tr>
      <w:tr>
        <w:trPr>
          <w:trHeight w:val="234"/>
        </w:trPr>
        <w:tc>
          <w:tcPr>
            <w:tcW w:w="1000" w:type="dxa"/>
            <w:vAlign w:val="bottom"/>
          </w:tcPr>
          <w:p>
            <w:pPr>
              <w:spacing w:after="0"/>
              <w:rPr>
                <w:sz w:val="20"/>
                <w:szCs w:val="20"/>
                <w:color w:val="auto"/>
              </w:rPr>
            </w:pP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Partnership with the Commission on April 30, 1985, Commission File No. 0-13546).</w:t>
            </w:r>
          </w:p>
        </w:tc>
      </w:tr>
      <w:tr>
        <w:trPr>
          <w:trHeight w:val="252"/>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*3.2</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No. 1, dated February 11, 1994, to the Partnership Agreement of Apache Offshore Investment Partnership (incorporated by</w:t>
            </w:r>
          </w:p>
        </w:tc>
      </w:tr>
      <w:tr>
        <w:trPr>
          <w:trHeight w:val="216"/>
        </w:trPr>
        <w:tc>
          <w:tcPr>
            <w:tcW w:w="1000" w:type="dxa"/>
            <w:vAlign w:val="bottom"/>
          </w:tcPr>
          <w:p>
            <w:pPr>
              <w:spacing w:after="0"/>
              <w:rPr>
                <w:sz w:val="18"/>
                <w:szCs w:val="18"/>
                <w:color w:val="auto"/>
              </w:rPr>
            </w:pP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reference to Exhibit 3.3 to Partnership’s Annual Report on Form 10-K for the year ended December 31, 1993, Commission File No. 0-</w:t>
            </w:r>
          </w:p>
        </w:tc>
      </w:tr>
      <w:tr>
        <w:trPr>
          <w:trHeight w:val="234"/>
        </w:trPr>
        <w:tc>
          <w:tcPr>
            <w:tcW w:w="1000" w:type="dxa"/>
            <w:vAlign w:val="bottom"/>
          </w:tcPr>
          <w:p>
            <w:pPr>
              <w:spacing w:after="0"/>
              <w:rPr>
                <w:sz w:val="20"/>
                <w:szCs w:val="20"/>
                <w:color w:val="auto"/>
              </w:rPr>
            </w:pP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13546).</w:t>
            </w:r>
          </w:p>
        </w:tc>
      </w:tr>
      <w:tr>
        <w:trPr>
          <w:trHeight w:val="252"/>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*3.3</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Limited Partnership Agreement of Apache Offshore Petroleum Limited Partnership (incorporated by reference to Exhibit (3)(ii) to Form 10</w:t>
            </w:r>
          </w:p>
        </w:tc>
      </w:tr>
      <w:tr>
        <w:trPr>
          <w:trHeight w:val="234"/>
        </w:trPr>
        <w:tc>
          <w:tcPr>
            <w:tcW w:w="1000" w:type="dxa"/>
            <w:vAlign w:val="bottom"/>
          </w:tcPr>
          <w:p>
            <w:pPr>
              <w:spacing w:after="0"/>
              <w:rPr>
                <w:sz w:val="20"/>
                <w:szCs w:val="20"/>
                <w:color w:val="auto"/>
              </w:rPr>
            </w:pP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by Partnership with the Commission on April 30, 1985, Commission File No. 0-13546).</w:t>
            </w:r>
          </w:p>
        </w:tc>
      </w:tr>
      <w:tr>
        <w:trPr>
          <w:trHeight w:val="270"/>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**31.1</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(pursuant to Rule 13a-14(a) or Rule 15d-14(a) of the Exchange Act) by Principal Executive Officer</w:t>
            </w:r>
          </w:p>
        </w:tc>
      </w:tr>
      <w:tr>
        <w:trPr>
          <w:trHeight w:val="270"/>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**31.2</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(pursuant to Rule 13a-14(a) or Rule 15d-14(a) of the Exchange Act) by Principal Financial Officer</w:t>
            </w:r>
          </w:p>
        </w:tc>
      </w:tr>
      <w:tr>
        <w:trPr>
          <w:trHeight w:val="270"/>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**32.1</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1350 Certification (pursuant to Sarbanes-Oxley Section 906) by Principal Executive Officer and Principal Financial Officer</w:t>
            </w:r>
          </w:p>
        </w:tc>
      </w:tr>
      <w:tr>
        <w:trPr>
          <w:trHeight w:val="270"/>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**101.SCH</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XBRLTaxonomy Schema Document.</w:t>
            </w:r>
          </w:p>
        </w:tc>
      </w:tr>
      <w:tr>
        <w:trPr>
          <w:trHeight w:val="270"/>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**101.CAL</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XBRLCalculation Linkbase Document.</w:t>
            </w:r>
          </w:p>
        </w:tc>
      </w:tr>
      <w:tr>
        <w:trPr>
          <w:trHeight w:val="270"/>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XBRLDefinition Linkbase Document.</w:t>
            </w:r>
          </w:p>
        </w:tc>
      </w:tr>
      <w:tr>
        <w:trPr>
          <w:trHeight w:val="270"/>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**101.LAB</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XBRLLabel Linkbase Document.</w:t>
            </w:r>
          </w:p>
        </w:tc>
      </w:tr>
      <w:tr>
        <w:trPr>
          <w:trHeight w:val="270"/>
        </w:trPr>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XBRLPresentation Linkbase Document.</w:t>
            </w:r>
          </w:p>
        </w:tc>
      </w:tr>
    </w:tbl>
    <w:p>
      <w:pPr>
        <w:spacing w:after="0" w:line="9" w:lineRule="exact"/>
        <w:rPr>
          <w:sz w:val="20"/>
          <w:szCs w:val="20"/>
          <w:color w:val="auto"/>
        </w:rPr>
      </w:pPr>
    </w:p>
    <w:p>
      <w:pPr>
        <w:ind w:right="8660" w:firstLine="8"/>
        <w:spacing w:after="0" w:line="282" w:lineRule="auto"/>
        <w:tabs>
          <w:tab w:leader="none" w:pos="2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 Filed herewith.</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40"/>
          </w:cols>
          <w:pgMar w:left="240" w:top="1009"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APACHE OFFSHORE INVESTMENT PARTNERSHIP</w:t>
            </w:r>
          </w:p>
        </w:tc>
      </w:tr>
      <w:tr>
        <w:trPr>
          <w:trHeight w:val="270"/>
        </w:trPr>
        <w:tc>
          <w:tcPr>
            <w:tcW w:w="70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Apache Corporation, Managing Partner</w:t>
            </w:r>
          </w:p>
        </w:tc>
      </w:tr>
      <w:tr>
        <w:trPr>
          <w:trHeight w:val="59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5, 2016</w:t>
            </w: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Stephen J. Riney</w:t>
            </w:r>
          </w:p>
        </w:tc>
      </w:tr>
      <w:tr>
        <w:trPr>
          <w:trHeight w:val="27"/>
        </w:trPr>
        <w:tc>
          <w:tcPr>
            <w:tcW w:w="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J. Riney</w:t>
            </w:r>
          </w:p>
        </w:tc>
      </w:tr>
      <w:tr>
        <w:trPr>
          <w:trHeight w:val="270"/>
        </w:trPr>
        <w:tc>
          <w:tcPr>
            <w:tcW w:w="70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70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of Apache Corporation,</w:t>
            </w:r>
          </w:p>
        </w:tc>
      </w:tr>
      <w:tr>
        <w:trPr>
          <w:trHeight w:val="270"/>
        </w:trPr>
        <w:tc>
          <w:tcPr>
            <w:tcW w:w="70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59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5, 2016</w:t>
            </w: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Rebecca A. Hoyt</w:t>
            </w:r>
          </w:p>
        </w:tc>
      </w:tr>
      <w:tr>
        <w:trPr>
          <w:trHeight w:val="27"/>
        </w:trPr>
        <w:tc>
          <w:tcPr>
            <w:tcW w:w="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Rebecca A. Hoyt</w:t>
            </w:r>
          </w:p>
        </w:tc>
      </w:tr>
      <w:tr>
        <w:trPr>
          <w:trHeight w:val="270"/>
        </w:trPr>
        <w:tc>
          <w:tcPr>
            <w:tcW w:w="70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tc>
      </w:tr>
    </w:tbl>
    <w:p>
      <w:pPr>
        <w:spacing w:after="0" w:line="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and Controller (principal accounting officer)</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of Apache Corporation, Managing Partner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6" w:right="2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Christmann IV, certify that:</w:t>
      </w:r>
    </w:p>
    <w:p>
      <w:pPr>
        <w:spacing w:after="0" w:line="171" w:lineRule="exact"/>
        <w:rPr>
          <w:sz w:val="20"/>
          <w:szCs w:val="20"/>
          <w:color w:val="auto"/>
        </w:rPr>
      </w:pPr>
    </w:p>
    <w:p>
      <w:pPr>
        <w:ind w:left="260" w:hanging="225"/>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Apache Offshore Investment Partnership;</w:t>
      </w:r>
    </w:p>
    <w:p>
      <w:pPr>
        <w:spacing w:after="0" w:line="63" w:lineRule="exact"/>
        <w:rPr>
          <w:rFonts w:ascii="Times New Roman" w:cs="Times New Roman" w:eastAsia="Times New Roman" w:hAnsi="Times New Roman"/>
          <w:sz w:val="18"/>
          <w:szCs w:val="18"/>
          <w:color w:val="auto"/>
        </w:rPr>
      </w:pPr>
    </w:p>
    <w:p>
      <w:pPr>
        <w:ind w:left="260" w:right="180" w:hanging="225"/>
        <w:spacing w:after="0" w:line="281"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260" w:right="640" w:hanging="225"/>
        <w:spacing w:after="0" w:line="281"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260" w:right="120" w:hanging="225"/>
        <w:spacing w:after="0" w:line="266"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720" w:right="480" w:hanging="455"/>
        <w:spacing w:after="0" w:line="266" w:lineRule="auto"/>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720" w:right="180" w:hanging="455"/>
        <w:spacing w:after="0" w:line="266" w:lineRule="auto"/>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jc w:val="both"/>
        <w:ind w:left="720" w:right="960" w:hanging="455"/>
        <w:spacing w:after="0" w:line="281" w:lineRule="auto"/>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720" w:right="40" w:hanging="455"/>
        <w:spacing w:after="0" w:line="266" w:lineRule="auto"/>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260" w:right="580" w:hanging="225"/>
        <w:spacing w:after="0" w:line="281"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720" w:right="380" w:hanging="455"/>
        <w:spacing w:after="0" w:line="281" w:lineRule="auto"/>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720" w:right="340" w:hanging="455"/>
        <w:spacing w:after="0" w:line="282" w:lineRule="auto"/>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9192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J. Christmann IV</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 of Apache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Corporation, Managing Partner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5, 2016</w:t>
      </w:r>
    </w:p>
    <w:p>
      <w:pPr>
        <w:sectPr>
          <w:pgSz w:w="11900" w:h="16838" w:orient="portrait"/>
          <w:cols w:equalWidth="0" w:num="1">
            <w:col w:w="11420"/>
          </w:cols>
          <w:pgMar w:left="240" w:top="576" w:right="2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J. Riney, certify that:</w:t>
      </w:r>
    </w:p>
    <w:p>
      <w:pPr>
        <w:spacing w:after="0" w:line="171" w:lineRule="exact"/>
        <w:rPr>
          <w:sz w:val="20"/>
          <w:szCs w:val="20"/>
          <w:color w:val="auto"/>
        </w:rPr>
      </w:pPr>
    </w:p>
    <w:p>
      <w:pPr>
        <w:ind w:left="260" w:hanging="225"/>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Apache Offshore Investment Partnership;</w:t>
      </w:r>
    </w:p>
    <w:p>
      <w:pPr>
        <w:spacing w:after="0" w:line="63" w:lineRule="exact"/>
        <w:rPr>
          <w:rFonts w:ascii="Times New Roman" w:cs="Times New Roman" w:eastAsia="Times New Roman" w:hAnsi="Times New Roman"/>
          <w:sz w:val="18"/>
          <w:szCs w:val="18"/>
          <w:color w:val="auto"/>
        </w:rPr>
      </w:pPr>
    </w:p>
    <w:p>
      <w:pPr>
        <w:ind w:left="260" w:right="180" w:hanging="225"/>
        <w:spacing w:after="0" w:line="281"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260" w:right="640" w:hanging="225"/>
        <w:spacing w:after="0" w:line="281"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260" w:right="120" w:hanging="225"/>
        <w:spacing w:after="0" w:line="266"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720" w:right="480" w:hanging="455"/>
        <w:spacing w:after="0" w:line="266" w:lineRule="auto"/>
        <w:tabs>
          <w:tab w:leader="none" w:pos="7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720" w:right="180" w:hanging="455"/>
        <w:spacing w:after="0" w:line="266" w:lineRule="auto"/>
        <w:tabs>
          <w:tab w:leader="none" w:pos="7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jc w:val="both"/>
        <w:ind w:left="720" w:right="960" w:hanging="455"/>
        <w:spacing w:after="0" w:line="281" w:lineRule="auto"/>
        <w:tabs>
          <w:tab w:leader="none" w:pos="7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720" w:right="40" w:hanging="455"/>
        <w:spacing w:after="0" w:line="266" w:lineRule="auto"/>
        <w:tabs>
          <w:tab w:leader="none" w:pos="7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260" w:right="580" w:hanging="225"/>
        <w:spacing w:after="0" w:line="281"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720" w:right="380" w:hanging="455"/>
        <w:spacing w:after="0" w:line="281" w:lineRule="auto"/>
        <w:tabs>
          <w:tab w:leader="none" w:pos="7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720" w:right="340" w:hanging="455"/>
        <w:spacing w:after="0" w:line="282" w:lineRule="auto"/>
        <w:tabs>
          <w:tab w:leader="none" w:pos="7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9192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Stephen J. Riney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 of Apache Corporation,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Managing Partner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5, 2016</w:t>
      </w:r>
    </w:p>
    <w:p>
      <w:pPr>
        <w:sectPr>
          <w:pgSz w:w="11900" w:h="16838" w:orient="portrait"/>
          <w:cols w:equalWidth="0" w:num="1">
            <w:col w:w="11420"/>
          </w:cols>
          <w:pgMar w:left="240" w:top="576" w:right="2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APACHE OFFSHORE INVESTMENT PARTNERSHIP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Apache Corporation, Managing Partner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Principal Financial Officer</w:t>
      </w:r>
    </w:p>
    <w:p>
      <w:pPr>
        <w:spacing w:after="0" w:line="207"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 John J. Christmann IV, certify pursuant to 18 U.S.C. Section 1350, as adopted pursuant to Section 906 of the Sarbanes-Oxley Act of 2002, that, to my knowledge, the quarterly report on Form 10-Q of Apache Offshore Investment Partnership for the quarterly period ending March 31, 2016, fully complies with the requirements of Section 13(a) or 15(d) of the Securities Exchange Act of 1934 (15 U.S.C. §78m or §78o (d)) and that information contained in such report fairly represents, in all material respects, the financial condition and results of operations of Apache Offshore Investment Partnership.</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963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J. Christmann IV</w:t>
      </w:r>
    </w:p>
    <w:p>
      <w:pPr>
        <w:spacing w:after="0" w:line="75" w:lineRule="exact"/>
        <w:rPr>
          <w:sz w:val="20"/>
          <w:szCs w:val="20"/>
          <w:color w:val="auto"/>
        </w:rPr>
      </w:pPr>
    </w:p>
    <w:p>
      <w:pPr>
        <w:sectPr>
          <w:pgSz w:w="11900" w:h="16838" w:orient="portrait"/>
          <w:cols w:equalWidth="0" w:num="2">
            <w:col w:w="300" w:space="660"/>
            <w:col w:w="10460"/>
          </w:cols>
          <w:pgMar w:left="240" w:top="576"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Executive Officer and President</w:t>
      </w:r>
    </w:p>
    <w:p>
      <w:pPr>
        <w:spacing w:after="0" w:line="75" w:lineRule="exact"/>
        <w:rPr>
          <w:sz w:val="20"/>
          <w:szCs w:val="20"/>
          <w:color w:val="auto"/>
        </w:rPr>
      </w:pPr>
    </w:p>
    <w:p>
      <w:pPr>
        <w:sectPr>
          <w:pgSz w:w="11900" w:h="16838" w:orient="portrait"/>
          <w:cols w:equalWidth="0" w:num="2">
            <w:col w:w="420" w:space="540"/>
            <w:col w:w="10460"/>
          </w:cols>
          <w:pgMar w:left="240" w:top="576" w:right="2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7"/>
          <w:szCs w:val="17"/>
          <w:color w:val="auto"/>
        </w:rPr>
        <w:t>(principal executive officer) of Apache</w:t>
      </w:r>
    </w:p>
    <w:p>
      <w:pPr>
        <w:spacing w:after="0" w:line="7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Corporation, Managing Partner</w:t>
      </w:r>
    </w:p>
    <w:p>
      <w:pPr>
        <w:sectPr>
          <w:pgSz w:w="11900" w:h="16838" w:orient="portrait"/>
          <w:cols w:equalWidth="0" w:num="1">
            <w:col w:w="11420"/>
          </w:cols>
          <w:pgMar w:left="240" w:top="576" w:right="239" w:bottom="1440" w:gutter="0" w:footer="0" w:header="0"/>
          <w:type w:val="continuous"/>
        </w:sect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5, 2016</w:t>
      </w:r>
    </w:p>
    <w:p>
      <w:pPr>
        <w:spacing w:after="0" w:line="200" w:lineRule="exact"/>
        <w:rPr>
          <w:sz w:val="20"/>
          <w:szCs w:val="20"/>
          <w:color w:val="auto"/>
        </w:rPr>
      </w:pPr>
    </w:p>
    <w:p>
      <w:pPr>
        <w:sectPr>
          <w:pgSz w:w="11900" w:h="16838" w:orient="portrait"/>
          <w:cols w:equalWidth="0" w:num="2">
            <w:col w:w="420" w:space="540"/>
            <w:col w:w="10460"/>
          </w:cols>
          <w:pgMar w:left="240" w:top="576" w:right="239" w:bottom="1440" w:gutter="0" w:footer="0" w:header="0"/>
          <w:type w:val="continuous"/>
        </w:sectPr>
      </w:pPr>
    </w:p>
    <w:p>
      <w:pPr>
        <w:spacing w:after="0" w:line="6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 Stephen J. Riney, certify pursuant to 18 U.S.C. Section 1350, as adopted pursuant to Section 906 of the Sarbanes-Oxley Act of 2002, that, to my knowledge, the quarterly report on Form 10-Q of Apache Offshore Investment Partnership for the quarterly period ending March 31, 2016, fully complies with the requirements of Section 13(a) or 15(d) of the Securities Exchange Act of 1934 (15 U.S.C. §78m or §78o (d)) and that information contained in such report fairly represents, in all material respects, the financial condition and results of operations of Apache Offshore Investment Partnership.</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963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Stephen J. Riney</w:t>
      </w:r>
    </w:p>
    <w:p>
      <w:pPr>
        <w:spacing w:after="0" w:line="75" w:lineRule="exact"/>
        <w:rPr>
          <w:sz w:val="20"/>
          <w:szCs w:val="20"/>
          <w:color w:val="auto"/>
        </w:rPr>
      </w:pPr>
    </w:p>
    <w:p>
      <w:pPr>
        <w:sectPr>
          <w:pgSz w:w="11900" w:h="16838" w:orient="portrait"/>
          <w:cols w:equalWidth="0" w:num="2">
            <w:col w:w="300" w:space="660"/>
            <w:col w:w="10460"/>
          </w:cols>
          <w:pgMar w:left="240" w:top="576"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75" w:lineRule="exact"/>
        <w:rPr>
          <w:sz w:val="20"/>
          <w:szCs w:val="20"/>
          <w:color w:val="auto"/>
        </w:rPr>
      </w:pPr>
    </w:p>
    <w:p>
      <w:pPr>
        <w:sectPr>
          <w:pgSz w:w="11900" w:h="16838" w:orient="portrait"/>
          <w:cols w:equalWidth="0" w:num="2">
            <w:col w:w="420" w:space="540"/>
            <w:col w:w="10460"/>
          </w:cols>
          <w:pgMar w:left="240" w:top="576" w:right="2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7"/>
          <w:szCs w:val="17"/>
          <w:color w:val="auto"/>
        </w:rPr>
        <w:t>(principal financial officer) of Apache Corporation,</w:t>
      </w:r>
    </w:p>
    <w:p>
      <w:pPr>
        <w:spacing w:after="0" w:line="7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Managing Partner</w:t>
      </w:r>
    </w:p>
    <w:p>
      <w:pPr>
        <w:sectPr>
          <w:pgSz w:w="11900" w:h="16838" w:orient="portrait"/>
          <w:cols w:equalWidth="0" w:num="1">
            <w:col w:w="11420"/>
          </w:cols>
          <w:pgMar w:left="240" w:top="576" w:right="239" w:bottom="1440" w:gutter="0" w:footer="0" w:header="0"/>
          <w:type w:val="continuous"/>
        </w:sect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5, 2016</w:t>
      </w:r>
    </w:p>
    <w:sectPr>
      <w:pgSz w:w="11900" w:h="16838" w:orient="portrait"/>
      <w:cols w:equalWidth="0" w:num="2">
        <w:col w:w="420" w:space="540"/>
        <w:col w:w="10460"/>
      </w:cols>
      <w:pgMar w:left="240" w:top="5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2019-12-05T16:19:48Z</dcterms:created>
  <dcterms:modified xsi:type="dcterms:W3CDTF">2019-12-05T16:19:48Z</dcterms:modified>
</cp:coreProperties>
</file>