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120" w:after="283"/>
        <w:jc w:val="center"/>
        <w:rPr/>
      </w:pPr>
      <w:r>
        <w:rPr>
          <w:rFonts w:ascii="Times New Roman;serif" w:hAnsi="Times New Roman;serif"/>
          <w:b/>
          <w:color w:val="000000"/>
          <w:sz w:val="32"/>
        </w:rPr>
        <w:t>FORM 10-Q</w:t>
      </w:r>
      <w:r>
        <w:rPr>
          <w:color w:val="000000"/>
        </w:rPr>
        <w:t> </w:t>
      </w:r>
    </w:p>
    <w:p>
      <w:pPr>
        <w:pStyle w:val="TextBody"/>
        <w:bidi w:val="0"/>
        <w:spacing w:lineRule="auto" w:line="288" w:before="0" w:after="0"/>
        <w:jc w:val="left"/>
        <w:rPr/>
      </w:pPr>
      <w:r>
        <w:rPr>
          <w:rFonts w:ascii="Times New Roman;serif" w:hAnsi="Times New Roman;serif"/>
          <w:b w:val="false"/>
          <w:color w:val="000000"/>
          <w:sz w:val="16"/>
        </w:rPr>
        <w:t>(Mark One) </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_________ to _________</w:t>
      </w:r>
    </w:p>
    <w:p>
      <w:pPr>
        <w:pStyle w:val="TextBody"/>
        <w:bidi w:val="0"/>
        <w:spacing w:lineRule="auto" w:line="288" w:before="60" w:after="283"/>
        <w:jc w:val="center"/>
        <w:rPr/>
      </w:pPr>
      <w:r>
        <w:rPr>
          <w:rFonts w:ascii="Times New Roman;serif" w:hAnsi="Times New Roman;serif"/>
          <w:b w:val="false"/>
          <w:color w:val="000000"/>
          <w:sz w:val="18"/>
        </w:rPr>
        <w:t>Commission File Number:</w:t>
      </w:r>
      <w:r>
        <w:rPr>
          <w:color w:val="000000"/>
        </w:rPr>
        <w:t xml:space="preserve"> </w:t>
      </w:r>
      <w:r>
        <w:rPr>
          <w:rFonts w:ascii="Times New Roman;serif" w:hAnsi="Times New Roman;serif"/>
          <w:b/>
          <w:color w:val="000000"/>
          <w:sz w:val="18"/>
        </w:rPr>
        <w:t xml:space="preserve">1-40144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035" w:type="dxa"/>
        <w:jc w:val="center"/>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2000 W. Sam Houston Pkwy. S., Suite 200, Houston, Texas 77042-3643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(713) 296-6000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046" w:type="dxa"/>
        <w:jc w:val="center"/>
        <w:tblInd w:w="0" w:type="dxa"/>
        <w:tblLayout w:type="fixed"/>
        <w:tblCellMar>
          <w:top w:w="28" w:type="dxa"/>
          <w:left w:w="28" w:type="dxa"/>
          <w:bottom w:w="28" w:type="dxa"/>
          <w:right w:w="28" w:type="dxa"/>
        </w:tblCellMar>
      </w:tblPr>
      <w:tblGrid>
        <w:gridCol w:w="962"/>
        <w:gridCol w:w="848"/>
        <w:gridCol w:w="859"/>
        <w:gridCol w:w="109"/>
        <w:gridCol w:w="109"/>
        <w:gridCol w:w="109"/>
        <w:gridCol w:w="484"/>
        <w:gridCol w:w="484"/>
        <w:gridCol w:w="486"/>
        <w:gridCol w:w="109"/>
        <w:gridCol w:w="109"/>
        <w:gridCol w:w="109"/>
        <w:gridCol w:w="956"/>
        <w:gridCol w:w="956"/>
        <w:gridCol w:w="1357"/>
      </w:tblGrid>
      <w:tr>
        <w:trPr/>
        <w:tc>
          <w:tcPr>
            <w:tcW w:w="96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Texas, LLC</w:t>
            </w:r>
          </w:p>
        </w:tc>
      </w:tr>
    </w:tbl>
    <w:p>
      <w:pPr>
        <w:pStyle w:val="TextBody"/>
        <w:bidi w:val="0"/>
        <w:spacing w:lineRule="auto" w:line="288" w:before="6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25"/>
        <w:gridCol w:w="125"/>
        <w:gridCol w:w="126"/>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tbl>
      <w:tblPr>
        <w:tblW w:w="6994" w:type="dxa"/>
        <w:jc w:val="left"/>
        <w:tblInd w:w="0" w:type="dxa"/>
        <w:tblLayout w:type="fixed"/>
        <w:tblCellMar>
          <w:top w:w="28" w:type="dxa"/>
          <w:left w:w="28" w:type="dxa"/>
          <w:bottom w:w="28" w:type="dxa"/>
          <w:right w:w="28" w:type="dxa"/>
        </w:tblCellMar>
      </w:tblPr>
      <w:tblGrid>
        <w:gridCol w:w="2093"/>
        <w:gridCol w:w="1842"/>
        <w:gridCol w:w="1854"/>
        <w:gridCol w:w="525"/>
        <w:gridCol w:w="526"/>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Number of shares of registrant’s common stock outstanding as of July 31, 2026</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350,351,510 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5"/>
        <w:gridCol w:w="162"/>
        <w:gridCol w:w="164"/>
        <w:gridCol w:w="2951"/>
        <w:gridCol w:w="2919"/>
        <w:gridCol w:w="2924"/>
        <w:gridCol w:w="109"/>
        <w:gridCol w:w="109"/>
        <w:gridCol w:w="109"/>
        <w:gridCol w:w="167"/>
        <w:gridCol w:w="167"/>
        <w:gridCol w:w="23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Item</w:t>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PART I</w:t>
            </w:r>
            <w:r>
              <w:rPr>
                <w:color w:val="000000"/>
              </w:rPr>
              <w:t xml:space="preserve"> </w:t>
            </w:r>
            <w:r>
              <w:rPr>
                <w:rFonts w:ascii="Times New Roman;serif" w:hAnsi="Times New Roman;serif"/>
                <w:b/>
                <w:color w:val="000000"/>
                <w:sz w:val="20"/>
              </w:rPr>
              <w:t>-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9">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9">
              <w:r>
                <w:rPr>
                  <w:rStyle w:val="InternetLink"/>
                  <w:rFonts w:ascii="Times New Roman;serif" w:hAnsi="Times New Roman;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23a0b5f0fcfa44ac92a7ab8de8bfc70d_22">
              <w:r>
                <w:rPr>
                  <w:rStyle w:val="InternetLink"/>
                  <w:rFonts w:ascii="Times New Roman;serif" w:hAnsi="Times New Roman;serif"/>
                  <w:b w:val="false"/>
                  <w:color w:val="0000FF"/>
                  <w:sz w:val="20"/>
                  <w:u w:val="single"/>
                </w:rPr>
                <w:t>STATEMENT OF CONSOLIDATED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22">
              <w:r>
                <w:rPr>
                  <w:rStyle w:val="InternetLink"/>
                  <w:rFonts w:ascii="Times New Roman;serif" w:hAnsi="Times New Roman;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23a0b5f0fcfa44ac92a7ab8de8bfc70d_25">
              <w:r>
                <w:rPr>
                  <w:rStyle w:val="InternetLink"/>
                  <w:rFonts w:ascii="Times New Roman;serif" w:hAnsi="Times New Roman;serif"/>
                  <w:b w:val="false"/>
                  <w:color w:val="0000FF"/>
                  <w:sz w:val="20"/>
                  <w:u w:val="single"/>
                </w:rPr>
                <w:t>STATEMENT OF CONSOLIDATED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25">
              <w:r>
                <w:rPr>
                  <w:rStyle w:val="InternetLink"/>
                  <w:rFonts w:ascii="Times New Roman;serif" w:hAnsi="Times New Roman;serif"/>
                  <w:b w:val="false"/>
                  <w:color w:val="0000FF"/>
                  <w:sz w:val="20"/>
                  <w:u w:val="single"/>
                </w:rPr>
                <w:t>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23a0b5f0fcfa44ac92a7ab8de8bfc70d_28">
              <w:r>
                <w:rPr>
                  <w:rStyle w:val="InternetLink"/>
                  <w:rFonts w:ascii="Times New Roman;serif" w:hAnsi="Times New Roman;serif"/>
                  <w:b w:val="false"/>
                  <w:color w:val="0000FF"/>
                  <w:sz w:val="20"/>
                  <w:u w:val="single"/>
                </w:rPr>
                <w:t>STATEMENT OF CONSOLIDATED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28">
              <w:r>
                <w:rPr>
                  <w:rStyle w:val="InternetLink"/>
                  <w:rFonts w:ascii="Times New Roman;serif" w:hAnsi="Times New Roman;serif"/>
                  <w:b w:val="false"/>
                  <w:color w:val="0000FF"/>
                  <w:sz w:val="20"/>
                  <w:u w:val="single"/>
                </w:rPr>
                <w:t>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23a0b5f0fcfa44ac92a7ab8de8bfc70d_31">
              <w:r>
                <w:rPr>
                  <w:rStyle w:val="InternetLink"/>
                  <w:rFonts w:ascii="Times New Roman;serif" w:hAnsi="Times New Roman;serif"/>
                  <w:b w:val="false"/>
                  <w:color w:val="0000FF"/>
                  <w:sz w:val="20"/>
                  <w:u w:val="single"/>
                </w:rPr>
                <w:t>CONSOLIDATED BALANCE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31">
              <w:r>
                <w:rPr>
                  <w:rStyle w:val="InternetLink"/>
                  <w:rFonts w:ascii="Times New Roman;serif" w:hAnsi="Times New Roman;serif"/>
                  <w:b w:val="false"/>
                  <w:color w:val="0000FF"/>
                  <w:sz w:val="20"/>
                  <w:u w:val="single"/>
                </w:rPr>
                <w:t>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34">
              <w:r>
                <w:rPr>
                  <w:rStyle w:val="InternetLink"/>
                  <w:rFonts w:ascii="Times New Roman;serif" w:hAnsi="Times New Roman;serif"/>
                  <w:b w:val="false"/>
                  <w:color w:val="0000FF"/>
                  <w:sz w:val="20"/>
                  <w:u w:val="single"/>
                </w:rPr>
                <w:t>STATEMENT OF CONSOLIDATED CHANGES IN EQUITY AND NONCONTROLLING INTERESTS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34">
              <w:r>
                <w:rPr>
                  <w:rStyle w:val="InternetLink"/>
                  <w:rFonts w:ascii="Times New Roman;serif" w:hAnsi="Times New Roman;serif"/>
                  <w:b w:val="false"/>
                  <w:color w:val="0000FF"/>
                  <w:sz w:val="20"/>
                  <w:u w:val="single"/>
                </w:rPr>
                <w:t>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23a0b5f0fcfa44ac92a7ab8de8bfc70d_40">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40">
              <w:r>
                <w:rPr>
                  <w:rStyle w:val="InternetLink"/>
                  <w:rFonts w:ascii="Times New Roman;serif" w:hAnsi="Times New Roman;serif"/>
                  <w:b w:val="false"/>
                  <w:color w:val="0000FF"/>
                  <w:sz w:val="20"/>
                  <w:u w:val="single"/>
                </w:rPr>
                <w:t>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91">
              <w:r>
                <w:rPr>
                  <w:rStyle w:val="InternetLink"/>
                  <w:rFonts w:ascii="Times New Roman;serif" w:hAnsi="Times New Roman;serif"/>
                  <w:b w:val="false"/>
                  <w:color w:val="0000FF"/>
                  <w:sz w:val="20"/>
                  <w:u w:val="single"/>
                </w:rPr>
                <w:t>23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48">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48">
              <w:r>
                <w:rPr>
                  <w:rStyle w:val="InternetLink"/>
                  <w:rFonts w:ascii="Times New Roman;serif" w:hAnsi="Times New Roman;serif"/>
                  <w:b w:val="false"/>
                  <w:color w:val="0000FF"/>
                  <w:sz w:val="20"/>
                  <w:u w:val="single"/>
                </w:rPr>
                <w:t>35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51">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51">
              <w:r>
                <w:rPr>
                  <w:rStyle w:val="InternetLink"/>
                  <w:rFonts w:ascii="Times New Roman;serif" w:hAnsi="Times New Roman;serif"/>
                  <w:b w:val="false"/>
                  <w:color w:val="0000FF"/>
                  <w:sz w:val="20"/>
                  <w:u w:val="single"/>
                </w:rPr>
                <w:t>37</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PART II</w:t>
            </w:r>
            <w:r>
              <w:rPr>
                <w:color w:val="000000"/>
              </w:rPr>
              <w:t xml:space="preserve"> </w:t>
            </w:r>
            <w:r>
              <w:rPr>
                <w:rFonts w:ascii="Times New Roman;serif" w:hAnsi="Times New Roman;serif"/>
                <w:b/>
                <w:color w:val="000000"/>
                <w:sz w:val="20"/>
              </w:rPr>
              <w:t>-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57">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57">
              <w:r>
                <w:rPr>
                  <w:rStyle w:val="InternetLink"/>
                  <w:rFonts w:ascii="Times New Roman;serif" w:hAnsi="Times New Roman;serif"/>
                  <w:b w:val="false"/>
                  <w:color w:val="0000FF"/>
                  <w:sz w:val="20"/>
                  <w:u w:val="singl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1A.</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60">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60">
              <w:r>
                <w:rPr>
                  <w:rStyle w:val="InternetLink"/>
                  <w:rFonts w:ascii="Times New Roman;serif" w:hAnsi="Times New Roman;serif"/>
                  <w:b w:val="false"/>
                  <w:color w:val="0000FF"/>
                  <w:sz w:val="20"/>
                  <w:u w:val="singl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63">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63">
              <w:r>
                <w:rPr>
                  <w:rStyle w:val="InternetLink"/>
                  <w:rFonts w:ascii="Times New Roman;serif" w:hAnsi="Times New Roman;serif"/>
                  <w:b w:val="false"/>
                  <w:color w:val="0000FF"/>
                  <w:sz w:val="20"/>
                  <w:u w:val="singl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75">
              <w:r>
                <w:rPr>
                  <w:rStyle w:val="InternetLink"/>
                  <w:rFonts w:ascii="Times New Roman;serif" w:hAnsi="Times New Roman;serif"/>
                  <w:b w:val="false"/>
                  <w:color w:val="0000FF"/>
                  <w:sz w:val="20"/>
                  <w:u w:val="single"/>
                </w:rPr>
                <w:t>OTHER INFORMATION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75">
              <w:r>
                <w:rPr>
                  <w:rStyle w:val="InternetLink"/>
                  <w:rFonts w:ascii="Times New Roman;serif" w:hAnsi="Times New Roman;serif"/>
                  <w:b w:val="false"/>
                  <w:color w:val="0000FF"/>
                  <w:sz w:val="20"/>
                  <w:u w:val="singl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a0b5f0fcfa44ac92a7ab8de8bfc70d_178">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3a0b5f0fcfa44ac92a7ab8de8bfc70d_178">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 AND RISKS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anticipated savings (including estimated run-rate or annualized savings), debt repayments (including debt reduction targets and associated timelines), pending acquisitions, and plans and objectives of management for future operations and capital returns framework, are forward-looking statements. Such forward-looking statements are based on the Company’s examination of historical operating trends, the information that was used to prepare its estimate of proved reserves as of December 31, 2025, and other data in the Company’s possession or available from third parties. In addition, forward-looking statements generally can be identified by the use of forward-looking terminology such as “may,” “will,” “could,” “expect,” “intend,” “project,” “estimate,” “anticipate,” “plan,” “target,” “believe,” “continue,” “seek,” “guidance,” “goal,” “might,” “outlook,” “possibly,” “potential,” “predict,” “prospect,” “should,” “would,” or similar terminology or the negative of these terms,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local, regional, national, and international economic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and Company-realized prices of oil, natural gas, natural gas liquids (NGLs), and other products or services, including the prices received for natural gas purchased from third parties to sell and deliver to a U.S. LNG export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Company’s commodity hedging arrangements;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supply and demand for oil, natural gas, NGLs, and other products or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production and reserve levels;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drilling risks and rig activities, including oil- versus gas-focused drilling;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economic and competitive conditions, including market and macroeconomic disruptions resulting from trade tensions between the U.S. and other countries;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actions taken by foreign oil and gas producing nations, including the Organization of the Petroleum Exporting Countries (OPEC) and non-OPEC members that participate in OPEC initiatives (OPEC+), and the impact of any nation exiting OPEC;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and duration of armed conflicts, including those involving the United States, Iran, Russia, Ukraine, Israel, and other parties in the Middle East;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capital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capital expenditures and other contractual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asset retirement and decommissioning obligations, including changes to applicable regulatory and industry standards, the timing of related activities, and potential obligations to decommission previously owned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currency exchange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weather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inflation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tax legislation;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international or domestic trade policy changes, including tariffs, import/export controls, and sanctions;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goods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cyberattacks and terrorism;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political pressure and the influence of environmental groups and other stakeholders on decisions and policies related to the industries in which the Company and its affiliates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legislative, regulatory, or policy changes, including initiatives addressing the impact of global climate change or further regulating hydraulic fracturing, methane emissions, flaring, or water disposal;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liabilities, injunctive relief, corrective actions, or other adverse outcomes resulting from pending or future litigation, governmental investigations, regulatory proceedings, or alleged violations of laws, regulations, permits, or contractual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market-related risks, such as general credit, liquidity, and interest-rate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retain and hire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asset and entity acquisitions or divestitures, including the pending acquisition of Savant Alaska LLC, the expected closing thereof, and the anticipated benefits resulting therefrom;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integration of 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the Company’s Annual Report on Form 10-K for the fiscal year ended December 31,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risks and uncertainties disclosed in the Company’s second-quarter 2026 earnings release;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other factors disclosed under Part II, </w:t>
      </w:r>
      <w:hyperlink w:anchor="i23a0b5f0fcfa44ac92a7ab8de8bfc70d_160">
        <w:r>
          <w:rPr>
            <w:rStyle w:val="InternetLink"/>
            <w:rFonts w:ascii="Times New Roman;serif" w:hAnsi="Times New Roman;serif"/>
            <w:b w:val="false"/>
            <w:color w:val="0000FF"/>
            <w:sz w:val="20"/>
            <w:u w:val="single"/>
          </w:rPr>
          <w:t>Item 1A—Risk Factors</w:t>
        </w:r>
      </w:hyperlink>
      <w:r>
        <w:rPr>
          <w:color w:val="000000"/>
        </w:rPr>
        <w:t xml:space="preserve"> </w:t>
      </w:r>
      <w:r>
        <w:rPr>
          <w:rFonts w:ascii="Times New Roman;serif" w:hAnsi="Times New Roman;serif"/>
          <w:b w:val="false"/>
          <w:color w:val="000000"/>
          <w:sz w:val="20"/>
        </w:rPr>
        <w:t>of this Quarterly Report on Form 10-Q and the Company’s Quarterly Report on Form 10-Q for the quarter ended March 31, 2026;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disclosed in the other filings that the Company makes with the Securities and Exchange Commission.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DEFINITIONS</w:t>
      </w:r>
    </w:p>
    <w:p>
      <w:pPr>
        <w:pStyle w:val="TextBody"/>
        <w:bidi w:val="0"/>
        <w:spacing w:lineRule="auto" w:line="288" w:before="200" w:after="283"/>
        <w:ind w:left="0" w:right="0" w:firstLine="495"/>
        <w:jc w:val="both"/>
        <w:rPr>
          <w:rFonts w:ascii="Times New Roman;serif" w:hAnsi="Times New Roman;serif"/>
          <w:b w:val="false"/>
          <w:color w:val="212529"/>
          <w:sz w:val="20"/>
        </w:rPr>
      </w:pPr>
      <w:r>
        <w:rPr>
          <w:rFonts w:ascii="Times New Roman;serif" w:hAnsi="Times New Roman;serif"/>
          <w:b w:val="false"/>
          <w:color w:val="212529"/>
          <w:sz w:val="20"/>
        </w:rPr>
        <w:t>All defined terms under Rule 4-10(a) of Regulation S-X shall have their statutorily prescribed meanings when used in this Quarterly Report on Form 10-Q. As used herein:</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b/d” means barrels of oil or NGLs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bbl” or “bbls” means barrel or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bcf” means billion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bcf/d” means one bcf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boe” means barrel of oil equivalent, determined by using the ratio of one barrel of oil or NGLs to six Mcf of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boe/d” means boe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Btu” means a British thermal unit, a measure of heating value.</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liquids” means oil and NGLs.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LNG” means liquefied natural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Mb/d” means Mbbls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Mbbls” means thousand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Mboe” means thousand boe.</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Mboe/d” means Mboe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Mcf” means thousand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Mcf/d” means Mcf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MMbbls” means million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MMboe” means million boe.</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MMBtu” means million Btu.</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MMBtu/d” means MMBtu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MMcf” means million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MMcf/d” means MMcf per day.</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NGL” or “NGLs” means natural gas liquids, which are expressed in barrels.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NYMEX” means New York Mercantile Exchange.</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oil” includes crude oil and condensate.</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PUD” means proved undeveloped.</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SEC” means the United States Securities and Exchange Commission.</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Tcf” means trillion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U.K.” means United Kingdom.</w:t>
      </w:r>
    </w:p>
    <w:p>
      <w:pPr>
        <w:pStyle w:val="TextBody"/>
        <w:bidi w:val="0"/>
        <w:spacing w:lineRule="auto" w:line="288" w:before="120" w:after="283"/>
        <w:ind w:left="0" w:right="0" w:firstLine="495"/>
        <w:jc w:val="both"/>
        <w:rPr>
          <w:color w:val="212529"/>
        </w:rPr>
      </w:pPr>
      <w:r>
        <w:rPr>
          <w:color w:val="212529"/>
        </w:rPr>
        <w:t>“</w:t>
      </w:r>
      <w:r>
        <w:rPr>
          <w:rFonts w:ascii="Times New Roman;serif" w:hAnsi="Times New Roman;serif"/>
          <w:b w:val="false"/>
          <w:color w:val="212529"/>
          <w:sz w:val="20"/>
        </w:rPr>
        <w:t>U.S.” means United States.</w:t>
      </w:r>
    </w:p>
    <w:p>
      <w:pPr>
        <w:pStyle w:val="TextBody"/>
        <w:bidi w:val="0"/>
        <w:spacing w:lineRule="auto" w:line="288" w:before="200" w:after="283"/>
        <w:ind w:left="0" w:right="0" w:firstLine="495"/>
        <w:jc w:val="both"/>
        <w:rPr>
          <w:rFonts w:ascii="Times New Roman;serif" w:hAnsi="Times New Roman;serif"/>
          <w:b w:val="false"/>
          <w:color w:val="212529"/>
          <w:sz w:val="20"/>
        </w:rPr>
      </w:pPr>
      <w:r>
        <w:rPr>
          <w:rFonts w:ascii="Times New Roman;serif" w:hAnsi="Times New Roman;serif"/>
          <w:b w:val="false"/>
          <w:color w:val="212529"/>
          <w:sz w:val="20"/>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pStyle w:val="TextBody"/>
        <w:bidi w:val="0"/>
        <w:spacing w:lineRule="auto" w:line="288" w:before="200" w:after="283"/>
        <w:ind w:left="0" w:right="0" w:firstLine="495"/>
        <w:jc w:val="both"/>
        <w:rPr>
          <w:rFonts w:ascii="Times New Roman;serif" w:hAnsi="Times New Roman;serif"/>
          <w:b w:val="false"/>
          <w:color w:val="212529"/>
          <w:sz w:val="20"/>
        </w:rPr>
      </w:pPr>
      <w:r>
        <w:rPr>
          <w:rFonts w:ascii="Times New Roman;serif" w:hAnsi="Times New Roman;serif"/>
          <w:b w:val="false"/>
          <w:color w:val="212529"/>
          <w:sz w:val="20"/>
        </w:rPr>
        <w:t>References to “APA,” the “Company,” “we,” “us,” and “our” refer to APA Corporation and its consolidated subsidiaries, including Apache Corporation, unless otherwise specifically stated. References to “Apache” refer to Apache Corporation, the Company’s wholly owned subsidiary, and its consolidated subsidiaries, unless otherwise specifically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048"/>
        <w:gridCol w:w="1636"/>
        <w:gridCol w:w="1646"/>
        <w:gridCol w:w="109"/>
        <w:gridCol w:w="109"/>
        <w:gridCol w:w="109"/>
        <w:gridCol w:w="196"/>
        <w:gridCol w:w="556"/>
        <w:gridCol w:w="109"/>
        <w:gridCol w:w="109"/>
        <w:gridCol w:w="109"/>
        <w:gridCol w:w="109"/>
        <w:gridCol w:w="196"/>
        <w:gridCol w:w="556"/>
        <w:gridCol w:w="109"/>
        <w:gridCol w:w="109"/>
        <w:gridCol w:w="109"/>
        <w:gridCol w:w="109"/>
        <w:gridCol w:w="203"/>
        <w:gridCol w:w="576"/>
        <w:gridCol w:w="113"/>
        <w:gridCol w:w="113"/>
        <w:gridCol w:w="113"/>
        <w:gridCol w:w="113"/>
        <w:gridCol w:w="203"/>
        <w:gridCol w:w="576"/>
        <w:gridCol w:w="162"/>
      </w:tblGrid>
      <w:tr>
        <w:trPr/>
        <w:tc>
          <w:tcPr>
            <w:tcW w:w="2048"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Oil, natural gas, and natural gas liquids production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costs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290"/>
                <wp:effectExtent l="0" t="0" r="0" b="0"/>
                <wp:wrapNone/>
                <wp:docPr id="6" name="Frame6"/>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001"/>
        <w:gridCol w:w="1757"/>
        <w:gridCol w:w="1763"/>
        <w:gridCol w:w="109"/>
        <w:gridCol w:w="109"/>
        <w:gridCol w:w="109"/>
        <w:gridCol w:w="204"/>
        <w:gridCol w:w="439"/>
        <w:gridCol w:w="113"/>
        <w:gridCol w:w="113"/>
        <w:gridCol w:w="113"/>
        <w:gridCol w:w="113"/>
        <w:gridCol w:w="204"/>
        <w:gridCol w:w="439"/>
        <w:gridCol w:w="113"/>
        <w:gridCol w:w="109"/>
        <w:gridCol w:w="109"/>
        <w:gridCol w:w="109"/>
        <w:gridCol w:w="203"/>
        <w:gridCol w:w="577"/>
        <w:gridCol w:w="113"/>
        <w:gridCol w:w="113"/>
        <w:gridCol w:w="113"/>
        <w:gridCol w:w="113"/>
        <w:gridCol w:w="203"/>
        <w:gridCol w:w="577"/>
        <w:gridCol w:w="167"/>
      </w:tblGrid>
      <w:tr>
        <w:trPr/>
        <w:tc>
          <w:tcPr>
            <w:tcW w:w="200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INCLUDING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290"/>
                <wp:effectExtent l="0" t="0" r="0" b="0"/>
                <wp:wrapNone/>
                <wp:docPr id="7" name="Frame7"/>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231" w:type="dxa"/>
        <w:jc w:val="center"/>
        <w:tblInd w:w="0" w:type="dxa"/>
        <w:tblLayout w:type="fixed"/>
        <w:tblCellMar>
          <w:top w:w="28" w:type="dxa"/>
          <w:left w:w="28" w:type="dxa"/>
          <w:bottom w:w="28" w:type="dxa"/>
          <w:right w:w="28" w:type="dxa"/>
        </w:tblCellMar>
      </w:tblPr>
      <w:tblGrid>
        <w:gridCol w:w="2070"/>
        <w:gridCol w:w="1818"/>
        <w:gridCol w:w="1827"/>
        <w:gridCol w:w="109"/>
        <w:gridCol w:w="109"/>
        <w:gridCol w:w="109"/>
        <w:gridCol w:w="205"/>
        <w:gridCol w:w="581"/>
        <w:gridCol w:w="114"/>
        <w:gridCol w:w="114"/>
        <w:gridCol w:w="114"/>
        <w:gridCol w:w="114"/>
        <w:gridCol w:w="205"/>
        <w:gridCol w:w="581"/>
        <w:gridCol w:w="161"/>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derivative instrument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Exploratory dry hole expense and unproved leasehold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Drilling advances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charges and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credits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2,277 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upstream oil and gas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Leasehold and property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asset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(1,133)</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on commercial paper and revolving credit facilities,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Payments on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Fixed-rate debt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Payments on fixed-rate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 to APA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(1,914)</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SUPPLEMENTARY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290"/>
                <wp:effectExtent l="0" t="0" r="0" b="0"/>
                <wp:wrapNone/>
                <wp:docPr id="8" name="Frame8"/>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57"/>
        <w:gridCol w:w="2332"/>
        <w:gridCol w:w="2352"/>
        <w:gridCol w:w="109"/>
        <w:gridCol w:w="109"/>
        <w:gridCol w:w="109"/>
        <w:gridCol w:w="196"/>
        <w:gridCol w:w="646"/>
        <w:gridCol w:w="109"/>
        <w:gridCol w:w="109"/>
        <w:gridCol w:w="109"/>
        <w:gridCol w:w="109"/>
        <w:gridCol w:w="227"/>
        <w:gridCol w:w="750"/>
        <w:gridCol w:w="182"/>
      </w:tblGrid>
      <w:tr>
        <w:trPr/>
        <w:tc>
          <w:tcPr>
            <w:tcW w:w="2757"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data)</w:t>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of $125 and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current assets (</w:t>
            </w:r>
            <w:hyperlink w:anchor="i23a0b5f0fcfa44ac92a7ab8de8bfc70d_58">
              <w:r>
                <w:rPr>
                  <w:rStyle w:val="InternetLink"/>
                  <w:rFonts w:ascii="Times New Roman;serif" w:hAnsi="Times New Roman;serif"/>
                  <w:b w:val="false"/>
                  <w:color w:val="0000FF"/>
                  <w:sz w:val="18"/>
                  <w:u w:val="single"/>
                </w:rPr>
                <w:t>Note 5</w:t>
              </w:r>
            </w:hyperlink>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transmission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12,748 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Deferred tax asset (</w:t>
            </w:r>
            <w:hyperlink w:anchor="i23a0b5f0fcfa44ac92a7ab8de8bfc70d_76">
              <w:r>
                <w:rPr>
                  <w:rStyle w:val="InternetLink"/>
                  <w:rFonts w:ascii="Times New Roman;serif" w:hAnsi="Times New Roman;serif"/>
                  <w:b w:val="false"/>
                  <w:color w:val="0000FF"/>
                  <w:sz w:val="18"/>
                  <w:u w:val="single"/>
                </w:rPr>
                <w:t>Note 9</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 NONCONTROLLING INTERESTS,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current liabilities (</w:t>
            </w:r>
            <w:hyperlink w:anchor="i23a0b5f0fcfa44ac92a7ab8de8bfc70d_64">
              <w:r>
                <w:rPr>
                  <w:rStyle w:val="InternetLink"/>
                  <w:rFonts w:ascii="Times New Roman;serif" w:hAnsi="Times New Roman;serif"/>
                  <w:b w:val="false"/>
                  <w:color w:val="0000FF"/>
                  <w:sz w:val="18"/>
                  <w:u w:val="single"/>
                </w:rPr>
                <w:t>Note 6</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LONG-TERM DEBT (</w:t>
            </w:r>
            <w:hyperlink w:anchor="i23a0b5f0fcfa44ac92a7ab8de8bfc70d_70">
              <w:r>
                <w:rPr>
                  <w:rStyle w:val="InternetLink"/>
                  <w:rFonts w:ascii="Times New Roman;serif" w:hAnsi="Times New Roman;serif"/>
                  <w:b w:val="false"/>
                  <w:color w:val="0000FF"/>
                  <w:sz w:val="18"/>
                  <w:u w:val="single"/>
                </w:rPr>
                <w:t>Note 8</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Asset retirement obligation (</w:t>
            </w:r>
            <w:hyperlink w:anchor="i23a0b5f0fcfa44ac92a7ab8de8bfc70d_67">
              <w:r>
                <w:rPr>
                  <w:rStyle w:val="InternetLink"/>
                  <w:rFonts w:ascii="Times New Roman;serif" w:hAnsi="Times New Roman;serif"/>
                  <w:b w:val="false"/>
                  <w:color w:val="0000FF"/>
                  <w:sz w:val="18"/>
                  <w:u w:val="single"/>
                </w:rPr>
                <w:t>Note 7</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Decommissioning contingency for sold Gulf of America properties (</w:t>
            </w:r>
            <w:hyperlink w:anchor="i23a0b5f0fcfa44ac92a7ab8de8bfc70d_79">
              <w:r>
                <w:rPr>
                  <w:rStyle w:val="InternetLink"/>
                  <w:rFonts w:ascii="Times New Roman;serif" w:hAnsi="Times New Roman;serif"/>
                  <w:b w:val="false"/>
                  <w:color w:val="0000FF"/>
                  <w:sz w:val="18"/>
                  <w:u w:val="single"/>
                </w:rPr>
                <w:t>Note 10</w:t>
              </w:r>
            </w:hyperlink>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$0.625 par, 860,000,000 shares authorized, 492,577,134 and 492,038,127 shares issued,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141,910,293 and 139,073,481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6,093 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290"/>
                <wp:effectExtent l="0" t="0" r="0" b="0"/>
                <wp:wrapNone/>
                <wp:docPr id="9" name="Frame9"/>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CHANGES IN EQUITY AND NONCONTROLLING INTERESTS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2442" w:type="dxa"/>
        <w:jc w:val="left"/>
        <w:tblInd w:w="0" w:type="dxa"/>
        <w:tblLayout w:type="fixed"/>
        <w:tblCellMar>
          <w:top w:w="28" w:type="dxa"/>
          <w:left w:w="28" w:type="dxa"/>
          <w:bottom w:w="28" w:type="dxa"/>
          <w:right w:w="28" w:type="dxa"/>
        </w:tblCellMar>
      </w:tblPr>
      <w:tblGrid>
        <w:gridCol w:w="776"/>
        <w:gridCol w:w="234"/>
        <w:gridCol w:w="236"/>
        <w:gridCol w:w="109"/>
        <w:gridCol w:w="109"/>
        <w:gridCol w:w="109"/>
        <w:gridCol w:w="206"/>
        <w:gridCol w:w="444"/>
        <w:gridCol w:w="116"/>
        <w:gridCol w:w="109"/>
        <w:gridCol w:w="109"/>
        <w:gridCol w:w="109"/>
        <w:gridCol w:w="196"/>
        <w:gridCol w:w="646"/>
        <w:gridCol w:w="109"/>
        <w:gridCol w:w="109"/>
        <w:gridCol w:w="109"/>
        <w:gridCol w:w="109"/>
        <w:gridCol w:w="248"/>
        <w:gridCol w:w="724"/>
        <w:gridCol w:w="139"/>
        <w:gridCol w:w="109"/>
        <w:gridCol w:w="109"/>
        <w:gridCol w:w="109"/>
        <w:gridCol w:w="196"/>
        <w:gridCol w:w="571"/>
        <w:gridCol w:w="109"/>
        <w:gridCol w:w="109"/>
        <w:gridCol w:w="109"/>
        <w:gridCol w:w="109"/>
        <w:gridCol w:w="374"/>
        <w:gridCol w:w="632"/>
        <w:gridCol w:w="210"/>
        <w:gridCol w:w="109"/>
        <w:gridCol w:w="109"/>
        <w:gridCol w:w="109"/>
        <w:gridCol w:w="338"/>
        <w:gridCol w:w="959"/>
        <w:gridCol w:w="189"/>
        <w:gridCol w:w="109"/>
        <w:gridCol w:w="109"/>
        <w:gridCol w:w="109"/>
        <w:gridCol w:w="273"/>
        <w:gridCol w:w="775"/>
        <w:gridCol w:w="153"/>
        <w:gridCol w:w="109"/>
        <w:gridCol w:w="109"/>
        <w:gridCol w:w="109"/>
        <w:gridCol w:w="196"/>
        <w:gridCol w:w="556"/>
        <w:gridCol w:w="221"/>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APA SHAREHOLDERS’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Quarter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5,905 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6,903 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Quarter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290"/>
                <wp:effectExtent l="0" t="0" r="0" b="0"/>
                <wp:wrapNone/>
                <wp:docPr id="10" name="Frame10"/>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CHANGES IN EQUITY AND NONCONTROLLING INTERESTS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2285" w:type="dxa"/>
        <w:jc w:val="left"/>
        <w:tblInd w:w="0" w:type="dxa"/>
        <w:tblLayout w:type="fixed"/>
        <w:tblCellMar>
          <w:top w:w="28" w:type="dxa"/>
          <w:left w:w="28" w:type="dxa"/>
          <w:bottom w:w="28" w:type="dxa"/>
          <w:right w:w="28" w:type="dxa"/>
        </w:tblCellMar>
      </w:tblPr>
      <w:tblGrid>
        <w:gridCol w:w="686"/>
        <w:gridCol w:w="234"/>
        <w:gridCol w:w="236"/>
        <w:gridCol w:w="109"/>
        <w:gridCol w:w="109"/>
        <w:gridCol w:w="109"/>
        <w:gridCol w:w="206"/>
        <w:gridCol w:w="444"/>
        <w:gridCol w:w="116"/>
        <w:gridCol w:w="109"/>
        <w:gridCol w:w="109"/>
        <w:gridCol w:w="109"/>
        <w:gridCol w:w="196"/>
        <w:gridCol w:w="646"/>
        <w:gridCol w:w="109"/>
        <w:gridCol w:w="109"/>
        <w:gridCol w:w="109"/>
        <w:gridCol w:w="109"/>
        <w:gridCol w:w="248"/>
        <w:gridCol w:w="724"/>
        <w:gridCol w:w="139"/>
        <w:gridCol w:w="109"/>
        <w:gridCol w:w="109"/>
        <w:gridCol w:w="109"/>
        <w:gridCol w:w="196"/>
        <w:gridCol w:w="571"/>
        <w:gridCol w:w="109"/>
        <w:gridCol w:w="109"/>
        <w:gridCol w:w="109"/>
        <w:gridCol w:w="109"/>
        <w:gridCol w:w="374"/>
        <w:gridCol w:w="632"/>
        <w:gridCol w:w="210"/>
        <w:gridCol w:w="109"/>
        <w:gridCol w:w="109"/>
        <w:gridCol w:w="109"/>
        <w:gridCol w:w="338"/>
        <w:gridCol w:w="959"/>
        <w:gridCol w:w="189"/>
        <w:gridCol w:w="109"/>
        <w:gridCol w:w="109"/>
        <w:gridCol w:w="109"/>
        <w:gridCol w:w="273"/>
        <w:gridCol w:w="775"/>
        <w:gridCol w:w="153"/>
        <w:gridCol w:w="109"/>
        <w:gridCol w:w="109"/>
        <w:gridCol w:w="109"/>
        <w:gridCol w:w="196"/>
        <w:gridCol w:w="556"/>
        <w:gridCol w:w="154"/>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2"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5,905 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7,021 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290"/>
                <wp:effectExtent l="0" t="0" r="0" b="0"/>
                <wp:wrapNone/>
                <wp:docPr id="11" name="Frame11"/>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APA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have been prepared by APA Corporation (APA or the Company) without audit, pursuant to the rules and regulations of the Securities and Exchange Commission (SEC).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2025, which contains a summary of the Company’s significant accounting policies and other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significant accounting policies are consistent with those discussed in Note 1—Summary of Significant Accounting Policies of the Notes to Consolidated Financial Statements contained in the Company’s Annual Report on Form 10-K for the fiscal year ended December 31, 2025. The Company’s financial statements for prior periods may include reclassifications that were made to conform to the current-year presentation.</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Principles of Consolidation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APA and its subsidiaries after elimination of intercompany balances and transactions.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The Company has determined that a limited partnership and APA subsidiary, which has control over APA’s Egyptian operations, qualifies as a variable interest entity (VIE). Apache consolidates the activities of APA’s Egyptian operations because it has concluded that a wholly owned subsidiary has a controlling financial interest in APA’s Egyptian operations and was determined to be the primary beneficiary of the VIE. </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the assessment of asset retirement obligations (refer to </w:t>
      </w:r>
      <w:hyperlink w:anchor="i23a0b5f0fcfa44ac92a7ab8de8bfc70d_67">
        <w:r>
          <w:rPr>
            <w:rStyle w:val="InternetLink"/>
            <w:rFonts w:ascii="Times New Roman;serif" w:hAnsi="Times New Roman;serif"/>
            <w:b w:val="false"/>
            <w:color w:val="0000FF"/>
            <w:sz w:val="20"/>
            <w:u w:val="single"/>
          </w:rPr>
          <w:t>Note 7—Asset Retirement Obligation</w:t>
        </w:r>
      </w:hyperlink>
      <w:r>
        <w:rPr>
          <w:rFonts w:ascii="Times New Roman;serif" w:hAnsi="Times New Roman;serif"/>
          <w:b w:val="false"/>
          <w:color w:val="000000"/>
          <w:sz w:val="20"/>
        </w:rPr>
        <w:t xml:space="preserve">), the estimate of income taxes (refer to </w:t>
      </w:r>
      <w:hyperlink w:anchor="i23a0b5f0fcfa44ac92a7ab8de8bfc70d_76">
        <w:r>
          <w:rPr>
            <w:rStyle w:val="InternetLink"/>
            <w:rFonts w:ascii="Times New Roman;serif" w:hAnsi="Times New Roman;serif"/>
            <w:b w:val="false"/>
            <w:color w:val="0000FF"/>
            <w:sz w:val="20"/>
            <w:u w:val="single"/>
          </w:rPr>
          <w:t>Note 9—Income Taxes</w:t>
        </w:r>
      </w:hyperlink>
      <w:r>
        <w:rPr>
          <w:rFonts w:ascii="Times New Roman;serif" w:hAnsi="Times New Roman;serif"/>
          <w:b w:val="false"/>
          <w:color w:val="000000"/>
          <w:sz w:val="20"/>
        </w:rPr>
        <w:t xml:space="preserve">), the estimation of the contingent liability representing Apache’s potential decommissioning obligations on sold properties in the Gulf of America (refer to </w:t>
      </w:r>
      <w:hyperlink w:anchor="i23a0b5f0fcfa44ac92a7ab8de8bfc70d_79">
        <w:r>
          <w:rPr>
            <w:rStyle w:val="InternetLink"/>
            <w:rFonts w:ascii="Times New Roman;serif" w:hAnsi="Times New Roman;serif"/>
            <w:b w:val="false"/>
            <w:color w:val="0000FF"/>
            <w:sz w:val="20"/>
            <w:u w:val="single"/>
          </w:rPr>
          <w:t>Note 10—Commitments and Contingencies</w:t>
        </w:r>
      </w:hyperlink>
      <w:r>
        <w:rPr>
          <w:rFonts w:ascii="Times New Roman;serif" w:hAnsi="Times New Roman;serif"/>
          <w:b w:val="false"/>
          <w:color w:val="000000"/>
          <w:sz w:val="20"/>
        </w:rPr>
        <w:t>), and the estimate of proved oil and gas reserves and related present value estimates of future net cash flows therefrom.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Fair Value Measurements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Refer to </w:t>
      </w:r>
      <w:hyperlink w:anchor="i23a0b5f0fcfa44ac92a7ab8de8bfc70d_55">
        <w:r>
          <w:rPr>
            <w:rStyle w:val="InternetLink"/>
            <w:rFonts w:ascii="Times New Roman;serif" w:hAnsi="Times New Roman;serif"/>
            <w:b w:val="false"/>
            <w:color w:val="0000FF"/>
            <w:sz w:val="20"/>
            <w:u w:val="single"/>
          </w:rPr>
          <w:t>Note 4—Derivative Instruments and Hedging Activities</w:t>
        </w:r>
      </w:hyperlink>
      <w:r>
        <w:rPr>
          <w:color w:val="000000"/>
        </w:rPr>
        <w:t xml:space="preserve"> </w:t>
      </w:r>
      <w:r>
        <w:rPr>
          <w:rFonts w:ascii="Times New Roman;serif" w:hAnsi="Times New Roman;serif"/>
          <w:b w:val="false"/>
          <w:color w:val="000000"/>
          <w:sz w:val="20"/>
        </w:rPr>
        <w:t xml:space="preserve">and </w:t>
      </w:r>
      <w:hyperlink w:anchor="i23a0b5f0fcfa44ac92a7ab8de8bfc70d_70">
        <w:r>
          <w:rPr>
            <w:rStyle w:val="InternetLink"/>
            <w:rFonts w:ascii="Times New Roman;serif" w:hAnsi="Times New Roman;serif"/>
            <w:b w:val="false"/>
            <w:color w:val="0000FF"/>
            <w:sz w:val="20"/>
            <w:u w:val="single"/>
          </w:rPr>
          <w:t>Note 8—Debt and Financing Costs</w:t>
        </w:r>
      </w:hyperlink>
      <w:r>
        <w:rPr>
          <w:color w:val="000000"/>
        </w:rPr>
        <w:t xml:space="preserve"> </w:t>
      </w:r>
      <w:r>
        <w:rPr>
          <w:rFonts w:ascii="Times New Roman;serif" w:hAnsi="Times New Roman;serif"/>
          <w:b w:val="false"/>
          <w:color w:val="000000"/>
          <w:sz w:val="20"/>
        </w:rPr>
        <w:t>for further detail regarding the Company’s fair value measurements recorded on a recurring basis.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also uses fair value measurements on a nonrecurring basis when certain qualitative assessments of its assets indicate a potential impairment or when allocating the purchase price for acquired assets and liabilities in a business combination. The carrying amounts of cash and cash equivalents, accounts receivable, and accounts payable approximate fair value due to the short-term nature and maturities of these instruments.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each of the quarters ended June 30, 2026 and June 30, 2025, the Company recorded no asset impairments in connection with fair value assessments.</w:t>
      </w:r>
    </w:p>
    <w:p>
      <w:pPr>
        <w:pStyle w:val="TextBody"/>
        <w:bidi w:val="0"/>
        <w:spacing w:lineRule="auto" w:line="288" w:before="200" w:after="283"/>
        <w:jc w:val="left"/>
        <w:rPr/>
      </w:pPr>
      <w:r>
        <w:rPr>
          <w:rFonts w:ascii="Times New Roman;serif" w:hAnsi="Times New Roman;serif"/>
          <w:b/>
          <w:color w:val="000000"/>
          <w:sz w:val="20"/>
          <w:u w:val="single"/>
        </w:rPr>
        <w:t>Revenue Recognition</w:t>
      </w:r>
      <w:r>
        <w:rPr>
          <w:color w:val="000000"/>
        </w:rPr>
        <w:t xml:space="preserve">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Receivables from contracts with customers, including receivables for purchased oil and gas sales and net of allowance for credit losses, were $1.0 billion and $826 million as of June 30, 2026 and December 31, 2025, respectively. Payments under all contracts with customers are typically due and received within a short-term period of one year or less, after physical delivery of the product or service has been rendered. The Company monitors its receivable balance and exposure as part of its ongoing credit risk management process.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Oil and gas production revenues include income taxes that will be paid to the Arab Republic of Egypt by the Egyptian General Petroleum Corporation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Refer to </w:t>
      </w:r>
      <w:hyperlink w:anchor="i23a0b5f0fcfa44ac92a7ab8de8bfc70d_85">
        <w:r>
          <w:rPr>
            <w:rStyle w:val="InternetLink"/>
            <w:rFonts w:ascii="Times New Roman;serif" w:hAnsi="Times New Roman;serif"/>
            <w:b w:val="false"/>
            <w:color w:val="0000FF"/>
            <w:sz w:val="20"/>
            <w:u w:val="single"/>
          </w:rPr>
          <w:t>Note 12—Business Segment Information</w:t>
        </w:r>
      </w:hyperlink>
      <w:r>
        <w:rPr>
          <w:color w:val="000000"/>
        </w:rPr>
        <w:t xml:space="preserve"> </w:t>
      </w:r>
      <w:r>
        <w:rPr>
          <w:rFonts w:ascii="Times New Roman;serif" w:hAnsi="Times New Roman;serif"/>
          <w:b w:val="false"/>
          <w:color w:val="000000"/>
          <w:sz w:val="20"/>
        </w:rPr>
        <w:t>for a disaggregation of oil, natural gas, and natural gas liquids production revenue by product and reporting segment.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 </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Inventories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 No inventory impairments were recognized in either of the quarters ended June 30, 2026 and June 30, 2025.</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Property and Equipment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Oil and Gas Property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The Company recorded no proved oil and gas property impairments during either of the quarters ended June 30, 2026 and June 30, 2025.</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Unproved leasehold impairments are typically recorded as a component of “Exploration” expense in the Company’s statement of consolidated operations. Gains and losses on divestitures of the Company’s oil and gas properties are recognized under “Gain (loss) on divestitures, net” in the statement of consolidated operations upon closing of the transaction. </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Transaction, Reorganization, and Separation (TRS)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$12 million and $19 million of TRS costs during the second quarter and the first six months of 2026, respectively, and $11 million and $48 million of TRS costs during the second quarter and the first six months of 2025, respectively. TRS costs incurred in the first six months of 2026 comprised primarily organization restructuring and other consulting and transaction costs. TRS costs incurred in the first six months of 2025 comprised primarily employee separations and other cost-saving initiatives. </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New Pronouncements Issued But Not Yet Adopted</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changes in recently issued or adopted accounting standards from those disclosed in the Company’s Annual Report on Form 10-K for the fiscal year ended December 31, 2025 that would have an expected material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    ACQUISITIONS AND DIVESTITURES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2026 Activity</w:t>
      </w:r>
    </w:p>
    <w:p>
      <w:pPr>
        <w:pStyle w:val="TextBody"/>
        <w:bidi w:val="0"/>
        <w:spacing w:lineRule="auto" w:line="288" w:before="2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Leasehold and Property Acquisitions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second quarter and the first six months of 2026, the Company completed leasehold acquisitions, primarily in the Permian Basin, for aggregate cash consideration of approximately $2 million and $6 million, respectively.</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2025 Activity</w:t>
      </w:r>
    </w:p>
    <w:p>
      <w:pPr>
        <w:pStyle w:val="TextBody"/>
        <w:bidi w:val="0"/>
        <w:spacing w:lineRule="auto" w:line="288" w:before="2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Leasehold and Property Acquisitions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second quarter and the first six months of 2025, the Company completed leasehold acquisitions, primarily in the Permian Basin, for aggregate cash consideration of approximately $7 million and $20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U.S. Divestiture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completed the sale of all of its New Mexico Permian assets. The assets had a carrying value of $300 million and associated retirement obligation of $9 million, which were exchanged for total cash consideration of $573 million, inclusive of post-closing adjustments. The Company received cash of $567 million during the second quarter of 2025 and received the remaining balance in the third quarter of 2025. The Company recognized a gain of $282 million during the second quarter of 2025 in association with this sale. Proceeds from the transaction were used primarily for debt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CAPITALIZED EXPLORATORY WELL COSTS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capitalized exploratory well costs were $340 million and $338 million as of June 30, 2026 and December 31, 2025, respectively. The increase is primarily attributable to additional drilling activity, partially offset by successful transfer of well costs and wells charged to dry hole expense in Egypt. No suspended exploratory well costs previously capitalized for greater than one year at December 31, 2025 were charged to dry hole expense during the first six months of 2026. During the first six months of 2025, approximately $8 million of suspended well costs previously capitalized for greater than one year at December 31, 2024 were charged to dry hole expense.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    DERIVATIVE INSTRUMENTS AND HEDGING ACTIVITIES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Objectives and Strategies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utilizes various types of derivative financial instruments, including forward contracts, futures contracts, swaps, and options, to manage fluctuations in cash flows resulting from changes in commodity prices or foreign currency values. The Company has elected not to designate any of its derivative contracts as cash flow hedges.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Counterparty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use of derivative instruments exposes the Company to credit loss in the event of nonperformance by the counterparty. To reduce the concentration of exposure to any individual counterparty, the Company utilizes a diversified group of investment-grade rated counterparties, primarily financial institutions, for its derivative transactions. As of June 30, 2026, the Company had derivative positions with 11 counterparties. The Company monitors counterparty creditworthiness on an ongoing basis; however, it cannot predict sudden changes in counterparties’ creditworthiness. In addition, even if such changes are not sudden, the Company may be limited in its ability to mitigate an increase in counterparty credit risk. Should one of these counterparties not perform, the Company may not realize the benefit of some of its derivative instruments resulting from lower commodity prices.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Instruments</w:t>
      </w:r>
    </w:p>
    <w:p>
      <w:pPr>
        <w:pStyle w:val="TextBody"/>
        <w:bidi w:val="0"/>
        <w:spacing w:lineRule="auto" w:line="288" w:before="2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Commodity Derivative Instruments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open natural gas financial basis swap contracts:</w:t>
      </w:r>
    </w:p>
    <w:tbl>
      <w:tblPr>
        <w:tblW w:w="10205"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533"/>
        <w:gridCol w:w="533"/>
        <w:gridCol w:w="535"/>
        <w:gridCol w:w="109"/>
        <w:gridCol w:w="109"/>
        <w:gridCol w:w="109"/>
        <w:gridCol w:w="256"/>
        <w:gridCol w:w="256"/>
        <w:gridCol w:w="258"/>
        <w:gridCol w:w="156"/>
        <w:gridCol w:w="156"/>
        <w:gridCol w:w="156"/>
        <w:gridCol w:w="636"/>
        <w:gridCol w:w="636"/>
        <w:gridCol w:w="638"/>
        <w:gridCol w:w="109"/>
        <w:gridCol w:w="109"/>
        <w:gridCol w:w="109"/>
        <w:gridCol w:w="256"/>
        <w:gridCol w:w="256"/>
        <w:gridCol w:w="258"/>
        <w:gridCol w:w="129"/>
        <w:gridCol w:w="129"/>
        <w:gridCol w:w="129"/>
        <w:gridCol w:w="572"/>
        <w:gridCol w:w="572"/>
        <w:gridCol w:w="825"/>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Basis Swap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Basis Swap Sold</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Settlement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MMBtu</w:t>
              <w:br/>
              <w:t>(in 000’s)</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Price Differential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MMBtu </w:t>
              <w:br/>
              <w:t>(in 000’s)</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Price Differential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NYMEX Henry Hub/IF Waha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45,080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Foreign Currency Derivative Instruments</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open foreign currency costless collar contracts in GBP/USD for £12 million per each calendar month for 2026, with a weighted average floor and ceiling price of $1.32 and $1.40 per GBP,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Fair Value Measurements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621"/>
        <w:gridCol w:w="493"/>
        <w:gridCol w:w="461"/>
        <w:gridCol w:w="109"/>
        <w:gridCol w:w="109"/>
        <w:gridCol w:w="109"/>
        <w:gridCol w:w="357"/>
        <w:gridCol w:w="738"/>
        <w:gridCol w:w="200"/>
        <w:gridCol w:w="109"/>
        <w:gridCol w:w="109"/>
        <w:gridCol w:w="109"/>
        <w:gridCol w:w="452"/>
        <w:gridCol w:w="555"/>
        <w:gridCol w:w="253"/>
        <w:gridCol w:w="109"/>
        <w:gridCol w:w="109"/>
        <w:gridCol w:w="109"/>
        <w:gridCol w:w="444"/>
        <w:gridCol w:w="923"/>
        <w:gridCol w:w="250"/>
        <w:gridCol w:w="109"/>
        <w:gridCol w:w="109"/>
        <w:gridCol w:w="109"/>
        <w:gridCol w:w="238"/>
        <w:gridCol w:w="294"/>
        <w:gridCol w:w="134"/>
        <w:gridCol w:w="109"/>
        <w:gridCol w:w="109"/>
        <w:gridCol w:w="109"/>
        <w:gridCol w:w="206"/>
        <w:gridCol w:w="429"/>
        <w:gridCol w:w="116"/>
        <w:gridCol w:w="109"/>
        <w:gridCol w:w="109"/>
        <w:gridCol w:w="109"/>
        <w:gridCol w:w="353"/>
        <w:gridCol w:w="436"/>
        <w:gridCol w:w="290"/>
      </w:tblGrid>
      <w:tr>
        <w:trPr/>
        <w:tc>
          <w:tcPr>
            <w:tcW w:w="62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 in Active Markets</w:t>
              <w:b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Inputs</w:t>
              <w:b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Netting</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The derivative fair values are based on analysis of each contract on a gross basis, excluding the impact of netting agreements with counterparties.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instruments are not actively quoted in the open market. The Company primarily uses a market approach to estimate the fair values of these derivatives on a recurring basis, utilizing futures pricing for the underlying positions provided by a reputable third party, a Level 2 fair value measurement.</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Derivative Activity Recorded in the Consolidated Balance Sheet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derivative instruments are reflected as either assets or liabilities at fair value in the consolidated balance sheet. These fair values are recorded by netting asset and liability positions where counterparty master netting arrangements contain provisions for net settlement. The carrying value of the Company’s derivative assets and/or liabilities and their locations on the consolidated balance sheet are as follows:</w:t>
      </w:r>
    </w:p>
    <w:tbl>
      <w:tblPr>
        <w:tblW w:w="5692" w:type="dxa"/>
        <w:jc w:val="left"/>
        <w:tblInd w:w="0" w:type="dxa"/>
        <w:tblLayout w:type="fixed"/>
        <w:tblCellMar>
          <w:top w:w="28" w:type="dxa"/>
          <w:left w:w="28" w:type="dxa"/>
          <w:bottom w:w="28" w:type="dxa"/>
          <w:right w:w="28" w:type="dxa"/>
        </w:tblCellMar>
      </w:tblPr>
      <w:tblGrid>
        <w:gridCol w:w="1124"/>
        <w:gridCol w:w="986"/>
        <w:gridCol w:w="994"/>
        <w:gridCol w:w="109"/>
        <w:gridCol w:w="109"/>
        <w:gridCol w:w="109"/>
        <w:gridCol w:w="269"/>
        <w:gridCol w:w="331"/>
        <w:gridCol w:w="149"/>
        <w:gridCol w:w="109"/>
        <w:gridCol w:w="109"/>
        <w:gridCol w:w="109"/>
        <w:gridCol w:w="340"/>
        <w:gridCol w:w="576"/>
        <w:gridCol w:w="269"/>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Recorded in the Statement of Consolidated Operations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derivative instruments on the Company’s statement of consolidated operations:</w:t>
      </w:r>
    </w:p>
    <w:tbl>
      <w:tblPr>
        <w:tblW w:w="7681" w:type="dxa"/>
        <w:jc w:val="left"/>
        <w:tblInd w:w="0" w:type="dxa"/>
        <w:tblLayout w:type="fixed"/>
        <w:tblCellMar>
          <w:top w:w="28" w:type="dxa"/>
          <w:left w:w="28" w:type="dxa"/>
          <w:bottom w:w="28" w:type="dxa"/>
          <w:right w:w="28" w:type="dxa"/>
        </w:tblCellMar>
      </w:tblPr>
      <w:tblGrid>
        <w:gridCol w:w="1073"/>
        <w:gridCol w:w="942"/>
        <w:gridCol w:w="954"/>
        <w:gridCol w:w="109"/>
        <w:gridCol w:w="109"/>
        <w:gridCol w:w="109"/>
        <w:gridCol w:w="198"/>
        <w:gridCol w:w="501"/>
        <w:gridCol w:w="110"/>
        <w:gridCol w:w="110"/>
        <w:gridCol w:w="110"/>
        <w:gridCol w:w="110"/>
        <w:gridCol w:w="198"/>
        <w:gridCol w:w="425"/>
        <w:gridCol w:w="110"/>
        <w:gridCol w:w="109"/>
        <w:gridCol w:w="109"/>
        <w:gridCol w:w="109"/>
        <w:gridCol w:w="226"/>
        <w:gridCol w:w="572"/>
        <w:gridCol w:w="125"/>
        <w:gridCol w:w="125"/>
        <w:gridCol w:w="125"/>
        <w:gridCol w:w="125"/>
        <w:gridCol w:w="226"/>
        <w:gridCol w:w="485"/>
        <w:gridCol w:w="177"/>
      </w:tblGrid>
      <w:tr>
        <w:trPr/>
        <w:tc>
          <w:tcPr>
            <w:tcW w:w="10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Derivative instrument gains and losses are recorded in “Derivative instrument gains (losses), net” under “Revenues and Other” in the Company’s statement of consolidated operations. Unrealized gains and losses for derivative activity recorded in the statement of consolidated operations are reflected in the statement of consolidated cash flows separately as “Unrealized derivative instrument (gains) losses, net” under “Adjustments to reconcile net income to net cash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    OTHER CURRENT ASSETS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of the Company’s other current assets:</w:t>
      </w:r>
    </w:p>
    <w:tbl>
      <w:tblPr>
        <w:tblW w:w="4522" w:type="dxa"/>
        <w:jc w:val="left"/>
        <w:tblInd w:w="0" w:type="dxa"/>
        <w:tblLayout w:type="fixed"/>
        <w:tblCellMar>
          <w:top w:w="28" w:type="dxa"/>
          <w:left w:w="28" w:type="dxa"/>
          <w:bottom w:w="28" w:type="dxa"/>
          <w:right w:w="28" w:type="dxa"/>
        </w:tblCellMar>
      </w:tblPr>
      <w:tblGrid>
        <w:gridCol w:w="702"/>
        <w:gridCol w:w="614"/>
        <w:gridCol w:w="618"/>
        <w:gridCol w:w="109"/>
        <w:gridCol w:w="109"/>
        <w:gridCol w:w="109"/>
        <w:gridCol w:w="202"/>
        <w:gridCol w:w="435"/>
        <w:gridCol w:w="112"/>
        <w:gridCol w:w="109"/>
        <w:gridCol w:w="109"/>
        <w:gridCol w:w="109"/>
        <w:gridCol w:w="300"/>
        <w:gridCol w:w="647"/>
        <w:gridCol w:w="238"/>
      </w:tblGrid>
      <w:tr>
        <w:trPr/>
        <w:tc>
          <w:tcPr>
            <w:tcW w:w="70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Drilling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assets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    OTHER CURRENT LIABILITIES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of the Company’s other current liabilities:</w:t>
      </w:r>
    </w:p>
    <w:tbl>
      <w:tblPr>
        <w:tblW w:w="8114" w:type="dxa"/>
        <w:jc w:val="left"/>
        <w:tblInd w:w="0" w:type="dxa"/>
        <w:tblLayout w:type="fixed"/>
        <w:tblCellMar>
          <w:top w:w="28" w:type="dxa"/>
          <w:left w:w="28" w:type="dxa"/>
          <w:bottom w:w="28" w:type="dxa"/>
          <w:right w:w="28" w:type="dxa"/>
        </w:tblCellMar>
      </w:tblPr>
      <w:tblGrid>
        <w:gridCol w:w="1962"/>
        <w:gridCol w:w="1719"/>
        <w:gridCol w:w="1734"/>
        <w:gridCol w:w="109"/>
        <w:gridCol w:w="109"/>
        <w:gridCol w:w="109"/>
        <w:gridCol w:w="196"/>
        <w:gridCol w:w="556"/>
        <w:gridCol w:w="109"/>
        <w:gridCol w:w="109"/>
        <w:gridCol w:w="109"/>
        <w:gridCol w:w="109"/>
        <w:gridCol w:w="256"/>
        <w:gridCol w:w="727"/>
        <w:gridCol w:w="201"/>
      </w:tblGrid>
      <w:tr>
        <w:trPr/>
        <w:tc>
          <w:tcPr>
            <w:tcW w:w="196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exploration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decommissioning contingency for sold Gulf of America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    ASSET RETIREMENT OBLIGATION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changes to the Company’s asset retirement obligation (ARO) liability:</w:t>
      </w:r>
    </w:p>
    <w:tbl>
      <w:tblPr>
        <w:tblW w:w="4855" w:type="dxa"/>
        <w:jc w:val="left"/>
        <w:tblInd w:w="0" w:type="dxa"/>
        <w:tblLayout w:type="fixed"/>
        <w:tblCellMar>
          <w:top w:w="28" w:type="dxa"/>
          <w:left w:w="28" w:type="dxa"/>
          <w:bottom w:w="28" w:type="dxa"/>
          <w:right w:w="28" w:type="dxa"/>
        </w:tblCellMar>
      </w:tblPr>
      <w:tblGrid>
        <w:gridCol w:w="1269"/>
        <w:gridCol w:w="1116"/>
        <w:gridCol w:w="1124"/>
        <w:gridCol w:w="109"/>
        <w:gridCol w:w="109"/>
        <w:gridCol w:w="109"/>
        <w:gridCol w:w="219"/>
        <w:gridCol w:w="625"/>
        <w:gridCol w:w="175"/>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Revisions in estimated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    DEBT AND FINANCING COSTS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values of the Company’s debt:</w:t>
      </w:r>
    </w:p>
    <w:tbl>
      <w:tblPr>
        <w:tblW w:w="8789" w:type="dxa"/>
        <w:jc w:val="left"/>
        <w:tblInd w:w="0" w:type="dxa"/>
        <w:tblLayout w:type="fixed"/>
        <w:tblCellMar>
          <w:top w:w="28" w:type="dxa"/>
          <w:left w:w="28" w:type="dxa"/>
          <w:bottom w:w="28" w:type="dxa"/>
          <w:right w:w="28" w:type="dxa"/>
        </w:tblCellMar>
      </w:tblPr>
      <w:tblGrid>
        <w:gridCol w:w="2206"/>
        <w:gridCol w:w="1936"/>
        <w:gridCol w:w="1948"/>
        <w:gridCol w:w="109"/>
        <w:gridCol w:w="109"/>
        <w:gridCol w:w="109"/>
        <w:gridCol w:w="196"/>
        <w:gridCol w:w="556"/>
        <w:gridCol w:w="109"/>
        <w:gridCol w:w="109"/>
        <w:gridCol w:w="109"/>
        <w:gridCol w:w="109"/>
        <w:gridCol w:w="256"/>
        <w:gridCol w:w="727"/>
        <w:gridCol w:w="201"/>
      </w:tblGrid>
      <w:tr>
        <w:trPr/>
        <w:tc>
          <w:tcPr>
            <w:tcW w:w="220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APA notes and debentures before unamortized discount and debt issuance costs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Apache notes and debentures before unamortized discount and debt issuance costs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Apache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 The fair values of the APA notes and debentures were $3.1 billion and $3.4 billion as of June 30, 2026 and December 31, 2025, respectively. </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The fair values of the Apache notes and debentures were $534 million and $881 million as of June 30, 2026 and December 31, 2025, respectively. The Company uses a market approach to determine the fair values of its notes and debentures using estimates provided by an independent investment financial data services firm (a Level 2 fair value measurement).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each of June 30, 2026 and December 31, 2025, current debt included $2 million of finance lease obligations. </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Financing Costs, Net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financing costs, net:</w:t>
      </w:r>
    </w:p>
    <w:tbl>
      <w:tblPr>
        <w:tblW w:w="7526" w:type="dxa"/>
        <w:jc w:val="left"/>
        <w:tblInd w:w="0" w:type="dxa"/>
        <w:tblLayout w:type="fixed"/>
        <w:tblCellMar>
          <w:top w:w="28" w:type="dxa"/>
          <w:left w:w="28" w:type="dxa"/>
          <w:bottom w:w="28" w:type="dxa"/>
          <w:right w:w="28" w:type="dxa"/>
        </w:tblCellMar>
      </w:tblPr>
      <w:tblGrid>
        <w:gridCol w:w="1020"/>
        <w:gridCol w:w="897"/>
        <w:gridCol w:w="902"/>
        <w:gridCol w:w="109"/>
        <w:gridCol w:w="109"/>
        <w:gridCol w:w="109"/>
        <w:gridCol w:w="229"/>
        <w:gridCol w:w="388"/>
        <w:gridCol w:w="127"/>
        <w:gridCol w:w="127"/>
        <w:gridCol w:w="127"/>
        <w:gridCol w:w="127"/>
        <w:gridCol w:w="229"/>
        <w:gridCol w:w="388"/>
        <w:gridCol w:w="127"/>
        <w:gridCol w:w="109"/>
        <w:gridCol w:w="109"/>
        <w:gridCol w:w="109"/>
        <w:gridCol w:w="235"/>
        <w:gridCol w:w="505"/>
        <w:gridCol w:w="130"/>
        <w:gridCol w:w="130"/>
        <w:gridCol w:w="130"/>
        <w:gridCol w:w="130"/>
        <w:gridCol w:w="235"/>
        <w:gridCol w:w="505"/>
        <w:gridCol w:w="18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Indenture Debt Activity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29, 2026, APA fully redeemed its privately placed 4.250% Notes due 2030, and Apache fully redeemed its 4.250% Notes due 2030. Noteholders were paid an aggregate $118 million in cash, which comprised outstanding principal amounts, plus accrued and unpaid interest to the redemption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April 15, 2026, APA and Apache repaid in cash on maturity the outstanding $132 million aggregate principal amount of their respective 7.95% Notes due 2026, plus accrued and unpaid interest to the maturity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April 6, 2026, APA and Apache fully redeemed their respective 4.875% Notes due 2027 and 4.375% Notes due 2028. Noteholders were paid an aggregate $425 million in cash, which comprised outstanding principal amounts and make-whole premiums, plus accrued and unpaid interest to the redemption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15, 2026, APA and Apache repaid in cash on maturity the outstanding $79 million aggregate principal amount of their respective 7.70% Notes due 2026, plus accrued and unpaid interest to the maturity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purchased in the open market and had canceled indebtedness issued under indentures of APA and Apache in an aggregate principal amount of $108 million for an aggregate purchase price of $100 million in cash, including accrued interest and broker fees, reflecting a discount to par of an aggregate $10 million. The Company recognized a $10 million gain on these repurchases.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Committed Credit Facilities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15, 2025, the Company entered into two unsecured syndicated credit agreements for general corporate purposes: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Uncommitted Lines of Credit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of the Company and Apache, from time to time, has and uses uncommitted credit and letter of credit facilities for working capital and credit support purposes. As of June 30, 2026 and December 31, 2025, there were no outstanding borrowings under these facilities. As of June 30, 2026, there were £567 million and $10 million in letters of credit outstanding under these facilities. As of December 31, 2025, there were £901 million and $10 million in letters of credit outstanding under these facilities.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Commercial Paper Program</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a commercial paper program under which it from time to time may issue in private placements exempt from registration under the Securities Act 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June 30, 2026, included the $2.0 billion USD Agreement.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CP Notes are sold under customary market terms in the U.S. commercial paper market at a discount from par or at par and bear interest at rates determined at the time of issuance.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each of June 30, 2026 and December 31, 2025, the Company had no CP Notes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six months ended June 30, 2026 differed from the U.S. federal statutory income tax rate of 21 percent due to taxes on foreign operations. The Company’s effective income tax rate for the six months ended June 30, 2025 differed from the U.S. federal statutory income tax rate of 21 percent due to taxes on foreign operations and a deferred tax expense related to the remeasurement of taxes in the U.K. as a result of the enactment of Finance Act 2025 on March 20, 2025.</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U.S. federal income tax as well as income or capital taxes in various states and foreign jurisdictions. The Company’s tax reserves are related to tax years that may be subject to examination by the relevant taxing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Legal Matters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legal actions arising in the ordinary course of business, including litigation and governmental and regulatory controls, which also may include controls related to the potential impacts of climate change. As of June 30, 2026, the Company has an accrued liability of approximately $26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Legal Matters described below, refer to Note 10—Commitments and Contingencies to the consolidated financial statements contained in the Company’s Annual Report on Form 10-K for the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Australian Operations Divestiture Dispute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In 2018, Quadrant was acquired by Australian oil and gas company Santos, Ltd., who assumed Quadrant’s place in the ongoing litigation. In early 2025, Santos amended the pending counterclaims to abandon a number of claims that had been asserted against the Company but maintaining counterclaims for approximately AUD $57 million. Santos then filed a new lawsuit in the Supreme Court of Western Australia contending that it may be liable to the Australian Taxation Office for assessments, penalties, and interest related to the 2014 and 2015 tax years of approximately AUD $133 million and asserting that, if such amounts must be paid, the Company is liable to Santos for those amounts under the Quadrant SPA. All lawsuits related to the Quadrant SPA have now been consolidated into the same proceeding. The Company will vigorously prosecute its claim while vigorously defending against any counterclaims.</w:t>
      </w:r>
    </w:p>
    <w:p>
      <w:pPr>
        <w:pStyle w:val="TextBody"/>
        <w:bidi w:val="0"/>
        <w:spacing w:lineRule="auto" w:line="288" w:before="20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Delaware Litigation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 The Company is vigorously defending the suit.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Environmental Matters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an undiscounted reserve for environmental remediation of approximately $2 million.</w:t>
      </w:r>
    </w:p>
    <w:p>
      <w:pPr>
        <w:pStyle w:val="TextBody"/>
        <w:bidi w:val="0"/>
        <w:spacing w:lineRule="auto" w:line="288" w:before="200" w:after="283"/>
        <w:ind w:left="0" w:right="0" w:firstLine="495"/>
        <w:jc w:val="both"/>
        <w:rPr/>
      </w:pPr>
      <w:r>
        <w:rPr>
          <w:rFonts w:ascii="Times New Roman;serif" w:hAnsi="Times New Roman;serif"/>
          <w:b w:val="false"/>
          <w:color w:val="000000"/>
          <w:sz w:val="20"/>
        </w:rPr>
        <w:t>On May 11, 2026, the Company received a draft Administrative Penalty Assessment from the U.S. Environmental Protection Agency concerning a December 12, 2025 Notice of Violation alleging violations of the Clean Air Act.</w:t>
      </w:r>
      <w:r>
        <w:rPr>
          <w:color w:val="000000"/>
        </w:rPr>
        <w:t xml:space="preserve"> </w:t>
      </w:r>
      <w:r>
        <w:rPr>
          <w:rFonts w:ascii="Times New Roman;serif" w:hAnsi="Times New Roman;serif"/>
          <w:b w:val="false"/>
          <w:color w:val="000000"/>
          <w:sz w:val="20"/>
        </w:rPr>
        <w:t>The Notice of Violation followed helicopter flyovers between July 22, 2024, and August 19, 2024, at several of the Company’s oil and natural gas production facilities in the Texas Permian Basin. The notice and draft Administrative Penalty Assessment involve alleged emissions control and reporting violations. The Company is cooperating with the EPA and, while the Company is unable to reasonably estimate any potential loss associated with this matter, it is possible that resolution of this matter may result in a fine or penalty in excess of $300,000.</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not aware of any environmental claims existing as of June 30, 2026,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Potential Decommissioning Obligations on Sold Properties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erif" w:hAnsi="Times New Roman;serif"/>
          <w:b w:val="false"/>
          <w:color w:val="000000"/>
          <w:sz w:val="20"/>
          <w:shd w:fill="FFFFFF" w:val="clear"/>
        </w:rPr>
        <w:t>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w:t>
      </w:r>
      <w:r>
        <w:rPr>
          <w:color w:val="000000"/>
        </w:rPr>
        <w:t xml:space="preserve"> </w:t>
      </w:r>
      <w:r>
        <w:rPr>
          <w:rFonts w:ascii="Times New Roman;serif" w:hAnsi="Times New Roman;serif"/>
          <w:b w:val="false"/>
          <w:color w:val="000000"/>
          <w:sz w:val="20"/>
          <w:shd w:fill="FFFFFF" w:val="clear"/>
        </w:rPr>
        <w:t xml:space="preserve">The decommissioning </w:t>
      </w:r>
      <w:r>
        <w:rPr>
          <w:rFonts w:ascii="Times New Roman;serif" w:hAnsi="Times New Roman;serif"/>
          <w:b w:val="false"/>
          <w:color w:val="000000"/>
          <w:sz w:val="20"/>
        </w:rPr>
        <w:t>obligations for the Legacy GOA Assets are partially secured by a trust account of which Apache is a beneficiary and which is funded by net profits interests (NPIs) depending on future oil prices. In addition, as part of the resolution of Fieldwood’s second bankruptcy, Apache agreed to loan GOM Shelf up to $400 million to perform decommissioning, with such loans extended from time to time and when funds in the trust account are exhausted. Such loans and related obligations are secured by first and prior liens on the Legacy GOA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recorded an asset of $41 million representing the remaining amount the Company expects to be reimbursed from security related to these decommissioning costs.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also recorded contingent liabilities in the amounts of $847 million and $881 million for the periods ended June 30, 2026 and December 31, 2025, respectively, representing the estimated costs of decommissioning it may be required to perform on the Legacy GOA Assets. There have been no other changes in estimates from December 31, 2025 that would have a material impact on the Company’s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    CAPITAL STOCK</w:t>
      </w:r>
    </w:p>
    <w:p>
      <w:pPr>
        <w:pStyle w:val="TextBody"/>
        <w:bidi w:val="0"/>
        <w:spacing w:lineRule="auto" w:line="288" w:before="200" w:after="283"/>
        <w:jc w:val="both"/>
        <w:rPr/>
      </w:pPr>
      <w:r>
        <w:rPr>
          <w:rFonts w:ascii="Times New Roman;serif" w:hAnsi="Times New Roman;serif"/>
          <w:b/>
          <w:color w:val="000000"/>
          <w:sz w:val="20"/>
          <w:u w:val="single"/>
        </w:rPr>
        <w:t>Net Income per Common Share</w:t>
      </w:r>
      <w:r>
        <w:rPr>
          <w:color w:val="000000"/>
        </w:rPr>
        <w:t xml:space="preserve">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components of basic and diluted net income per common share in the consolidated financial statements:</w:t>
      </w:r>
    </w:p>
    <w:tbl>
      <w:tblPr>
        <w:tblW w:w="9300" w:type="dxa"/>
        <w:jc w:val="left"/>
        <w:tblInd w:w="0" w:type="dxa"/>
        <w:tblLayout w:type="fixed"/>
        <w:tblCellMar>
          <w:top w:w="28" w:type="dxa"/>
          <w:left w:w="28" w:type="dxa"/>
          <w:bottom w:w="28" w:type="dxa"/>
          <w:right w:w="28" w:type="dxa"/>
        </w:tblCellMar>
      </w:tblPr>
      <w:tblGrid>
        <w:gridCol w:w="985"/>
        <w:gridCol w:w="866"/>
        <w:gridCol w:w="879"/>
        <w:gridCol w:w="109"/>
        <w:gridCol w:w="109"/>
        <w:gridCol w:w="109"/>
        <w:gridCol w:w="196"/>
        <w:gridCol w:w="556"/>
        <w:gridCol w:w="109"/>
        <w:gridCol w:w="109"/>
        <w:gridCol w:w="109"/>
        <w:gridCol w:w="109"/>
        <w:gridCol w:w="210"/>
        <w:gridCol w:w="211"/>
        <w:gridCol w:w="211"/>
        <w:gridCol w:w="109"/>
        <w:gridCol w:w="109"/>
        <w:gridCol w:w="109"/>
        <w:gridCol w:w="217"/>
        <w:gridCol w:w="517"/>
        <w:gridCol w:w="122"/>
        <w:gridCol w:w="109"/>
        <w:gridCol w:w="109"/>
        <w:gridCol w:w="109"/>
        <w:gridCol w:w="196"/>
        <w:gridCol w:w="421"/>
        <w:gridCol w:w="109"/>
        <w:gridCol w:w="109"/>
        <w:gridCol w:w="109"/>
        <w:gridCol w:w="109"/>
        <w:gridCol w:w="210"/>
        <w:gridCol w:w="211"/>
        <w:gridCol w:w="211"/>
        <w:gridCol w:w="109"/>
        <w:gridCol w:w="109"/>
        <w:gridCol w:w="109"/>
        <w:gridCol w:w="216"/>
        <w:gridCol w:w="514"/>
        <w:gridCol w:w="171"/>
      </w:tblGrid>
      <w:tr>
        <w:trPr/>
        <w:tc>
          <w:tcPr>
            <w:tcW w:w="9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 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diluted earnings per share calculation excludes 0.8 million and 3.6 million of options and restricted stock units that were anti-dilutive during the second quarters of 2026 and 2025, respectively, and 0.9 million and 3.6 million during the first six months of 2026 and 2025, respectively.</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Stock Repurchase Program</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each of the second quarter and the six months ended June 30, 2026, the Company repurchased 2.8 million shares at an average price of $35.26 per share, and as of June 30, 2026, the Company had remaining authorization to repurchase up to 19.0 million shares. In the second quarter of 2025, the Company repurchased approximately 2.7 million shares at an average price of $18.53 per share. For the six months ended June 30, 2025, the Company repurchased 7.1 million shares at an average price of $21.21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repurchased 0.3 million shares at an average price of $35.61 per share in July 2026, and as of July 31, 2026, the Company had remaining authorization to repurchase up to 18.7 million shares.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not obligated to acquire any additional shares. Shares may be purchased either in the open market or through privately negotiated transactions.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Common Stock Dividend</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quarters ended June 30, 2026 and June 30, 2025, the Company paid $88 million and $90 million, respectively, in dividends on its common stock. For the six months ended June 30, 2026 and June 30, 2025, the Company paid $177 million and $181 million, respectively, in dividends on its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BUSINESS SEGMENT INFORMATION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consolidated subsidiaries are engaged in exploration, development, and/or production across four operating segments: the U.S., Egypt, North Sea, and Suriname. The Company’s business explores for, develops, and produces crude oil, natural gas, and natural gas liquids. The Company also has exploration interests in Alaska, Uruguay, and other international locations that may, over time, result in reportable discoveries and development opportunities.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a function (not necessarily an individual) that allocates the resources of the reporting entity and assesses the performance of its segments. Decisions to assess performance and allocate resources are made by the Company’s Chief Executive Officer (CEO), Mr. John J. Christmann, IV. Therefore, management has concluded that the CEO of the Company is the CODM. The information regularly reviewed by the CODM to assess performance and allocate resources is primarily associated with operating income from each segment and the resulting free cash flow, amongst other metrics. The Company concluded that the most comparable measure under U.S. GAAP is operating income.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Financial information for each segment is presented below:</w:t>
      </w:r>
    </w:p>
    <w:tbl>
      <w:tblPr>
        <w:tblW w:w="10021" w:type="dxa"/>
        <w:jc w:val="left"/>
        <w:tblInd w:w="0" w:type="dxa"/>
        <w:tblLayout w:type="fixed"/>
        <w:tblCellMar>
          <w:top w:w="28" w:type="dxa"/>
          <w:left w:w="28" w:type="dxa"/>
          <w:bottom w:w="28" w:type="dxa"/>
          <w:right w:w="28" w:type="dxa"/>
        </w:tblCellMar>
      </w:tblPr>
      <w:tblGrid>
        <w:gridCol w:w="1550"/>
        <w:gridCol w:w="1364"/>
        <w:gridCol w:w="1375"/>
        <w:gridCol w:w="109"/>
        <w:gridCol w:w="109"/>
        <w:gridCol w:w="109"/>
        <w:gridCol w:w="196"/>
        <w:gridCol w:w="556"/>
        <w:gridCol w:w="109"/>
        <w:gridCol w:w="109"/>
        <w:gridCol w:w="109"/>
        <w:gridCol w:w="109"/>
        <w:gridCol w:w="210"/>
        <w:gridCol w:w="452"/>
        <w:gridCol w:w="117"/>
        <w:gridCol w:w="109"/>
        <w:gridCol w:w="109"/>
        <w:gridCol w:w="109"/>
        <w:gridCol w:w="227"/>
        <w:gridCol w:w="487"/>
        <w:gridCol w:w="126"/>
        <w:gridCol w:w="109"/>
        <w:gridCol w:w="109"/>
        <w:gridCol w:w="109"/>
        <w:gridCol w:w="196"/>
        <w:gridCol w:w="406"/>
        <w:gridCol w:w="109"/>
        <w:gridCol w:w="109"/>
        <w:gridCol w:w="109"/>
        <w:gridCol w:w="109"/>
        <w:gridCol w:w="196"/>
        <w:gridCol w:w="55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Egypt</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(3)</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losses on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operating expenses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Gathering, processing, and transmission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costs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Taxes other than income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Exploration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depletion, and amortization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Income (Loss)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7"/>
        <w:gridCol w:w="1274"/>
        <w:gridCol w:w="1287"/>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6"/>
      </w:tblGrid>
      <w:tr>
        <w:trPr/>
        <w:tc>
          <w:tcPr>
            <w:tcW w:w="147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Egypt</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(3)</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losses on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operating expenses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Gathering, processing, and transmission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costs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Taxes other than income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Exploration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depletion, and amortization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Income (Loss)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Assets</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9886" w:type="dxa"/>
        <w:jc w:val="left"/>
        <w:tblInd w:w="0" w:type="dxa"/>
        <w:tblLayout w:type="fixed"/>
        <w:tblCellMar>
          <w:top w:w="28" w:type="dxa"/>
          <w:left w:w="28" w:type="dxa"/>
          <w:bottom w:w="28" w:type="dxa"/>
          <w:right w:w="28" w:type="dxa"/>
        </w:tblCellMar>
      </w:tblPr>
      <w:tblGrid>
        <w:gridCol w:w="1550"/>
        <w:gridCol w:w="1364"/>
        <w:gridCol w:w="1375"/>
        <w:gridCol w:w="109"/>
        <w:gridCol w:w="109"/>
        <w:gridCol w:w="109"/>
        <w:gridCol w:w="196"/>
        <w:gridCol w:w="421"/>
        <w:gridCol w:w="109"/>
        <w:gridCol w:w="109"/>
        <w:gridCol w:w="109"/>
        <w:gridCol w:w="109"/>
        <w:gridCol w:w="210"/>
        <w:gridCol w:w="452"/>
        <w:gridCol w:w="117"/>
        <w:gridCol w:w="109"/>
        <w:gridCol w:w="109"/>
        <w:gridCol w:w="109"/>
        <w:gridCol w:w="227"/>
        <w:gridCol w:w="487"/>
        <w:gridCol w:w="126"/>
        <w:gridCol w:w="109"/>
        <w:gridCol w:w="109"/>
        <w:gridCol w:w="109"/>
        <w:gridCol w:w="196"/>
        <w:gridCol w:w="406"/>
        <w:gridCol w:w="109"/>
        <w:gridCol w:w="109"/>
        <w:gridCol w:w="109"/>
        <w:gridCol w:w="109"/>
        <w:gridCol w:w="196"/>
        <w:gridCol w:w="55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Egypt</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(3)</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Quarter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operating expenses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Gathering, processing, and transmission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Taxes other than income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Exploration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depletion, and amortization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Income (Loss)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7"/>
        <w:gridCol w:w="1322"/>
        <w:gridCol w:w="1335"/>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646"/>
        <w:gridCol w:w="155"/>
      </w:tblGrid>
      <w:tr>
        <w:trPr/>
        <w:tc>
          <w:tcPr>
            <w:tcW w:w="15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Egypt</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w:t>
            </w:r>
            <w:r>
              <w:rPr>
                <w:rFonts w:ascii="Times New Roman;serif" w:hAnsi="Times New Roman;serif"/>
                <w:b/>
                <w:color w:val="000000"/>
                <w:sz w:val="10"/>
              </w:rPr>
              <w:t>(3)</w:t>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Lease operating expenses</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Gathering, processing, and transmission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Taxes other than income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Exploration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depletion, and amortization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Income (Loss)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Assets</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18,078 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oil and gas production revenue that will be paid as taxes by EGPC on behalf of the Company for the quarters and six months ended June 30, 2026 and June 30, 2025 of:</w:t>
      </w:r>
    </w:p>
    <w:tbl>
      <w:tblPr>
        <w:tblW w:w="6691" w:type="dxa"/>
        <w:jc w:val="left"/>
        <w:tblInd w:w="0" w:type="dxa"/>
        <w:tblLayout w:type="fixed"/>
        <w:tblCellMar>
          <w:top w:w="28" w:type="dxa"/>
          <w:left w:w="28" w:type="dxa"/>
          <w:bottom w:w="28" w:type="dxa"/>
          <w:right w:w="28" w:type="dxa"/>
        </w:tblCellMar>
      </w:tblPr>
      <w:tblGrid>
        <w:gridCol w:w="325"/>
        <w:gridCol w:w="287"/>
        <w:gridCol w:w="288"/>
        <w:gridCol w:w="109"/>
        <w:gridCol w:w="109"/>
        <w:gridCol w:w="109"/>
        <w:gridCol w:w="269"/>
        <w:gridCol w:w="578"/>
        <w:gridCol w:w="149"/>
        <w:gridCol w:w="149"/>
        <w:gridCol w:w="149"/>
        <w:gridCol w:w="149"/>
        <w:gridCol w:w="269"/>
        <w:gridCol w:w="578"/>
        <w:gridCol w:w="149"/>
        <w:gridCol w:w="109"/>
        <w:gridCol w:w="109"/>
        <w:gridCol w:w="109"/>
        <w:gridCol w:w="290"/>
        <w:gridCol w:w="623"/>
        <w:gridCol w:w="161"/>
        <w:gridCol w:w="161"/>
        <w:gridCol w:w="161"/>
        <w:gridCol w:w="161"/>
        <w:gridCol w:w="290"/>
        <w:gridCol w:w="623"/>
        <w:gridCol w:w="228"/>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Suriname operating expenses as the operating segment has not met the quantitative thresholds to be separately reported.</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noncontrolling interests in Egypt.</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significant segment expense categories that align with the segment-level information that is regularly provided to the CODM. The remaining expenses that comprise the Operating Income (Loss) amount by segment are deemed to be other segment expense categories necessary to arrive at the segment profit or loss.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(5)Exploration expense under Other primarily reflects the Company’s Suriname exploration activities. </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(6)Operating income includes $1 million and $2 million of leasehold impairments for the second quarter and first six months of 2026, respectively. Operating income includes no leasehold impairments for the second quarter and first six months of 2025.</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(7)Intercompany balances are excluded from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erif" w:hAnsi="Times New Roman;serif"/>
          <w:b/>
          <w:color w:val="000000"/>
          <w:sz w:val="20"/>
        </w:rPr>
        <w:t>ITEM 2</w:t>
      </w:r>
      <w:r>
        <w:rPr>
          <w:rFonts w:ascii="Times New Roman;serif" w:hAnsi="Times New Roman;serif"/>
          <w:b w:val="false"/>
          <w:color w:val="000000"/>
          <w:sz w:val="20"/>
        </w:rPr>
        <w:t>.    </w:t>
      </w: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The following discussion relates to APA Corporation (APA or the Company) and its consolidated subsidiaries and should be read together with the Company’s Consolidated Financial Statements and accompanying notes included in Part I, </w:t>
      </w:r>
      <w:hyperlink w:anchor="i23a0b5f0fcfa44ac92a7ab8de8bfc70d_19">
        <w:r>
          <w:rPr>
            <w:rStyle w:val="InternetLink"/>
            <w:rFonts w:ascii="Times New Roman;serif" w:hAnsi="Times New Roman;serif"/>
            <w:b w:val="false"/>
            <w:color w:val="0000FF"/>
            <w:sz w:val="20"/>
            <w:u w:val="single"/>
          </w:rPr>
          <w:t>Item 1—Financial Statements</w:t>
        </w:r>
      </w:hyperlink>
      <w:r>
        <w:rPr>
          <w:color w:val="000000"/>
        </w:rPr>
        <w:t xml:space="preserve"> </w:t>
      </w:r>
      <w:r>
        <w:rPr>
          <w:rFonts w:ascii="Times New Roman;serif" w:hAnsi="Times New Roman;serif"/>
          <w:b w:val="false"/>
          <w:color w:val="000000"/>
          <w:sz w:val="20"/>
        </w:rPr>
        <w:t>of this Quarterly Report on Form 10-Q, as well as related information set forth in the Company’s Consolidated Financial Statements, accompanying Notes to Consolidated Financial Statements, and Management’s Discussion and Analysis of Financial Condition and Results of Operations included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APA is an independent energy company that owns subsidiaries that explore for, develop, and produce crude oil, natural gas, and natural gas liquids (NGLs). The Company’s business has oil and gas exploration, development, appraisal, and/or ongoing operations primarily in four geographic areas: the U.S., Egypt, offshore the U.K. in the North Sea (North Sea), and offshore Suriname. APA also has exploration interests in Uruguay, Alaska, and other international locations that may, over time, result in reportable discoveries and development opportunities. As a holding company, APA Corporation’s primary assets are its ownership interests in its consolidated subsidiaries.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APA believes energy underpins global progress, and the Company wants to be a part of the solution as society works to meet growing global demand for reliable and affordable energy. APA strives to meet those challenges while creating value for all its stakeholders.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Uncertainties in the global supply chain and financial markets impact oil supply and demand and contribute to commodity price volatility. These uncertainties include the impacts and duration of armed conflicts involving the U.S., Iran, Russia, Ukraine, Israel, and other parties in the Middle East, inflation, current and potential tariffs or other trade barriers, global trade policies, and disputes, and actions taken by foreign oil and gas producing nations, including OPEC+. Despite these uncertainties, the Company is focused on its longer-term objectives: (1) to remain committed to providing affordable, reliable, and responsibly produced energy; (2) to deliver top operational performance across safety, environmental responsibility, execution, and risk management measures; (3) to maintain financial discipline by managing costs, protecting the balance sheet to underpin the generation of cash flow in excess of its upstream exploration, appraisal, and development capital program that can be directed to debt reduction, share repurchases, and other return of capital to its shareholders; and (4) to build and grow a diverse and balanced high-quality portfolio with scale through acquisitions, exploration, and organic opportunities.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closely monitors hydrocarbon pricing fundamentals to reallocate capital as part of its ongoing planning process. APA’s diversified asset portfolio and operational flexibility provide the Company the ability to timely respond to near-term price volatility and effectively manage its investment programs accordingly. For additional detail on the Company’s forward capital investment outlook, refer to “Capital Resources and Liquidity” below.</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continued its cost reduction efforts to drive sustainable cost savings for the long-term. The Company remained focused on reducing overhead costs, improving the capital cost structure for its drilling, completions, and facility investments, and driving efficiencies of day-to-day field operating practices. The Company has raised its expected annualized savings target to $500 million by the end of 2026, an increase of $50 million from its previous guidance.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remains committed to its capital return framework for equity holders to participate more directly and materially in cash returns. The Company believes returning 60 percent of free cash flow annually through dividends and share repurchases creates a good balance for providing near-term cash returns to shareholders while still recognizing the importance of continued balance sheet strengthening.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Company pays a quarterly dividend of $0.25 per share on its common stock.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Beginning in the fourth quarter of 2021 and through the end of the second quarter of 2026, the Company has repurchased 101.0 million shares of the Company’s common stock. Subsequent to the quarter ended June 30, 2026 through July 31, 2026, the Company repurchased 0.3 million shares, and as of July 31, 2026, the Company had remaining authorization to repurchase up to 18.7 million shares under the Company’s share repurchase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From year-end 2021 through the date of this filing, the Company has repaid $3.7 billion of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Financial and Operational Highlights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reported net income attributable to common stock of $747 million, or $2.11 per diluted share, compared to net income of $603 million, or $1.67 per diluted share, in the second quarter of 2025. In the first six months of 2026, the Company reported net income attributable to common stock of $1.2 billion, or $3.37 per diluted share, compared to net income of $950 million, or $2.62 per diluted share, in the first six months of 2025. The increase in net income in the second quarter and the first six months of 2026, compared to the second quarter and first six months of 2025, was primarily driven by higher oil revenues on stronger crude oil price realizations, improved margins on third-party purchased oil and gas activity and lower operating expenses driven by prior-year cost savings initiatives.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generated $2.3 billion of cash from operating activities during the first six months of 2026, remaining flat when compared to the first six months of 2025. The Company paid $177 million in dividends to APA common stockholders and repurchased approximately $100 million of Company common stock during the first six months of 2026. The Company also repaid $752 million of long-term debt principal during the first six months of 2026.</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Key operational highlights include:</w:t>
      </w: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Daily boe production from the Company’s U.S. assets, which decreased 9 percent from the second quarter of 2025, accounted for 64 percent of the Company’s worldwide production during the second quarter of 2026. The Company averaged five drilling rigs in the Permian Basin, including four rigs in the Southern Midland Basin and one rig in the Delaware Basin in the second quarter of 2026. The Company brought online 47 operated wells during the quarter. The Company’s core Permian Basin development program continues to represent a key area for the U.S.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APA holds approximately 750,000 MMBtu/d of firm capacity on various pipelines in the Permian Basin. As of June 30, 2026, the Company had open basis swap contracts which purchased Waha and sold NYMEX Henry Hub on approximately one-third of its firm transport capacity for 2026, thereby locking in a significant portion of cash flows associated with its gas trading activities for the near term. Refer to </w:t>
      </w:r>
      <w:hyperlink w:anchor="i23a0b5f0fcfa44ac92a7ab8de8bfc70d_55">
        <w:r>
          <w:rPr>
            <w:rStyle w:val="InternetLink"/>
            <w:rFonts w:ascii="Times New Roman;serif" w:hAnsi="Times New Roman;serif"/>
            <w:b w:val="false"/>
            <w:color w:val="0000FF"/>
            <w:sz w:val="20"/>
            <w:u w:val="single"/>
          </w:rPr>
          <w:t>Note 4—Derivative Instruments and Hedging Activities</w:t>
        </w:r>
      </w:hyperlink>
      <w:r>
        <w:rPr>
          <w:color w:val="000000"/>
        </w:rPr>
        <w:t xml:space="preserve"> </w:t>
      </w:r>
      <w:r>
        <w:rPr>
          <w:rFonts w:ascii="Times New Roman;serif" w:hAnsi="Times New Roman;serif"/>
          <w:b w:val="false"/>
          <w:color w:val="000000"/>
          <w:sz w:val="20"/>
        </w:rPr>
        <w:t>for further discussion of these basis swap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second quarter of 2026, the Company entered into an agreement to acquire Savant Alaska, LLC for approximately $70 million in upfront consideration, plus contingent payments tied to future development of the Company’s Alaska position. The to-be acquired infrastructure is expected to support operations beginning with 2026-2027 exploration and appraisal activities, while enhancing future development flexibility. Upon closing, the transaction is expected to add approximately 104,000 gross acres and approximately 1,500 b/d of oil production. The transaction is expected to close by year-end 2026.</w:t>
      </w: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International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Egypt, the Company averaged 12 drilling rigs and drilled 11 new productive wells during the second quarter of 2026. The Company also averaged 18 workover rigs as it continues optimizing drilling and workover activity for capital efficiency. Second quarter 2026 gross production from the Company’s Egypt assets increased 2 percent while net production decreased 13 percent from the second quarter of 2025. Second quarter 2026 net production was negatively impacted by higher price realizations and lower cost recovery volumes under the merged concession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Egypt, the Company expects approximately one-half of its rig activities to continue to be gas-focused and anticipates continued strong performance for the rest of the year, with realized gas prices increasing through the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quarter, the Government of Egypt awarded the Company a five-year extension covering approximately 3.4 million acres of exploration acreage that was otherwise set to expire. In addition, approximately 400,000 acres of non-prospective acreage was not renewed in accordance with the applicable concession agreement terms. In connection with the extension, the Company committed to a drilling and seismic acquisition and reprocessing program, which it expects to complete in the normal course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Uruguay, the Company signed an agreement with Eni S.p.A. as a strategic partner in offshore Block 6. The Company will retain a 60 percent working interest, with Eni funding most of the initial exploration well planned for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Oil, Natural Gas, and Natural Gas Liquids Production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production revenues and respective contribution to total revenues by country were as follows: </w:t>
      </w:r>
    </w:p>
    <w:tbl>
      <w:tblPr>
        <w:tblW w:w="1112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30"/>
        <w:gridCol w:w="230"/>
        <w:gridCol w:w="63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For the Six Months Ended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Contribution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revenues attributable to a noncontrolling interest in Egypt.</w:t>
      </w:r>
    </w:p>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Production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production volumes by country were as follows:</w:t>
      </w:r>
    </w:p>
    <w:tbl>
      <w:tblPr>
        <w:tblW w:w="9869"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368"/>
        <w:gridCol w:w="368"/>
        <w:gridCol w:w="156"/>
        <w:gridCol w:w="125"/>
        <w:gridCol w:w="125"/>
        <w:gridCol w:w="125"/>
        <w:gridCol w:w="299"/>
        <w:gridCol w:w="299"/>
        <w:gridCol w:w="301"/>
        <w:gridCol w:w="125"/>
        <w:gridCol w:w="125"/>
        <w:gridCol w:w="125"/>
        <w:gridCol w:w="368"/>
        <w:gridCol w:w="368"/>
        <w:gridCol w:w="156"/>
        <w:gridCol w:w="109"/>
        <w:gridCol w:w="109"/>
        <w:gridCol w:w="109"/>
        <w:gridCol w:w="368"/>
        <w:gridCol w:w="368"/>
        <w:gridCol w:w="156"/>
        <w:gridCol w:w="142"/>
        <w:gridCol w:w="142"/>
        <w:gridCol w:w="142"/>
        <w:gridCol w:w="299"/>
        <w:gridCol w:w="299"/>
        <w:gridCol w:w="301"/>
        <w:gridCol w:w="142"/>
        <w:gridCol w:w="142"/>
        <w:gridCol w:w="142"/>
        <w:gridCol w:w="368"/>
        <w:gridCol w:w="368"/>
        <w:gridCol w:w="213"/>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211,270 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235,244 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221,563 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Volume (Mcf/d)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894,099 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788,076 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908,743 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79,690 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BOE per day</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Egypt</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North Sea</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409,959 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465,078 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426,066 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467,017 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Gross production volumes in Egypt were as follows:</w:t>
      </w:r>
    </w:p>
    <w:tbl>
      <w:tblPr>
        <w:tblW w:w="8902"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68"/>
        <w:gridCol w:w="368"/>
        <w:gridCol w:w="163"/>
        <w:gridCol w:w="163"/>
        <w:gridCol w:w="163"/>
        <w:gridCol w:w="163"/>
        <w:gridCol w:w="163"/>
        <w:gridCol w:w="163"/>
        <w:gridCol w:w="163"/>
        <w:gridCol w:w="163"/>
        <w:gridCol w:w="163"/>
        <w:gridCol w:w="163"/>
        <w:gridCol w:w="368"/>
        <w:gridCol w:w="368"/>
        <w:gridCol w:w="163"/>
        <w:gridCol w:w="109"/>
        <w:gridCol w:w="109"/>
        <w:gridCol w:w="109"/>
        <w:gridCol w:w="368"/>
        <w:gridCol w:w="368"/>
        <w:gridCol w:w="175"/>
        <w:gridCol w:w="175"/>
        <w:gridCol w:w="175"/>
        <w:gridCol w:w="175"/>
        <w:gridCol w:w="175"/>
        <w:gridCol w:w="175"/>
        <w:gridCol w:w="175"/>
        <w:gridCol w:w="175"/>
        <w:gridCol w:w="175"/>
        <w:gridCol w:w="175"/>
        <w:gridCol w:w="368"/>
        <w:gridCol w:w="368"/>
        <w:gridCol w:w="247"/>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117,056 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123,852 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119,252 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125,927 </w:t>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528,333 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net production volumes per day attributable to a noncontrolling interest in Egypt of:</w:t>
      </w:r>
    </w:p>
    <w:tbl>
      <w:tblPr>
        <w:tblW w:w="8902"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68"/>
        <w:gridCol w:w="368"/>
        <w:gridCol w:w="163"/>
        <w:gridCol w:w="163"/>
        <w:gridCol w:w="163"/>
        <w:gridCol w:w="163"/>
        <w:gridCol w:w="163"/>
        <w:gridCol w:w="163"/>
        <w:gridCol w:w="163"/>
        <w:gridCol w:w="163"/>
        <w:gridCol w:w="163"/>
        <w:gridCol w:w="163"/>
        <w:gridCol w:w="368"/>
        <w:gridCol w:w="368"/>
        <w:gridCol w:w="163"/>
        <w:gridCol w:w="109"/>
        <w:gridCol w:w="109"/>
        <w:gridCol w:w="109"/>
        <w:gridCol w:w="368"/>
        <w:gridCol w:w="368"/>
        <w:gridCol w:w="175"/>
        <w:gridCol w:w="175"/>
        <w:gridCol w:w="175"/>
        <w:gridCol w:w="175"/>
        <w:gridCol w:w="175"/>
        <w:gridCol w:w="175"/>
        <w:gridCol w:w="175"/>
        <w:gridCol w:w="175"/>
        <w:gridCol w:w="175"/>
        <w:gridCol w:w="175"/>
        <w:gridCol w:w="368"/>
        <w:gridCol w:w="368"/>
        <w:gridCol w:w="247"/>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23,386 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26,138 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28,754 </w:t>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The table shows production on a boe basis in which natural gas is converted to an equivalent barrel of oil based on a 6:1 energy equivalent ratio. This ratio is not reflective of the price ratio between the two products.</w:t>
      </w:r>
    </w:p>
    <w:p>
      <w:pPr>
        <w:pStyle w:val="TextBody"/>
        <w:bidi w:val="0"/>
        <w:spacing w:lineRule="auto" w:line="288" w:before="60" w:after="283"/>
        <w:ind w:left="0" w:right="0" w:hanging="270"/>
        <w:jc w:val="both"/>
        <w:rPr/>
      </w:pPr>
      <w:r>
        <w:rPr>
          <w:rFonts w:ascii="Times New Roman;serif" w:hAnsi="Times New Roman;serif"/>
          <w:b w:val="false"/>
          <w:color w:val="000000"/>
          <w:sz w:val="16"/>
        </w:rPr>
        <w:t>(4)    Average sales volumes from the North Sea for the second quarters of 2026 and 2025 were 14,877 boe/d and 28,015 boe/d, respectively, and 21,539</w:t>
      </w:r>
      <w:r>
        <w:rPr>
          <w:color w:val="000000"/>
        </w:rPr>
        <w:t xml:space="preserve"> </w:t>
      </w:r>
      <w:r>
        <w:rPr>
          <w:rFonts w:ascii="Times New Roman;serif" w:hAnsi="Times New Roman;serif"/>
          <w:b w:val="false"/>
          <w:color w:val="000000"/>
          <w:sz w:val="16"/>
        </w:rPr>
        <w:t>boe/d and 32,336</w:t>
      </w:r>
      <w:r>
        <w:rPr>
          <w:color w:val="000000"/>
        </w:rPr>
        <w:t xml:space="preserve"> </w:t>
      </w:r>
      <w:r>
        <w:rPr>
          <w:rFonts w:ascii="Times New Roman;serif" w:hAnsi="Times New Roman;serif"/>
          <w:b w:val="false"/>
          <w:color w:val="000000"/>
          <w:sz w:val="16"/>
        </w:rPr>
        <w:t>boe/d for the first six months of 2026 and 2025, respectively. Sales volumes may vary from production volumes as a result of the timing of liftings.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Pricing</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average selling prices by country were as follows:</w:t>
      </w:r>
    </w:p>
    <w:tbl>
      <w:tblPr>
        <w:tblW w:w="10038" w:type="dxa"/>
        <w:jc w:val="left"/>
        <w:tblInd w:w="0" w:type="dxa"/>
        <w:tblLayout w:type="fixed"/>
        <w:tblCellMar>
          <w:top w:w="28" w:type="dxa"/>
          <w:left w:w="28" w:type="dxa"/>
          <w:bottom w:w="28" w:type="dxa"/>
          <w:right w:w="28" w:type="dxa"/>
        </w:tblCellMar>
      </w:tblPr>
      <w:tblGrid>
        <w:gridCol w:w="1010"/>
        <w:gridCol w:w="885"/>
        <w:gridCol w:w="894"/>
        <w:gridCol w:w="109"/>
        <w:gridCol w:w="109"/>
        <w:gridCol w:w="109"/>
        <w:gridCol w:w="196"/>
        <w:gridCol w:w="556"/>
        <w:gridCol w:w="109"/>
        <w:gridCol w:w="109"/>
        <w:gridCol w:w="109"/>
        <w:gridCol w:w="109"/>
        <w:gridCol w:w="299"/>
        <w:gridCol w:w="299"/>
        <w:gridCol w:w="301"/>
        <w:gridCol w:w="109"/>
        <w:gridCol w:w="109"/>
        <w:gridCol w:w="109"/>
        <w:gridCol w:w="196"/>
        <w:gridCol w:w="556"/>
        <w:gridCol w:w="109"/>
        <w:gridCol w:w="109"/>
        <w:gridCol w:w="109"/>
        <w:gridCol w:w="109"/>
        <w:gridCol w:w="196"/>
        <w:gridCol w:w="556"/>
        <w:gridCol w:w="109"/>
        <w:gridCol w:w="109"/>
        <w:gridCol w:w="109"/>
        <w:gridCol w:w="109"/>
        <w:gridCol w:w="299"/>
        <w:gridCol w:w="299"/>
        <w:gridCol w:w="301"/>
        <w:gridCol w:w="109"/>
        <w:gridCol w:w="109"/>
        <w:gridCol w:w="109"/>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Oil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Natural Gas Price –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NGL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Second-Quarter 2026 compared to Second-Quarter 2025</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Crude Oil </w:t>
      </w:r>
      <w:r>
        <w:rPr>
          <w:rFonts w:ascii="Times New Roman;serif" w:hAnsi="Times New Roman;serif"/>
          <w:b w:val="false"/>
          <w:color w:val="000000"/>
          <w:sz w:val="20"/>
        </w:rPr>
        <w:t>Crude oil revenues for the second quarter of 2026 totaled $1.8 billion, a $445 million increase from the comparative 2025 quarter. A 50 percent increase in average realized prices increased second-quarter 2026 oil revenues by $688 million compared to the second quarter of 2025, while 10 percent lower average daily sales volumes decreased revenues by $243 million. Crude oil accounted for 90 percent of total oil and gas production revenues and 52 percent of worldwide production in the second quarter of 2026. Crude oil prices realized during the second quarter of 2026 averaged $98.24 per barrel, compared to $65.58 per barrel in the comparative prior-year period.</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oil production decreased 24.0 Mb/d to 211.3 Mb/d during the second quarter of 2026 from the comparative prior-year period, primarily a result of the sale of non-core assets, natural production decline in the U.S. and North Sea, and operational downtime in the North Sea. Second quarter 2026 net production in Egypt was negatively impacted by higher price realizations and lower cost recovery volumes under the merged concession agreement. These decreases were partially offset by successful drilling activity in the Permian Basin.</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Natural Gas</w:t>
      </w:r>
      <w:r>
        <w:rPr>
          <w:color w:val="000000"/>
        </w:rPr>
        <w:t xml:space="preserve"> </w:t>
      </w:r>
      <w:r>
        <w:rPr>
          <w:rFonts w:ascii="Times New Roman;serif" w:hAnsi="Times New Roman;serif"/>
          <w:b w:val="false"/>
          <w:color w:val="000000"/>
          <w:sz w:val="20"/>
        </w:rPr>
        <w:t xml:space="preserve">Natural gas revenues for the second quarter of 2026 totaled $41 million, a $143 million decrease from the comparative 2025 quarter. A 74 percent decrease in average realized prices, driven by periods of negative pricing across the Permian Basin, decreased second-quarter 2026 natural gas revenues by $135 million compared to the second quarter of 2025, while 16 percent lower average daily production decreased gas revenues by $8 million. Natural gas accounted for 2 percent of total oil and gas production revenues and 31 percent of worldwide production during the second quarter of 2026.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natural gas production decreased 142.0 MMcf/d to 752.1 MMcf/d during the second quarter of 2026 from the comparative prior-year period, primarily a result of increased volume curtailments at Alpine High compared with the 2025 period in response to extreme Waha basis differentials, including periods of negative pricing. These curtailments were undertaken to mitigate the economic impact of selling gas into constrained markets at uneconomic or negative prices. Natural gas production was also lower as a result of the sale of non-core assets in the U.S., and operational downtime in the North Sea.</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NGL </w:t>
      </w:r>
      <w:r>
        <w:rPr>
          <w:rFonts w:ascii="Times New Roman;serif" w:hAnsi="Times New Roman;serif"/>
          <w:b w:val="false"/>
          <w:color w:val="000000"/>
          <w:sz w:val="20"/>
        </w:rPr>
        <w:t>NGL revenues for the second quarter of 2026 totaled $170 million, a $17 million increase from the comparative 2025 quarter. A 24 percent increase in average realized prices increased second-quarter 2026 NGL revenues by $36 million compared to the second quarter of 2025, while 9 percent lower average daily production decreased revenues by $19 million. NGLs accounted for 8 percent of total oil and gas production revenues and 17 percent of worldwide production during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NGL production decreased 7.5 Mb/d to 73.3 Mb/d during the second quarter of 2026 from the comparative prior-year period, primarily a result of increased volume curtailments compared with the 2025 period in response to extreme negative price basis differentials in the Permian Basin. NGL production was also lower as a result of the sale of non-core assets in the U.S., and operational downtime in the North Sea.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Year-to-Date 2026 compared to Year-to-Date 2025 </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Crude Oil</w:t>
      </w:r>
      <w:r>
        <w:rPr>
          <w:color w:val="000000"/>
        </w:rPr>
        <w:t xml:space="preserve"> </w:t>
      </w:r>
      <w:r>
        <w:rPr>
          <w:rFonts w:ascii="Times New Roman;serif" w:hAnsi="Times New Roman;serif"/>
          <w:b w:val="false"/>
          <w:color w:val="000000"/>
          <w:sz w:val="20"/>
        </w:rPr>
        <w:t>Crude oil revenues for the first six months of 2026 totaled $3.5 billion, a $489 million increase from the comparative 2025 period. A 26 percent increase in average realized prices for the 2026 period increased oil revenues by $777 million compared to the prior-year period, while 6 percent lower average daily production decreased oil revenues by $288 million compared to the prior-year period. Crude oil revenues accounted for 87 percent of total oil and gas production revenues and 52 percent of worldwide production for the first six months of 2026. Crude oil prices realized during the first six months of 2026 averaged $87.89 per barrel, compared to $69.72 per barrel in the comparative prior-year period.</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oil production decreased 14.3 Mb/d to 221.6 Mb/d in the first six months of 2026 compared to the prior-year period, primarily a result of the sale of non-core assets and weather shut-ins in the U.S., operational downtime in the North Sea, and natural production decline across all assets. These decreases were partially offset by successful drilling activity in the Permian Basin.</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Natural Gas</w:t>
      </w:r>
      <w:r>
        <w:rPr>
          <w:color w:val="000000"/>
        </w:rPr>
        <w:t xml:space="preserve"> </w:t>
      </w:r>
      <w:r>
        <w:rPr>
          <w:rFonts w:ascii="Times New Roman;serif" w:hAnsi="Times New Roman;serif"/>
          <w:b w:val="false"/>
          <w:color w:val="000000"/>
          <w:sz w:val="20"/>
        </w:rPr>
        <w:t xml:space="preserve">Natural gas revenues for the first six months of 2026 totaled $198 million, a $219 million decrease from the comparative 2025 period. A 45 percent decrease in average realized prices, driven by periods of negative pricing across the Permian Basin, decreased natural gas revenues for the 2026 period by $189 million compared to the prior-year period, while 13 percent lower average daily production decreased revenues by $30 million compared to the prior-year period. Natural gas revenues accounted for 5 percent of total oil and gas production revenues and 31 percent of worldwide production for the first six months of 2026.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natural gas production decreased 120.7 MMcf/d to 788 MMcf/d in the first six months of 2026 compared to the prior-year period, primarily a result of increased volume curtailments at Alpine High in response to extreme Waha basis differentials , including periods of negative pricing. Natural gas production was also lower as a result of the sale of non-core assets in the U.S., and operational downtime in the North Sea.</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NGL</w:t>
      </w:r>
      <w:r>
        <w:rPr>
          <w:color w:val="000000"/>
        </w:rPr>
        <w:t xml:space="preserve"> </w:t>
      </w:r>
      <w:r>
        <w:rPr>
          <w:rFonts w:ascii="Times New Roman;serif" w:hAnsi="Times New Roman;serif"/>
          <w:b w:val="false"/>
          <w:color w:val="000000"/>
          <w:sz w:val="20"/>
        </w:rPr>
        <w:t xml:space="preserve">NGL revenues for the first six months of 2026 totaled $311 million, a $48 million decrease from the comparative 2025 period. An 8 percent lower average daily production decreased NGL revenues for the 2026 period by $28 million compared to the prior-year period, while a 6 percent decrease in average realized prices decreased revenues by $20 million. NGL revenues accounted for 8 percent of total oil and gas production revenues and 17 percent of worldwide production for the first six months of 2026.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worldwide NGL production decreased 6.5 Mb/d to 73.2 Mb/d in the first six months of 2026 compared to the prior-year period, primarily a result of increased volume curtailments in response to negative basis differentials in the Permian Basin and the sale of non-core assets in the U.S. These decreases were partially offset by less ethane rejection in the U.S. compared to the same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Purchased Oil and Gas Sales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Purchased oil and gas sales represent volumes attributable to domestic oil and gas purchases that were sold by the Company primarily to fulfill oil and natural gas takeaway obligations and pipeline commitments, including deliveries under international LNG price-based contracts. Sales related to purchased volumes totaled $336 million and $460 million during the second quarters of 2026 and 2025, respectively, and $721 million and $1.1 billion during the first six months of 2026 and 2025, respectively. Associated purchase costs for the sales volumes resulted in net proceeds received totaling $122 million and $47 million for the second quarter and the first six months of 2026, respectively. Associated purchases costs for sales volumes for the second quarter and the first six months of 2025 were $304 million and $778 million, respectively. The higher margin between purchased volume sales and costs realized during the second quarter and the first six months of 2026 was primarily attributable to extreme Permian Basin natural gas prices, which included periods of negative pricing, compared with Houston Ship Channel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operating expenses were as follows and include costs attributable to a noncontrolling interest in Egypt:</w:t>
      </w:r>
    </w:p>
    <w:tbl>
      <w:tblPr>
        <w:tblW w:w="8042" w:type="dxa"/>
        <w:jc w:val="left"/>
        <w:tblInd w:w="0" w:type="dxa"/>
        <w:tblLayout w:type="fixed"/>
        <w:tblCellMar>
          <w:top w:w="28" w:type="dxa"/>
          <w:left w:w="28" w:type="dxa"/>
          <w:bottom w:w="28" w:type="dxa"/>
          <w:right w:w="28" w:type="dxa"/>
        </w:tblCellMar>
      </w:tblPr>
      <w:tblGrid>
        <w:gridCol w:w="1143"/>
        <w:gridCol w:w="999"/>
        <w:gridCol w:w="1008"/>
        <w:gridCol w:w="109"/>
        <w:gridCol w:w="109"/>
        <w:gridCol w:w="109"/>
        <w:gridCol w:w="196"/>
        <w:gridCol w:w="556"/>
        <w:gridCol w:w="109"/>
        <w:gridCol w:w="109"/>
        <w:gridCol w:w="109"/>
        <w:gridCol w:w="109"/>
        <w:gridCol w:w="196"/>
        <w:gridCol w:w="556"/>
        <w:gridCol w:w="109"/>
        <w:gridCol w:w="109"/>
        <w:gridCol w:w="109"/>
        <w:gridCol w:w="109"/>
        <w:gridCol w:w="205"/>
        <w:gridCol w:w="581"/>
        <w:gridCol w:w="114"/>
        <w:gridCol w:w="114"/>
        <w:gridCol w:w="114"/>
        <w:gridCol w:w="114"/>
        <w:gridCol w:w="205"/>
        <w:gridCol w:w="581"/>
        <w:gridCol w:w="161"/>
      </w:tblGrid>
      <w:tr>
        <w:trPr/>
        <w:tc>
          <w:tcPr>
            <w:tcW w:w="114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costs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Lease Operating Expenses (LOE)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LOE decreased $14 million and $59 million from the second quarter and the first six months of 2025, respectively. On a per-unit basis, LOE increased 10 percent and 2 percent in the second quarter and the first six months of 2026, respectively, when compared to the second quarter and the first six months of 2025. The decrease in overall absolute costs was primarily driven by the sale of non-core assets in the Permian Basin, timing of liftings in the North Sea, and continued cost reduction efforts across all operating areas.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Gathering, Processing, and Transmission (GPT)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GPT costs decreased $17 million and $30 million from the second quarter and the first six months of 2025, respectively, primarily driven by a decrease in production volumes in the U.S. compared to the same prior-year period.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Purchased Oil and Gas Costs (Proceeds)</w:t>
      </w:r>
      <w:r>
        <w:rPr>
          <w:color w:val="000000"/>
        </w:rPr>
        <w:t xml:space="preserve">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Purchased oil and gas costs decreased $426 million and $825 million from the second quarter and the first six months of 2025, respectively, primarily driven by gas volumes purchased at significantly lower prices in the Permian Basin, including periods of realized negative prices, and decreased oil and gas volume purchases following the expiration of certain third-party contracts in 2025. Periods of negative gas pricing during 2026 in the Permian Basin resulted in the Company receiving net proceeds totaling $122 million and $47 million during the second quarter and the first six months of 2026, respectively.</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Taxes Other Than Income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Taxes other than income increased $7 million and decreased $10 million from the second quarter and the first six months of 2025, respectively. The increase in taxes for the second quarter of 2026 was driven by higher severance taxes associated with higher oil and NGL prices in the U.S., partially offset by lower ad valorem taxes. The decrease in taxes for the first six months of 2026 was primarily due to lower ad valorem taxes, partially offset by higher severance taxes driven by higher oil prices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Exploration Expenses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exploration expenses were as follows:</w:t>
      </w:r>
    </w:p>
    <w:tbl>
      <w:tblPr>
        <w:tblW w:w="7394"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19"/>
        <w:gridCol w:w="370"/>
        <w:gridCol w:w="122"/>
        <w:gridCol w:w="122"/>
        <w:gridCol w:w="122"/>
        <w:gridCol w:w="122"/>
        <w:gridCol w:w="219"/>
        <w:gridCol w:w="454"/>
        <w:gridCol w:w="122"/>
        <w:gridCol w:w="109"/>
        <w:gridCol w:w="109"/>
        <w:gridCol w:w="109"/>
        <w:gridCol w:w="249"/>
        <w:gridCol w:w="421"/>
        <w:gridCol w:w="138"/>
        <w:gridCol w:w="138"/>
        <w:gridCol w:w="138"/>
        <w:gridCol w:w="138"/>
        <w:gridCol w:w="249"/>
        <w:gridCol w:w="517"/>
        <w:gridCol w:w="19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Dry hole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Geological and geophysical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overhead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Exploration expenses increased $15 million and $11 million from the second quarter and the first six months of 2025, respectively, primarily the result of higher dry hole expense in Egypt compared to the same prior-year periods.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(G&amp;A) Expenses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G&amp;A expenses increased $2 million and $19 million from the second quarter and the first six months of 2025, respectively, primarily driven by higher cash-based stock compensation expense resulting from changes in the Company’s stock price during the periods, partially offset by impacts from cost-reduction efforts on personnel and other overhead expenses.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Transaction, Reorganization, and Separation (TRS) Costs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TRS costs increased $1 million and decreased $29 million from the second quarter and the first six months of 2025, respectively. TRS costs in the second quarter of 2026 were primarily related to transaction costs incurred during the quarter. The decrease in TRS costs in the first six months of 2026 was driven by employee separations and other cost-saving initiatives that occurred during the first six months of 2025.</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Depletion, and Amortization (DD&amp;A)</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DD&amp;A expenses decreased $26 million and $116 million from the second quarter and the first six months of 2025, respectively. The Company’s DD&amp;A rate on its oil and gas properties increased $1.11 and decreased $0.05 per boe from the second quarter and the first six months of 2025, respectively. The decrease in DD&amp;A expense on an absolute basis for the second quarter of 2026 was primarily driven by lower production volumes. This decrease was partially offset by higher DD&amp;A rates resulting from negative gas price-related reserve revisions in the U.S. Permian Basin. For the first six months of 2026, the decrease in DD&amp;A absolute expenses and on a per boe basis was primarily due to lower DD&amp;A rates driven by lower production volumes resulting from the sale of non-core assets in the Permian Basin.</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Financing Costs, Net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Financing costs were as follows:</w:t>
      </w:r>
    </w:p>
    <w:tbl>
      <w:tblPr>
        <w:tblW w:w="7346" w:type="dxa"/>
        <w:jc w:val="left"/>
        <w:tblInd w:w="0" w:type="dxa"/>
        <w:tblLayout w:type="fixed"/>
        <w:tblCellMar>
          <w:top w:w="28" w:type="dxa"/>
          <w:left w:w="28" w:type="dxa"/>
          <w:bottom w:w="28" w:type="dxa"/>
          <w:right w:w="28" w:type="dxa"/>
        </w:tblCellMar>
      </w:tblPr>
      <w:tblGrid>
        <w:gridCol w:w="955"/>
        <w:gridCol w:w="840"/>
        <w:gridCol w:w="844"/>
        <w:gridCol w:w="109"/>
        <w:gridCol w:w="109"/>
        <w:gridCol w:w="109"/>
        <w:gridCol w:w="229"/>
        <w:gridCol w:w="388"/>
        <w:gridCol w:w="127"/>
        <w:gridCol w:w="127"/>
        <w:gridCol w:w="127"/>
        <w:gridCol w:w="127"/>
        <w:gridCol w:w="229"/>
        <w:gridCol w:w="388"/>
        <w:gridCol w:w="127"/>
        <w:gridCol w:w="109"/>
        <w:gridCol w:w="109"/>
        <w:gridCol w:w="109"/>
        <w:gridCol w:w="235"/>
        <w:gridCol w:w="505"/>
        <w:gridCol w:w="130"/>
        <w:gridCol w:w="130"/>
        <w:gridCol w:w="130"/>
        <w:gridCol w:w="130"/>
        <w:gridCol w:w="235"/>
        <w:gridCol w:w="505"/>
        <w:gridCol w:w="18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financing costs decreased $8 million and increased $106 million from the second quarter and the first six months of 2025, respectively. The decrease in net financing costs in the second quarter of 2026 was driven by lower interest expense, a result of lower outstanding debt balances compared to the same prior-year period. Higher net financing costs during the first six months of 2026 was the result of gains on extinguishment of debt from the Company’s cash tender purchases during the first six months of 2025, partially offset by a decrease in interest expense from the associated lower long-term debt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six months ended June 30, 2026 differed from the U.S. federal statutory income tax rate of 21 percent due to taxes on foreign operations. The Company’s effective income tax rate for the six months ended June 30, 2025 differed from the U.S. federal statutory income tax rate of 21 percent due to taxes on foreign operations and a deferred tax expense related to the remeasurement of taxes in the U.K. as a result of the enactment of Finance Act 2025 on March 20, 2025.</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Capital Resources and Liquidity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Operating cash flows are the Company’s principal source of liquidity. The Company’s short-term and long-term operating cash flows are impacted by highly volatile commodity prices, as well as production costs and sales volumes. The Company expects commodity prices to continue to be volatile in the near term as a result of geopolitical instability and tensions, including in the Middle East, macroeconomic uncertainty, current and potential tariffs or trade barriers, supply chain disruptions, and concerns over a potential economic recession. Significant changes in commodity prices impact the Company’s revenues, earnings, and cash flows. These changes potentially impact the Company’s liquidity if costs do not trend with commodity prices. Historically, costs have trended with commodity prices, albeit on a lag. Sales volumes also impact cash flows; however, they have a less volatile impact in the short term.</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the Company’s drilling program and its ability to add reserves economically. Changes in commodity prices also impact estimated quantities of proved reserves.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this time, the Company is unable to predict to what extent ongoing international conflicts in the Middle East, Russia, and Ukraine, and potential changes in trade restrictions and tariffs will impact its business. If inflationary pressures from these and other economic conditions persist or worsen, the Company may incur additional operating costs. The Company will continue to monitor the impact and consequences of these factors on its operations.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expects to invest approximately $2.1 billion in upstream capital investment in 2026. The Company is committed to maintaining a safe and efficient level of activity as part of its planned capital investment program. For the rest of 2026, the Company will continue to budget its capital program at levels to fund activity necessary to offset inherent declines in production and proved oil and natural gas reserves, subject to prevailing commodity prices. Future rig activity levels and drilling targets will be dependent on the success of the Company’s drilling program and its ability to add reserves economically.</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believes its available liquidity and capital resource alternatives, combined with proactive measures to adjust its capital budget to reflect volatile commodity prices and anticipated operating cash flows, will be adequate to fund short-term and long-term operations, including the Company’s capital development program, repayment of debt maturities, payment of dividends, share buy-back activity, and amounts that may ultimately be paid in connection with 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may also elect to utilize available cash on hand, committed borrowing capacity, access to both debt and equity capital markets, or proceeds from the sale of nonstrategic assets for all other liquidity and capital resource needs.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refer to Part I, Items 1 and 2—Business and Properties, and Item 1A—Risk Factors,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sources and uses of the Company’s cash and cash equivalents for the periods presented:</w:t>
      </w:r>
    </w:p>
    <w:tbl>
      <w:tblPr>
        <w:tblW w:w="7225" w:type="dxa"/>
        <w:jc w:val="left"/>
        <w:tblInd w:w="0" w:type="dxa"/>
        <w:tblLayout w:type="fixed"/>
        <w:tblCellMar>
          <w:top w:w="28" w:type="dxa"/>
          <w:left w:w="28" w:type="dxa"/>
          <w:bottom w:w="28" w:type="dxa"/>
          <w:right w:w="28" w:type="dxa"/>
        </w:tblCellMar>
      </w:tblPr>
      <w:tblGrid>
        <w:gridCol w:w="1702"/>
        <w:gridCol w:w="1498"/>
        <w:gridCol w:w="1509"/>
        <w:gridCol w:w="109"/>
        <w:gridCol w:w="109"/>
        <w:gridCol w:w="109"/>
        <w:gridCol w:w="205"/>
        <w:gridCol w:w="581"/>
        <w:gridCol w:w="114"/>
        <w:gridCol w:w="114"/>
        <w:gridCol w:w="114"/>
        <w:gridCol w:w="114"/>
        <w:gridCol w:w="205"/>
        <w:gridCol w:w="581"/>
        <w:gridCol w:w="161"/>
      </w:tblGrid>
      <w:tr>
        <w:trPr/>
        <w:tc>
          <w:tcPr>
            <w:tcW w:w="170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Sources of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Fixed-rate debt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asset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Sources of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Uses of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upstream oil and gas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and property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commercial paper and revolving credit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fixed-rate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APA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activity,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Uses of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Sources of Cash and Cash Equivalents</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Operating cash flows are the Company’s principal source of capital and liquidity and are impacted, both in the short term and the long term, by volatile commodity prices. The factors that determine operating cash flows are largely the same as those that affect net earnings, with the exception of non-cash expenses such as DD&amp;A, exploratory dry hole expense, asset impairments, asset retirement obligation accretion, and deferred income tax expense.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first six months of 2026 totaled $2.3 billion, $17 million lower than the first six months of 2025. 2026 benefited from higher oil and gas revenues from higher realized oil prices and higher margins on third-party purchased oil and gas sales. 2025 benefitted from the collection of outstanding Egypt receivables and timing of other working capital items.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 detailed discussion of commodity prices, production, and operating expenses, refer to “Results of Operations” in this Item 2. For additional detail on the changes in operating assets and liabilities and the non-cash expenses that do not impact net cash provided by operating activities, refer to the Statement of Consolidated Cash Flows in the Consolidated Financial Statements set forth in Part I, Item 1, Financial Statements of this Quarterly Report on Form 10-Q.</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Uses of Cash and Cash Equivalents</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Additions to Oil &amp; Gas Property</w:t>
      </w:r>
      <w:r>
        <w:rPr>
          <w:color w:val="000000"/>
        </w:rPr>
        <w:t xml:space="preserve"> </w:t>
      </w:r>
      <w:r>
        <w:rPr>
          <w:rFonts w:ascii="Times New Roman;serif" w:hAnsi="Times New Roman;serif"/>
          <w:b w:val="false"/>
          <w:color w:val="000000"/>
          <w:sz w:val="20"/>
        </w:rPr>
        <w:t>During the first six months of 2026 and 2025, exploration and development cash expenditures were $1.1 billion and $1.4 billion, respectively. The decrease in capital investment compared to the prior-year period is largely driven by the Company’s efficiency gains on drilling and completion activities in the Permian Basin and Egypt. The Company operated an average of approximately 17 drilling rigs during the first six months of 2026, compared to an average of approximately 21 drilling rigs during the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Leasehold and Property Acquisitions </w:t>
      </w:r>
      <w:r>
        <w:rPr>
          <w:rFonts w:ascii="Times New Roman;serif" w:hAnsi="Times New Roman;serif"/>
          <w:b w:val="false"/>
          <w:color w:val="000000"/>
          <w:sz w:val="20"/>
        </w:rPr>
        <w:t>During the first six months of 2026 and 2025, the Company completed other leasehold and property acquisitions, primarily in the Permian Basin, for total cash consideration of $6 million and $20 million, respectively.</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Payments on Fixed-Rate Debt</w:t>
      </w:r>
      <w:r>
        <w:rPr>
          <w:color w:val="000000"/>
        </w:rPr>
        <w:t xml:space="preserve"> </w:t>
      </w:r>
      <w:r>
        <w:rPr>
          <w:rFonts w:ascii="Times New Roman;serif" w:hAnsi="Times New Roman;serif"/>
          <w:b w:val="false"/>
          <w:color w:val="000000"/>
          <w:sz w:val="20"/>
        </w:rPr>
        <w:t>During the first six months of 2026, the Company repaid in cash $754 million of long-term debt, which comprised outstanding principal amounts and make-whole premiums, plus accrued and unpaid interest.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2025, the Company settled its private exchange and cash tender offers for certain notes and debentures of Apache and made open market repurchases for an aggregate cash payment amount of $954 million, reflecting principal amounts, discount to par, and associated fees.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may, and expects that Apache will continue to, reduce debt outstanding under its indentures from time to time.</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Dividends Paid to APA Common Stockholders</w:t>
      </w:r>
      <w:r>
        <w:rPr>
          <w:color w:val="000000"/>
        </w:rPr>
        <w:t xml:space="preserve"> </w:t>
      </w:r>
      <w:r>
        <w:rPr>
          <w:rFonts w:ascii="Times New Roman;serif" w:hAnsi="Times New Roman;serif"/>
          <w:b w:val="false"/>
          <w:color w:val="000000"/>
          <w:sz w:val="20"/>
        </w:rPr>
        <w:t xml:space="preserve">During the first six months of 2026 and 2025, the Company paid $177 million and $181 million, respectively, for dividends on its common stock. </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Distributions to Noncontrolling Interest </w:t>
      </w:r>
      <w:r>
        <w:rPr>
          <w:rFonts w:ascii="Times New Roman;serif" w:hAnsi="Times New Roman;serif"/>
          <w:b w:val="false"/>
          <w:color w:val="000000"/>
          <w:sz w:val="20"/>
        </w:rPr>
        <w:t>Sinopec International Petroleum Exploration and Production Corporation (Sinopec) holds a one-third minority participation interest in the Company’s oil and gas operations in Egypt. During the first six months of 2026 and 2025, the Company paid $164 million and $217 million, respectively, in cash distributions to Sinopec.</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Treasury Stock Activity, net</w:t>
      </w:r>
      <w:r>
        <w:rPr>
          <w:color w:val="000000"/>
        </w:rPr>
        <w:t xml:space="preserve"> </w:t>
      </w:r>
      <w:r>
        <w:rPr>
          <w:rFonts w:ascii="Times New Roman;serif" w:hAnsi="Times New Roman;serif"/>
          <w:b w:val="false"/>
          <w:color w:val="000000"/>
          <w:sz w:val="20"/>
        </w:rPr>
        <w:t>In the first six months of 2026, the Company repurchased 2.8 million shares at an average price of $35.26 per share and an aggregate purchase price of approximately $100 million, and as of June 30, 2026, the Company had remaining authorization to repurchase 19.0 million shares. In the first six months of 2025, the Company repurchased 7.1 million shares at an average price of $21.21 per share and an aggregate purchase price of approximately $150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key financial indicators:</w:t>
      </w:r>
    </w:p>
    <w:tbl>
      <w:tblPr>
        <w:tblW w:w="7882" w:type="dxa"/>
        <w:jc w:val="left"/>
        <w:tblInd w:w="0" w:type="dxa"/>
        <w:tblLayout w:type="fixed"/>
        <w:tblCellMar>
          <w:top w:w="28" w:type="dxa"/>
          <w:left w:w="28" w:type="dxa"/>
          <w:bottom w:w="28" w:type="dxa"/>
          <w:right w:w="28" w:type="dxa"/>
        </w:tblCellMar>
      </w:tblPr>
      <w:tblGrid>
        <w:gridCol w:w="1920"/>
        <w:gridCol w:w="1681"/>
        <w:gridCol w:w="1693"/>
        <w:gridCol w:w="109"/>
        <w:gridCol w:w="109"/>
        <w:gridCol w:w="109"/>
        <w:gridCol w:w="202"/>
        <w:gridCol w:w="435"/>
        <w:gridCol w:w="112"/>
        <w:gridCol w:w="109"/>
        <w:gridCol w:w="109"/>
        <w:gridCol w:w="109"/>
        <w:gridCol w:w="300"/>
        <w:gridCol w:w="647"/>
        <w:gridCol w:w="238"/>
      </w:tblGrid>
      <w:tr>
        <w:trPr/>
        <w:tc>
          <w:tcPr>
            <w:tcW w:w="192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 APA and Apache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committed borrowing capacity under syndicated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As of June 30, 2026, the Company had $444 million in cash and cash equivalents. The majority of the Company’s cash is invested in highly liquid, investment-grade instruments with maturities of three months or less at the time of purchase.</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As of June 30, 2026, the Company had $3.7 billion in total debt outstanding, which consisted of notes and debentures of APA and Apache and finance lease obligations. As of June 30, 2026, current debt included $2 million of finance lease obligations.</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Indenture Debt Activity</w:t>
      </w:r>
      <w:r>
        <w:rPr>
          <w:color w:val="000000"/>
        </w:rPr>
        <w:t xml:space="preserve"> </w:t>
      </w:r>
      <w:r>
        <w:rPr>
          <w:rFonts w:ascii="Times New Roman;serif" w:hAnsi="Times New Roman;serif"/>
          <w:b w:val="false"/>
          <w:color w:val="000000"/>
          <w:sz w:val="20"/>
        </w:rPr>
        <w:t>On June 29, 2026, APA fully redeemed its privately placed 4.250% Notes due 2030, and Apache fully redeemed its 4.250% Notes due 2030. Noteholders were paid an aggregate $118 million in cash, which comprised outstanding principal amounts, plus accrued and unpaid interest to the redemption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April 15, 2026, APA and Apache repaid in cash on maturity the outstanding $132 million aggregate principal amount of their respective 7.95% Notes due 2026, plus accrued and unpaid interest to the maturity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April 6, 2026, APA and Apache fully redeemed their respective 4.875% Notes due 2027 and 4.375% Notes due 2028. Noteholders were paid an aggregate $425 million in cash, which comprised outstanding principal amounts and make-whole premiums, plus accrued and unpaid interest to the redemption date.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15, 2026, APA and Apache repaid in cash on maturity the outstanding $79 million aggregate principal amount of their respective 7.70% Notes due 2026, plus accrued and unpaid interest to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purchased in the open market and had canceled indebtedness issued under indentures of APA and Apache in an aggregate principal amount of $108 million for an aggregate purchase price of $100 million in cash, including accrued interest and broker fees, reflecting a discount to par of an aggregate $10 million. The Company recognized a $10 million gain on these repurchases.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Committed Credit Facilities</w:t>
      </w:r>
      <w:r>
        <w:rPr>
          <w:color w:val="000000"/>
        </w:rPr>
        <w:t xml:space="preserve"> </w:t>
      </w:r>
      <w:r>
        <w:rPr>
          <w:rFonts w:ascii="Times New Roman;serif" w:hAnsi="Times New Roman;serif"/>
          <w:b w:val="false"/>
          <w:color w:val="000000"/>
          <w:sz w:val="20"/>
        </w:rPr>
        <w:t>On January 15, 2025, the Company entered into two unsecured syndicated credit agreements for general corporate purposes: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Uncommitted Lines of Credit </w:t>
      </w:r>
      <w:r>
        <w:rPr>
          <w:rFonts w:ascii="Times New Roman;serif" w:hAnsi="Times New Roman;serif"/>
          <w:b w:val="false"/>
          <w:color w:val="000000"/>
          <w:sz w:val="20"/>
        </w:rPr>
        <w:t>Each of the Company and</w:t>
      </w:r>
      <w:r>
        <w:rPr>
          <w:color w:val="000000"/>
        </w:rPr>
        <w:t xml:space="preserve"> </w:t>
      </w:r>
      <w:r>
        <w:rPr>
          <w:rFonts w:ascii="Times New Roman;serif" w:hAnsi="Times New Roman;serif"/>
          <w:b w:val="false"/>
          <w:color w:val="000000"/>
          <w:sz w:val="20"/>
        </w:rPr>
        <w:t>Apache, from time to time, has and uses uncommitted credit and letter of credit facilities for working capital and credit support purposes. As of June 30, 2026 and December 31, 2025, there were no outstanding borrowings under these facilities. As of June 30, 2026, there were £567 million and $10 million in letters of credit outstanding under these facilities. As of December 31, 2025, there were £901 million and $10 million in letters of credit outstanding under these facilities.</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Commercial Paper Program </w:t>
      </w:r>
      <w:r>
        <w:rPr>
          <w:rFonts w:ascii="Times New Roman;serif" w:hAnsi="Times New Roman;serif"/>
          <w:b w:val="false"/>
          <w:color w:val="000000"/>
          <w:sz w:val="20"/>
        </w:rPr>
        <w:t>The Company has a commercial paper program under which it from time to time may issue in private placements exempt from registration under the Securities Act 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June 30, 2026, included the $2.0 billion USD Agreement.</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CP Notes are sold under customary market terms in the U.S. commercial paper market at a discount from par or at par and bear interest at rates determined at the time of issuance.</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each of June 30, 2026 and December 31, 2025, the Company had no CP Notes outstanding.</w:t>
      </w:r>
    </w:p>
    <w:p>
      <w:pPr>
        <w:pStyle w:val="TextBody"/>
        <w:bidi w:val="0"/>
        <w:spacing w:lineRule="auto" w:line="288" w:before="200" w:after="283"/>
        <w:ind w:left="0" w:right="0" w:firstLine="495"/>
        <w:jc w:val="both"/>
        <w:rPr/>
      </w:pPr>
      <w:r>
        <w:rPr>
          <w:rFonts w:ascii="Times New Roman;serif" w:hAnsi="Times New Roman;serif"/>
          <w:b w:val="false"/>
          <w:i/>
          <w:color w:val="000000"/>
          <w:sz w:val="20"/>
        </w:rPr>
        <w:t xml:space="preserve">Off-Balance Sheet Arrangements </w:t>
      </w:r>
      <w:r>
        <w:rPr>
          <w:rFonts w:ascii="Times New Roman;serif" w:hAnsi="Times New Roman;serif"/>
          <w:b w:val="false"/>
          <w:color w:val="000000"/>
          <w:sz w:val="20"/>
        </w:rPr>
        <w:t>The Company enters into customary agreements in the oil and gas industry for drilling rig commitments, firm transportation agreements, and other obligations that may not be recorded on the Company’s consolidated balance sheet. For more information regarding these and other contractual arrangements, please refer to “Contractual Obligations” in Part II, Item 7 of APA’s Annual Report on Form 10-K for the fiscal year ended December 31, 2025. There have been no material changes to the contractual obligations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Potential Decommissioning Obligations on Sold Properties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erif" w:hAnsi="Times New Roman;serif"/>
          <w:b w:val="false"/>
          <w:color w:val="000000"/>
          <w:sz w:val="20"/>
          <w:shd w:fill="FFFFFF" w:val="clear"/>
        </w:rPr>
        <w:t>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w:t>
      </w:r>
      <w:r>
        <w:rPr>
          <w:color w:val="000000"/>
        </w:rPr>
        <w:t xml:space="preserve"> </w:t>
      </w:r>
      <w:r>
        <w:rPr>
          <w:rFonts w:ascii="Times New Roman;serif" w:hAnsi="Times New Roman;serif"/>
          <w:b w:val="false"/>
          <w:color w:val="000000"/>
          <w:sz w:val="20"/>
          <w:shd w:fill="FFFFFF" w:val="clear"/>
        </w:rPr>
        <w:t xml:space="preserve">The decommissioning </w:t>
      </w:r>
      <w:r>
        <w:rPr>
          <w:rFonts w:ascii="Times New Roman;serif" w:hAnsi="Times New Roman;serif"/>
          <w:b w:val="false"/>
          <w:color w:val="000000"/>
          <w:sz w:val="20"/>
        </w:rPr>
        <w:t>obligations for the Legacy GOA Assets are partially secured by a trust account of which Apache is a beneficiary and which is funded by net profits interests (NPIs) depending on future oil prices. In addition, after such sources have been exhausted, Apache agreed upon resolution of GOM Shelf’s second bankruptcy to loan GOM Shelf of up to $400 million to perform decommissioning, with such loans and related obligations secured by first and prior liens on the Legacy GOA Assets.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recorded an asset of $41 million, representing the remaining amount the Company expects to be reimbursed from security related to these decommissioning costs.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also recorded contingent liabilities in the amounts of $847 million and $881 million for the periods ended June 30, 2026 and December 31, 2025, respectively, representing the estimated costs of decommissioning it may be required to perform on the Legacy GOA Assets. There have been no other changes in estimates from December 31, 2025 that would have a material impact on the Company’s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primary objective of the following information is to provide forward-looking quantitative and qualitative information about the Company’s exposure to market risk. The term “market risk” relates to the risk of loss arising from adverse changes in oil, natural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Commodity Price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conflicts in the Middle East and elsewhere, and global supply and demand. The Company continually monitors its market risk exposure, as oil and gas supply and demand are impacted by uncertainties in the commodity and financial markets, actions taken by foreign oil and gas producing nations, including OPEC+, and other current events.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average crude oil price realizations increased 50 percent from $65.58 per barrel to $98.24 per barrel during the second quarters of 2025 and 2026, respectively. The Company’s average natural gas price realizations decreased 74 percent from $2.28 per Mcf to $0.60 per Mcf during the second quarters of 2025 and 2026, respectively. The Company’s average NGL price realizations increased 24 percent from $20.49 per barrel to $25.41 per barrel during the second quarters of 2025 and 2026, respectively. Based on average daily production for the second quarter of 2026, a $1.00 per barrel change in the weighted average realized oil price would have increased or decreased revenues for the quarter by approximately $19 million, a $0.10 per Mcf change in the weighted average realized natural gas price would have increased or decreased revenues for the quarter by approximately $7 million, and a $1.00 per barrel change in the weighted average realized NGL price would have increased or decreased revenues for the quarter by approximately $7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The Company periodically enters into derivative positions on a portion of its projected crude oil and natural gas production through a variety of financial and physical arrangements intended to manage fluctuations in cash flows resulting from changes in commodity prices. Such derivative positions may include the use of futures contracts, swaps, and/or options. The Company does not hold or issue derivative instruments for trading purposes. As of June 30, 2026, the Company had open natural gas derivatives not designated as cash flow hedges in a liability position with a fair value of $6 million. A 10 percent increase in natural gas prices would decrease the liability by approximately $4 million, while a 10 percent decrease in prices would increase the liability by approximately $3 million. These fair value changes assume volatility based on prevailing market parameters at June 30, 2026. Refer to </w:t>
      </w:r>
      <w:hyperlink w:anchor="i23a0b5f0fcfa44ac92a7ab8de8bfc70d_55">
        <w:r>
          <w:rPr>
            <w:rStyle w:val="InternetLink"/>
            <w:rFonts w:ascii="Times New Roman;serif" w:hAnsi="Times New Roman;serif"/>
            <w:b w:val="false"/>
            <w:color w:val="0000FF"/>
            <w:sz w:val="20"/>
            <w:u w:val="single"/>
          </w:rPr>
          <w:t>Note 4—Derivative Instruments and Hedging Activities</w:t>
        </w:r>
      </w:hyperlink>
      <w:r>
        <w:rPr>
          <w:color w:val="000000"/>
        </w:rPr>
        <w:t xml:space="preserve"> </w:t>
      </w:r>
      <w:r>
        <w:rPr>
          <w:rFonts w:ascii="Times New Roman;serif" w:hAnsi="Times New Roman;serif"/>
          <w:b w:val="false"/>
          <w:color w:val="000000"/>
          <w:sz w:val="20"/>
        </w:rPr>
        <w:t>in the Notes to Consolidated Financial Statements set forth in Part I, Item 1 of this Quarterly Report on Form 10-Q for notional volumes and terms with the Company’s derivative contracts.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Interest Rate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$3.7 billion, net, in outstanding notes and debentures, all of which was fixed-rate debt, with a weighted average interest rate of 5.71 percent. Although near-term changes in interest rates may affect the fair value of fixed-rate debt, such changes do not expose the Company to the risk of earnings or cash flow loss associated with that debt.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also exposed to interest rate risk related to its interest-bearing cash and cash equivalents balances and amounts outstanding under its term loan facility, commercial paper program, and syndicated credit facilities. As of June 30, 2026, the Company had approximately $444 million in cash and cash equivalents, approximately 83 percent of which was invested in money market funds and short-term investments with major financial institutions. As of June 30, 2026, there were no borrowings outstanding under the Company’s term loan facility, commercial paper program, and syndicated revolving credit facilities. Changes in the interest rate applicable to short-term investments, term loan facility, commercial paper program, and credit facility borrowings are expected to have an immaterial impact on earnings and cash flows but could impact interest costs associated with future debt issuances or any future borrowings.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Foreign Currency Exchange Rate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cash activities relating to certain international operations is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would not be material from a 10 percent weakening or strengthening, respectively, in the British pound as of June 30, 2026.</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increased foreign currency risk associated with the effects of decommissioning obligations in the North Sea. The Company has periodically entered into foreign exchange contracts in order to minimize the impact of fluctuating exchange rates for the British pound on the Company’s operating expenses. As of June 30, 2026, the Company had outstanding foreign exchange contracts with a total notional amount of £72 million that are used to reduce its exposure to fluctuating foreign exchange rates for the British Pound. A 10 percent strengthening of the British pound against the U.S. dollar would result in a foreign currency net gain of $4 million, while a 10 percent weakening of the British pound against the U.S. dollar would result in a loss of $9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Disclosure Controls and Procedures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John J. Christmann IV, the Company’s Chief Executive Officer, in his capacity as principal executive officer, and Ben C. Rodgers, the Company’s Executive Vice President and Chief Financial Officer, in his capacity as principal financial officer, evaluated the effectiveness of the Company’s disclosure controls and procedures as of June 30, 2026,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the Company’s management, including its principal executive officer and principal financial officer, to allow timely decisions regarding required disclosure.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its disclosure controls, and may take other corrective action, if the Company’s reviews identify deficiencies or weaknesses in its controls.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Changes in Internal Control Over Financial Reporting</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Refer to Part I, Item 3—Legal Proceedings of the Company’s Annual Report on Form 10-K for the fiscal year ended December 31, 2025, and </w:t>
      </w:r>
      <w:hyperlink w:anchor="i23a0b5f0fcfa44ac92a7ab8de8bfc70d_79">
        <w:r>
          <w:rPr>
            <w:rStyle w:val="InternetLink"/>
            <w:rFonts w:ascii="Times New Roman;serif" w:hAnsi="Times New Roman;serif"/>
            <w:b w:val="false"/>
            <w:color w:val="0000FF"/>
            <w:sz w:val="20"/>
            <w:u w:val="single"/>
          </w:rPr>
          <w:t>Note 10—Commitments and Contingencies</w:t>
        </w:r>
      </w:hyperlink>
      <w:r>
        <w:rPr>
          <w:color w:val="000000"/>
        </w:rPr>
        <w:t xml:space="preserve"> </w:t>
      </w:r>
      <w:r>
        <w:rPr>
          <w:rFonts w:ascii="Times New Roman;serif" w:hAnsi="Times New Roman;serif"/>
          <w:b w:val="false"/>
          <w:color w:val="000000"/>
          <w:sz w:val="20"/>
        </w:rPr>
        <w:t>in the Notes to the Consolidated Financial Statements set forth in Part I, Item 1 of this Quarterly Report on Form 10-Q (which is hereby incorporated by reference herein), for a description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There have been no material changes to the risk factors disclosed in Part I, </w:t>
      </w:r>
      <w:hyperlink w:anchor="i23a0b5f0fcfa44ac92a7ab8de8bfc70d_160">
        <w:r>
          <w:rPr>
            <w:rStyle w:val="InternetLink"/>
            <w:rFonts w:ascii="Times New Roman;serif" w:hAnsi="Times New Roman;serif"/>
            <w:b w:val="false"/>
            <w:color w:val="0000FF"/>
            <w:sz w:val="20"/>
            <w:u w:val="single"/>
          </w:rPr>
          <w:t>Item 1A—Risk Factors</w:t>
        </w:r>
      </w:hyperlink>
      <w:r>
        <w:rPr>
          <w:color w:val="000000"/>
        </w:rPr>
        <w:t xml:space="preserve"> </w:t>
      </w:r>
      <w:r>
        <w:rPr>
          <w:rFonts w:ascii="Times New Roman;serif" w:hAnsi="Times New Roman;serif"/>
          <w:b w:val="false"/>
          <w:color w:val="000000"/>
          <w:sz w:val="20"/>
        </w:rPr>
        <w:t xml:space="preserve">of the Company’s Annual Report on Form 10-K for the fiscal year ended December 31, 2025, as supplemented by Part II, </w:t>
      </w:r>
      <w:hyperlink w:anchor="i23a0b5f0fcfa44ac92a7ab8de8bfc70d_160">
        <w:r>
          <w:rPr>
            <w:rStyle w:val="InternetLink"/>
            <w:rFonts w:ascii="Times New Roman;serif" w:hAnsi="Times New Roman;serif"/>
            <w:b w:val="false"/>
            <w:color w:val="0000FF"/>
            <w:sz w:val="20"/>
            <w:u w:val="single"/>
          </w:rPr>
          <w:t>Item 1A—Risk Factors</w:t>
        </w:r>
      </w:hyperlink>
      <w:r>
        <w:rPr>
          <w:color w:val="000000"/>
        </w:rPr>
        <w:t xml:space="preserve"> </w:t>
      </w:r>
      <w:r>
        <w:rPr>
          <w:rFonts w:ascii="Times New Roman;serif" w:hAnsi="Times New Roman;serif"/>
          <w:b w:val="false"/>
          <w:color w:val="000000"/>
          <w:sz w:val="20"/>
        </w:rPr>
        <w:t>of the Company’s Quarterly Report on Form 10-Q for the quarterly period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shares of common stock repurchased by the Company during the quarter ended June 30, 2026:</w:t>
      </w:r>
    </w:p>
    <w:tbl>
      <w:tblPr>
        <w:tblW w:w="10205" w:type="dxa"/>
        <w:jc w:val="left"/>
        <w:tblInd w:w="0" w:type="dxa"/>
        <w:tblLayout w:type="fixed"/>
        <w:tblCellMar>
          <w:top w:w="28" w:type="dxa"/>
          <w:left w:w="28" w:type="dxa"/>
          <w:bottom w:w="28" w:type="dxa"/>
          <w:right w:w="28" w:type="dxa"/>
        </w:tblCellMar>
      </w:tblPr>
      <w:tblGrid>
        <w:gridCol w:w="355"/>
        <w:gridCol w:w="312"/>
        <w:gridCol w:w="314"/>
        <w:gridCol w:w="109"/>
        <w:gridCol w:w="109"/>
        <w:gridCol w:w="109"/>
        <w:gridCol w:w="721"/>
        <w:gridCol w:w="469"/>
        <w:gridCol w:w="470"/>
        <w:gridCol w:w="109"/>
        <w:gridCol w:w="109"/>
        <w:gridCol w:w="109"/>
        <w:gridCol w:w="287"/>
        <w:gridCol w:w="841"/>
        <w:gridCol w:w="148"/>
        <w:gridCol w:w="109"/>
        <w:gridCol w:w="109"/>
        <w:gridCol w:w="109"/>
        <w:gridCol w:w="1002"/>
        <w:gridCol w:w="782"/>
        <w:gridCol w:w="785"/>
        <w:gridCol w:w="109"/>
        <w:gridCol w:w="109"/>
        <w:gridCol w:w="109"/>
        <w:gridCol w:w="719"/>
        <w:gridCol w:w="695"/>
        <w:gridCol w:w="997"/>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c>
      </w:tr>
      <w:tr>
        <w:trPr/>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the Plans or Programs</w:t>
            </w:r>
            <w:r>
              <w:rPr>
                <w:rFonts w:ascii="Times New Roman;serif" w:hAnsi="Times New Roman;serif"/>
                <w:b/>
                <w:color w:val="000000"/>
                <w:sz w:val="13"/>
              </w:rPr>
              <w:t>(1)</w:t>
            </w:r>
          </w:p>
        </w:tc>
      </w:tr>
      <w:tr>
        <w:trPr/>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21,866,138</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453,546 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453,546 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21,412,592</w:t>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2,383,266 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2,383,266 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19,029,326</w:t>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(1) During the third quarter of 2022, the Company's Board of Directors authorized the purchase of 40 million shares of the Company's common stock. Shares may be purchased either in the open market or through privately negotiated transactions. The Company is not obligated to acquire any specific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officers or directors adopted or terminated any “Rule 10b5-1 trading arrangement” or “non-Rule 10b5-1 trading arrangement” (as such terms are defined in Item 408 of Regulation S-K).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159"/>
        <w:gridCol w:w="2159"/>
        <w:gridCol w:w="2164"/>
        <w:gridCol w:w="201"/>
        <w:gridCol w:w="201"/>
        <w:gridCol w:w="202"/>
        <w:gridCol w:w="245"/>
        <w:gridCol w:w="245"/>
        <w:gridCol w:w="246"/>
        <w:gridCol w:w="223"/>
        <w:gridCol w:w="223"/>
        <w:gridCol w:w="224"/>
        <w:gridCol w:w="346"/>
        <w:gridCol w:w="200"/>
        <w:gridCol w:w="20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 File No.</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Registrant, dated March 1, 2021</w:t>
              </w:r>
            </w:hyperlink>
            <w:r>
              <w:rPr>
                <w:rFonts w:ascii="Times New Roman;serif" w:hAnsi="Times New Roman;serif"/>
                <w:b w:val="false"/>
                <w:color w:val="000000"/>
                <w:sz w:val="20"/>
              </w:rPr>
              <w:t>.</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8-K12B</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3/1/2021</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of Amended and Restated Certificate of Incorporation of Registrant, dated May 24, 2023, as filed with the Secretary of State of the State of Delaware on May 24, 2023</w:t>
              </w:r>
            </w:hyperlink>
            <w:r>
              <w:rPr>
                <w:rFonts w:ascii="Times New Roman;serif" w:hAnsi="Times New Roman;serif"/>
                <w:b w:val="false"/>
                <w:color w:val="000000"/>
                <w:sz w:val="20"/>
              </w:rPr>
              <w:t>.</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5/25/2023</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Bylaws of Registrant, dated February 2, 2023</w:t>
              </w:r>
            </w:hyperlink>
            <w:r>
              <w:rPr>
                <w:rFonts w:ascii="Times New Roman;serif" w:hAnsi="Times New Roman;serif"/>
                <w:b w:val="false"/>
                <w:color w:val="000000"/>
                <w:sz w:val="20"/>
              </w:rPr>
              <w:t>.</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2/8/2023</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001-40144</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80"/>
                  <w:sz w:val="20"/>
                  <w:u w:val="single"/>
                </w:rPr>
                <w:t xml:space="preserve">Third Amendment to the 2016 Omnibus Compensation Plan, approved by </w:t>
              </w:r>
            </w:hyperlink>
            <w:hyperlink r:id="rId6">
              <w:r>
                <w:rPr>
                  <w:rStyle w:val="InternetLink"/>
                  <w:rFonts w:ascii="Times New Roman;serif" w:hAnsi="Times New Roman;serif"/>
                  <w:b w:val="false"/>
                  <w:color w:val="000080"/>
                  <w:sz w:val="20"/>
                  <w:u w:val="single"/>
                </w:rPr>
                <w:t>shareholders May 21, 2026.</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001-40144</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82"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6q2-exhibit311.htm">
              <w:r>
                <w:rPr>
                  <w:rStyle w:val="InternetLink"/>
                  <w:rFonts w:ascii="Times New Roman;serif" w:hAnsi="Times New Roman;serif"/>
                  <w:b w:val="false"/>
                  <w:color w:val="0000FF"/>
                  <w:sz w:val="20"/>
                  <w:u w:val="single"/>
                </w:rPr>
                <w:t>Certification (pursuant to Rule 13a-14(a) or Rule 15d-14(a) of the Exchange Act) by Principal Executive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6q2-exhibit312.htm">
              <w:r>
                <w:rPr>
                  <w:rStyle w:val="InternetLink"/>
                  <w:rFonts w:ascii="Times New Roman;serif" w:hAnsi="Times New Roman;serif"/>
                  <w:b w:val="false"/>
                  <w:color w:val="0000FF"/>
                  <w:sz w:val="20"/>
                  <w:u w:val="single"/>
                </w:rPr>
                <w:t>Certification (pursuant to Rule 13a-14(a) or Rule 15d-14(a) of the Exchange Act) by Principal Financial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6q2-exhibit321.htm">
              <w:r>
                <w:rPr>
                  <w:rStyle w:val="InternetLink"/>
                  <w:rFonts w:ascii="Times New Roman;serif" w:hAnsi="Times New Roman;serif"/>
                  <w:b w:val="false"/>
                  <w:color w:val="0000FF"/>
                  <w:sz w:val="20"/>
                  <w:u w:val="single"/>
                </w:rPr>
                <w:t>Section 1350 Certification (pursuant to Sarbanes-Oxley Section 906) by Principal Executive Officer and Principal Financial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Registrant’s Quarterly Report on Form 10-Q for the quarter ended June 30, 2026, formatted in Inline XBRL: (i) Statement of Consolidated Operations, (ii) Statement of Consolidated Comprehensive Income, (iii) Statement of Consolidated Cash Flows, (iv) Consolidated Balance Sheet, (v) Statement of Consolidated Changes in Equity and Noncontrolling Interests and (vi) Notes to Consolidated Financial Statements, tagged as blocks of text and including detailed tags.</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4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76"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389"/>
        <w:gridCol w:w="1389"/>
        <w:gridCol w:w="196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BEN C. RODGERS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 C. Rodgers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ROBERT P. RAYPHOLE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P. Rayphole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J. Christmann IV,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8"/>
        <w:gridCol w:w="18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APA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2817" w:type="dxa"/>
        <w:jc w:val="left"/>
        <w:tblInd w:w="0" w:type="dxa"/>
        <w:tblLayout w:type="fixed"/>
        <w:tblCellMar>
          <w:top w:w="28" w:type="dxa"/>
          <w:left w:w="28" w:type="dxa"/>
          <w:bottom w:w="28" w:type="dxa"/>
          <w:right w:w="28" w:type="dxa"/>
        </w:tblCellMar>
      </w:tblPr>
      <w:tblGrid>
        <w:gridCol w:w="886"/>
        <w:gridCol w:w="777"/>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Ben C. Rodgers,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8"/>
        <w:gridCol w:w="18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APA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1595"/>
        <w:gridCol w:w="1401"/>
        <w:gridCol w:w="1414"/>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 C. Rodgers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 Rodgers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APA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Principal Financial Officer</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John J. Christmann IV, certify pursuant to 18 U.S.C. Section 1350, as adopted pursuant to Section 906 of the Sarbanes-Oxley Act of 2002, that, to my knowledge, the quarterly report on Form 10-Q of APA Corporation for the quarterly period ending June 30,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Date: August 6, 2026</w:t>
      </w:r>
    </w:p>
    <w:p>
      <w:pPr>
        <w:pStyle w:val="TextBody"/>
        <w:bidi w:val="0"/>
        <w:spacing w:before="0" w:after="0"/>
        <w:jc w:val="left"/>
        <w:rPr/>
      </w:pPr>
      <w:r>
        <w:rPr/>
      </w:r>
    </w:p>
    <w:tbl>
      <w:tblPr>
        <w:tblW w:w="4232"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795"/>
        <w:gridCol w:w="795"/>
        <w:gridCol w:w="840"/>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Ben C. Rodgers, certify pursuant to 18 U.S.C. Section 1350, as adopted pursuant to Section 906 of the Sarbanes-Oxley Act of 2002, that, to my knowledge, the quarterly report on Form 10-Q of APA Corporation for the quarterly period ending June 30,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5874" w:type="dxa"/>
        <w:jc w:val="left"/>
        <w:tblInd w:w="0" w:type="dxa"/>
        <w:tblLayout w:type="fixed"/>
        <w:tblCellMar>
          <w:top w:w="28" w:type="dxa"/>
          <w:left w:w="28" w:type="dxa"/>
          <w:bottom w:w="28" w:type="dxa"/>
          <w:right w:w="28" w:type="dxa"/>
        </w:tblCellMar>
      </w:tblPr>
      <w:tblGrid>
        <w:gridCol w:w="206"/>
        <w:gridCol w:w="182"/>
        <w:gridCol w:w="182"/>
        <w:gridCol w:w="179"/>
        <w:gridCol w:w="179"/>
        <w:gridCol w:w="179"/>
        <w:gridCol w:w="1463"/>
        <w:gridCol w:w="1463"/>
        <w:gridCol w:w="1469"/>
        <w:gridCol w:w="109"/>
        <w:gridCol w:w="109"/>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 C. Rodgers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 Rodgers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666/000119312521063695/d127090dex31.htm" TargetMode="External"/><Relationship Id="rId3" Type="http://schemas.openxmlformats.org/officeDocument/2006/relationships/hyperlink" Target="https://www.sec.gov/Archives/edgar/data/1841666/000119312523154218/d466832dex31.htm" TargetMode="External"/><Relationship Id="rId4" Type="http://schemas.openxmlformats.org/officeDocument/2006/relationships/hyperlink" Target="https://www.sec.gov/Archives/edgar/data/1841666/000119312523028378/d462086dex31.htm" TargetMode="External"/><Relationship Id="rId5" Type="http://schemas.openxmlformats.org/officeDocument/2006/relationships/hyperlink" Target="https://www.sec.gov/Archives/edgar/data/1841666/000184166626000037/ex101thirdamendmentto2016o.htm" TargetMode="External"/><Relationship Id="rId6" Type="http://schemas.openxmlformats.org/officeDocument/2006/relationships/hyperlink" Target="https://www.sec.gov/Archives/edgar/data/1841666/000184166626000037/ex101thirdamendmentto2016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21491</Words>
  <Characters>116541</Characters>
  <CharactersWithSpaces>136463</CharactersWithSpaces>
  <Paragraphs>3195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